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08685" w14:textId="77777777" w:rsidR="002B5BCD" w:rsidRPr="00CD59CC" w:rsidRDefault="002B5BCD" w:rsidP="00CD59CC">
      <w:pPr>
        <w:rPr>
          <w:rFonts w:ascii="Arial" w:hAnsi="Arial" w:cs="Arial"/>
          <w:b/>
        </w:rPr>
      </w:pPr>
    </w:p>
    <w:p w14:paraId="20E56B11" w14:textId="77777777" w:rsidR="002B5BCD" w:rsidRPr="00CD59CC" w:rsidRDefault="002B5BCD" w:rsidP="00CD59CC">
      <w:pPr>
        <w:rPr>
          <w:rFonts w:ascii="Arial" w:hAnsi="Arial" w:cs="Arial"/>
          <w:b/>
        </w:rPr>
      </w:pPr>
    </w:p>
    <w:p w14:paraId="1C494159" w14:textId="77777777" w:rsidR="002B5BCD" w:rsidRPr="00CD59CC" w:rsidRDefault="002B5BCD" w:rsidP="00BB4E9F">
      <w:pPr>
        <w:jc w:val="center"/>
        <w:rPr>
          <w:rFonts w:ascii="Arial" w:hAnsi="Arial" w:cs="Arial"/>
          <w:b/>
        </w:rPr>
      </w:pPr>
    </w:p>
    <w:p w14:paraId="415CA276" w14:textId="77777777" w:rsidR="002B5BCD" w:rsidRPr="00CD59CC" w:rsidRDefault="002B5BCD" w:rsidP="00CD59CC">
      <w:pPr>
        <w:jc w:val="center"/>
        <w:rPr>
          <w:rFonts w:ascii="Arial" w:hAnsi="Arial" w:cs="Arial"/>
          <w:b/>
        </w:rPr>
      </w:pPr>
      <w:r w:rsidRPr="00CD59CC">
        <w:rPr>
          <w:rFonts w:ascii="Arial" w:hAnsi="Arial" w:cs="Arial"/>
          <w:b/>
        </w:rPr>
        <w:t>REPORT ON MEASURES TO COMBAT DISCRIMINATION</w:t>
      </w:r>
    </w:p>
    <w:p w14:paraId="19D16C60" w14:textId="77777777" w:rsidR="002B5BCD" w:rsidRPr="00CD59CC" w:rsidRDefault="002B5BCD" w:rsidP="00CD59CC">
      <w:pPr>
        <w:jc w:val="center"/>
        <w:rPr>
          <w:rFonts w:ascii="Arial" w:hAnsi="Arial" w:cs="Arial"/>
          <w:b/>
        </w:rPr>
      </w:pPr>
      <w:r w:rsidRPr="00CD59CC">
        <w:rPr>
          <w:rFonts w:ascii="Arial" w:hAnsi="Arial" w:cs="Arial"/>
          <w:b/>
        </w:rPr>
        <w:t>Directives 2000/43/EC and 2000/78/EC</w:t>
      </w:r>
    </w:p>
    <w:p w14:paraId="12375ABF" w14:textId="77777777" w:rsidR="002B5BCD" w:rsidRPr="00CD59CC" w:rsidRDefault="002B5BCD" w:rsidP="00CD59CC">
      <w:pPr>
        <w:jc w:val="center"/>
        <w:rPr>
          <w:rFonts w:ascii="Arial" w:hAnsi="Arial" w:cs="Arial"/>
        </w:rPr>
      </w:pPr>
    </w:p>
    <w:p w14:paraId="70A109E1" w14:textId="6AE7FE97" w:rsidR="002B5BCD" w:rsidRPr="00CD59CC" w:rsidRDefault="002B5BCD" w:rsidP="00BB4E9F">
      <w:pPr>
        <w:jc w:val="center"/>
        <w:rPr>
          <w:rFonts w:ascii="Arial" w:hAnsi="Arial" w:cs="Arial"/>
          <w:b/>
        </w:rPr>
      </w:pPr>
      <w:r w:rsidRPr="00CD59CC">
        <w:rPr>
          <w:rFonts w:ascii="Arial" w:hAnsi="Arial" w:cs="Arial"/>
          <w:b/>
        </w:rPr>
        <w:t>COUNTRY REPORT 201</w:t>
      </w:r>
      <w:r w:rsidR="000D069B">
        <w:rPr>
          <w:rFonts w:ascii="Arial" w:hAnsi="Arial" w:cs="Arial"/>
          <w:b/>
        </w:rPr>
        <w:t>4</w:t>
      </w:r>
      <w:bookmarkStart w:id="0" w:name="_GoBack"/>
      <w:bookmarkEnd w:id="0"/>
    </w:p>
    <w:p w14:paraId="6D04FB4A" w14:textId="77777777" w:rsidR="002B5BCD" w:rsidRPr="00CD59CC" w:rsidRDefault="002B5BCD" w:rsidP="00CD59CC">
      <w:pPr>
        <w:jc w:val="center"/>
        <w:rPr>
          <w:rFonts w:ascii="Arial" w:hAnsi="Arial" w:cs="Arial"/>
          <w:b/>
        </w:rPr>
      </w:pPr>
    </w:p>
    <w:p w14:paraId="73293E24" w14:textId="77777777" w:rsidR="002B5BCD" w:rsidRPr="00BB4E9F" w:rsidRDefault="00F65FD9" w:rsidP="00CD59CC">
      <w:pPr>
        <w:jc w:val="center"/>
        <w:rPr>
          <w:rFonts w:ascii="Arial" w:hAnsi="Arial"/>
          <w:b/>
          <w:u w:val="single"/>
        </w:rPr>
      </w:pPr>
      <w:r w:rsidRPr="00BB4E9F">
        <w:rPr>
          <w:rFonts w:ascii="Arial" w:hAnsi="Arial"/>
          <w:b/>
          <w:u w:val="single"/>
        </w:rPr>
        <w:t>HUNGARY</w:t>
      </w:r>
    </w:p>
    <w:p w14:paraId="1041D973" w14:textId="77777777" w:rsidR="002B5BCD" w:rsidRPr="00CD59CC" w:rsidRDefault="002B5BCD" w:rsidP="00CD59CC">
      <w:pPr>
        <w:jc w:val="center"/>
        <w:rPr>
          <w:rFonts w:ascii="Arial" w:hAnsi="Arial" w:cs="Arial"/>
        </w:rPr>
      </w:pPr>
    </w:p>
    <w:p w14:paraId="50F2EDA3" w14:textId="77777777" w:rsidR="002B5BCD" w:rsidRPr="00CD59CC" w:rsidRDefault="00F65FD9" w:rsidP="00CD59CC">
      <w:pPr>
        <w:jc w:val="center"/>
        <w:rPr>
          <w:rFonts w:ascii="Arial" w:hAnsi="Arial" w:cs="Arial"/>
          <w:b/>
        </w:rPr>
      </w:pPr>
      <w:r w:rsidRPr="00CD59CC">
        <w:rPr>
          <w:rFonts w:ascii="Arial" w:hAnsi="Arial" w:cs="Arial"/>
          <w:b/>
        </w:rPr>
        <w:t>András Kádár</w:t>
      </w:r>
    </w:p>
    <w:p w14:paraId="129372DD" w14:textId="77777777" w:rsidR="002B5BCD" w:rsidRPr="00CD59CC" w:rsidRDefault="002B5BCD" w:rsidP="00CD59CC">
      <w:pPr>
        <w:jc w:val="center"/>
        <w:rPr>
          <w:rFonts w:ascii="Arial" w:hAnsi="Arial" w:cs="Arial"/>
          <w:b/>
        </w:rPr>
      </w:pPr>
    </w:p>
    <w:p w14:paraId="3DAA4A4C" w14:textId="2D6262BA" w:rsidR="002B5BCD" w:rsidRPr="00CD59CC" w:rsidRDefault="002B5BCD" w:rsidP="00CD59CC">
      <w:pPr>
        <w:jc w:val="center"/>
        <w:rPr>
          <w:rFonts w:ascii="Arial" w:hAnsi="Arial" w:cs="Arial"/>
          <w:b/>
        </w:rPr>
      </w:pPr>
      <w:r w:rsidRPr="00CD59CC">
        <w:rPr>
          <w:rFonts w:ascii="Arial" w:hAnsi="Arial" w:cs="Arial"/>
          <w:b/>
        </w:rPr>
        <w:t>State of affairs up to 1</w:t>
      </w:r>
      <w:r w:rsidRPr="00CD59CC">
        <w:rPr>
          <w:rFonts w:ascii="Arial" w:hAnsi="Arial" w:cs="Arial"/>
          <w:b/>
          <w:vertAlign w:val="superscript"/>
        </w:rPr>
        <w:t>st</w:t>
      </w:r>
      <w:r w:rsidRPr="00CD59CC">
        <w:rPr>
          <w:rFonts w:ascii="Arial" w:hAnsi="Arial" w:cs="Arial"/>
          <w:b/>
        </w:rPr>
        <w:t xml:space="preserve"> January 201</w:t>
      </w:r>
      <w:r w:rsidR="002F6E93" w:rsidRPr="00CD59CC">
        <w:rPr>
          <w:rFonts w:ascii="Arial" w:hAnsi="Arial" w:cs="Arial"/>
          <w:b/>
        </w:rPr>
        <w:t>4</w:t>
      </w:r>
    </w:p>
    <w:p w14:paraId="48F1206C" w14:textId="77777777" w:rsidR="002B5BCD" w:rsidRPr="00CD59CC" w:rsidRDefault="002B5BCD" w:rsidP="00CD59CC">
      <w:pPr>
        <w:autoSpaceDE w:val="0"/>
        <w:autoSpaceDN w:val="0"/>
        <w:adjustRightInd w:val="0"/>
        <w:jc w:val="center"/>
        <w:rPr>
          <w:rFonts w:ascii="Arial" w:hAnsi="Arial" w:cs="Arial"/>
          <w:b/>
          <w:bCs/>
          <w:lang w:eastAsia="de-DE"/>
        </w:rPr>
      </w:pPr>
    </w:p>
    <w:p w14:paraId="6575AEC4" w14:textId="77777777" w:rsidR="002B5BCD" w:rsidRPr="00CD59CC" w:rsidRDefault="002B5BCD" w:rsidP="00CD59CC">
      <w:pPr>
        <w:autoSpaceDE w:val="0"/>
        <w:autoSpaceDN w:val="0"/>
        <w:adjustRightInd w:val="0"/>
        <w:jc w:val="center"/>
        <w:rPr>
          <w:rFonts w:ascii="Arial" w:hAnsi="Arial" w:cs="Arial"/>
          <w:b/>
          <w:bCs/>
          <w:lang w:eastAsia="de-DE"/>
        </w:rPr>
      </w:pPr>
    </w:p>
    <w:p w14:paraId="6EBE85BE" w14:textId="77777777" w:rsidR="002B5BCD" w:rsidRPr="00CD59CC" w:rsidRDefault="002B5BCD" w:rsidP="00CD59CC">
      <w:pPr>
        <w:jc w:val="center"/>
        <w:rPr>
          <w:rFonts w:ascii="Arial" w:hAnsi="Arial" w:cs="Arial"/>
        </w:rPr>
      </w:pPr>
    </w:p>
    <w:p w14:paraId="1E1DC37C" w14:textId="77777777" w:rsidR="002B5BCD" w:rsidRPr="00CD59CC" w:rsidRDefault="002B5BCD" w:rsidP="00CD59CC">
      <w:pPr>
        <w:jc w:val="center"/>
        <w:rPr>
          <w:rFonts w:ascii="Arial" w:hAnsi="Arial" w:cs="Arial"/>
        </w:rPr>
      </w:pPr>
    </w:p>
    <w:p w14:paraId="76E13074" w14:textId="77777777" w:rsidR="002B5BCD" w:rsidRPr="00CD59CC" w:rsidRDefault="002B5BCD" w:rsidP="00CD59CC">
      <w:pPr>
        <w:autoSpaceDE w:val="0"/>
        <w:autoSpaceDN w:val="0"/>
        <w:adjustRightInd w:val="0"/>
        <w:jc w:val="center"/>
        <w:rPr>
          <w:rFonts w:ascii="Arial" w:hAnsi="Arial" w:cs="Arial"/>
          <w:lang w:eastAsia="de-DE"/>
        </w:rPr>
      </w:pPr>
      <w:r w:rsidRPr="00CD59CC">
        <w:rPr>
          <w:rFonts w:ascii="Arial" w:hAnsi="Arial" w:cs="Arial"/>
          <w:lang w:eastAsia="de-DE"/>
        </w:rPr>
        <w:t xml:space="preserve">This report has been drafted for the </w:t>
      </w:r>
      <w:r w:rsidRPr="00CD59CC">
        <w:rPr>
          <w:rFonts w:ascii="Arial" w:hAnsi="Arial" w:cs="Arial"/>
          <w:b/>
          <w:bCs/>
          <w:lang w:eastAsia="de-DE"/>
        </w:rPr>
        <w:t xml:space="preserve">European Network of Legal Experts in the Non-discrimination Field </w:t>
      </w:r>
      <w:r w:rsidRPr="00CD59CC">
        <w:rPr>
          <w:rFonts w:ascii="Arial" w:hAnsi="Arial" w:cs="Arial"/>
          <w:lang w:eastAsia="de-DE"/>
        </w:rPr>
        <w:t>(on the grounds of Race or Ethnic Origin, Age, Disability, Religion or Belief and Sexual Orientation), established and managed by:</w:t>
      </w:r>
    </w:p>
    <w:p w14:paraId="380CCC20" w14:textId="77777777" w:rsidR="002B5BCD" w:rsidRPr="00CD59CC" w:rsidRDefault="002B5BCD" w:rsidP="00CD59CC">
      <w:pPr>
        <w:autoSpaceDE w:val="0"/>
        <w:autoSpaceDN w:val="0"/>
        <w:adjustRightInd w:val="0"/>
        <w:rPr>
          <w:rFonts w:ascii="Arial" w:hAnsi="Arial" w:cs="Arial"/>
          <w:lang w:eastAsia="de-DE"/>
        </w:rPr>
      </w:pPr>
    </w:p>
    <w:p w14:paraId="5DFFB660" w14:textId="77777777" w:rsidR="002B5BCD" w:rsidRPr="00CD59CC" w:rsidRDefault="002B5BCD" w:rsidP="00CD59CC">
      <w:pPr>
        <w:autoSpaceDE w:val="0"/>
        <w:autoSpaceDN w:val="0"/>
        <w:adjustRightInd w:val="0"/>
        <w:rPr>
          <w:rFonts w:ascii="Arial" w:hAnsi="Arial" w:cs="Arial"/>
          <w:lang w:eastAsia="de-DE"/>
        </w:rPr>
      </w:pPr>
    </w:p>
    <w:p w14:paraId="3604570B" w14:textId="77777777" w:rsidR="002B5BCD" w:rsidRPr="00CD59CC" w:rsidRDefault="002B5BCD" w:rsidP="00CD59CC">
      <w:pPr>
        <w:autoSpaceDE w:val="0"/>
        <w:autoSpaceDN w:val="0"/>
        <w:adjustRightInd w:val="0"/>
        <w:rPr>
          <w:rFonts w:ascii="Arial" w:hAnsi="Arial" w:cs="Arial"/>
          <w:lang w:eastAsia="de-DE"/>
        </w:rPr>
      </w:pPr>
    </w:p>
    <w:tbl>
      <w:tblPr>
        <w:tblW w:w="0" w:type="auto"/>
        <w:jc w:val="center"/>
        <w:tblLook w:val="01E0" w:firstRow="1" w:lastRow="1" w:firstColumn="1" w:lastColumn="1" w:noHBand="0" w:noVBand="0"/>
      </w:tblPr>
      <w:tblGrid>
        <w:gridCol w:w="3904"/>
        <w:gridCol w:w="3726"/>
      </w:tblGrid>
      <w:tr w:rsidR="002B5BCD" w:rsidRPr="00CD59CC" w14:paraId="13B1FCC4" w14:textId="77777777" w:rsidTr="00E34CF1">
        <w:trPr>
          <w:trHeight w:val="2347"/>
          <w:jc w:val="center"/>
        </w:trPr>
        <w:tc>
          <w:tcPr>
            <w:tcW w:w="3904" w:type="dxa"/>
          </w:tcPr>
          <w:p w14:paraId="5F8C167D" w14:textId="77777777" w:rsidR="002B5BCD" w:rsidRPr="00BB4E9F" w:rsidRDefault="002B5BCD" w:rsidP="00CD59CC">
            <w:pPr>
              <w:rPr>
                <w:rFonts w:ascii="Arial" w:hAnsi="Arial"/>
                <w:lang w:val="nl-NL"/>
              </w:rPr>
            </w:pPr>
            <w:r w:rsidRPr="00BB4E9F">
              <w:rPr>
                <w:rFonts w:ascii="Arial" w:hAnsi="Arial"/>
                <w:lang w:val="nl-NL"/>
              </w:rPr>
              <w:t>Human European Consultancy</w:t>
            </w:r>
          </w:p>
          <w:p w14:paraId="1C479CEB" w14:textId="77777777" w:rsidR="002B5BCD" w:rsidRPr="00BB4E9F" w:rsidRDefault="002B5BCD" w:rsidP="00CD59CC">
            <w:pPr>
              <w:rPr>
                <w:rFonts w:ascii="Arial" w:hAnsi="Arial"/>
                <w:lang w:val="nl-NL"/>
              </w:rPr>
            </w:pPr>
            <w:r w:rsidRPr="00BB4E9F">
              <w:rPr>
                <w:rFonts w:ascii="Arial" w:hAnsi="Arial"/>
                <w:lang w:val="nl-NL"/>
              </w:rPr>
              <w:t>Maliestraat 7</w:t>
            </w:r>
          </w:p>
          <w:p w14:paraId="025B9F3E" w14:textId="77777777" w:rsidR="002B5BCD" w:rsidRPr="00BB4E9F" w:rsidRDefault="002B5BCD" w:rsidP="00CD59CC">
            <w:pPr>
              <w:rPr>
                <w:rFonts w:ascii="Arial" w:hAnsi="Arial"/>
                <w:lang w:val="nl-NL"/>
              </w:rPr>
            </w:pPr>
            <w:r w:rsidRPr="00BB4E9F">
              <w:rPr>
                <w:rFonts w:ascii="Arial" w:hAnsi="Arial"/>
                <w:lang w:val="nl-NL"/>
              </w:rPr>
              <w:t>3581 SH Utrecht</w:t>
            </w:r>
          </w:p>
          <w:p w14:paraId="0FF8C606" w14:textId="77777777" w:rsidR="002B5BCD" w:rsidRPr="00BB4E9F" w:rsidRDefault="002B5BCD" w:rsidP="00CD59CC">
            <w:pPr>
              <w:rPr>
                <w:rFonts w:ascii="Arial" w:hAnsi="Arial"/>
                <w:lang w:val="nl-NL"/>
              </w:rPr>
            </w:pPr>
            <w:r w:rsidRPr="00BB4E9F">
              <w:rPr>
                <w:rFonts w:ascii="Arial" w:hAnsi="Arial"/>
                <w:lang w:val="nl-NL"/>
              </w:rPr>
              <w:t>Netherlands</w:t>
            </w:r>
          </w:p>
          <w:p w14:paraId="55D18602" w14:textId="77777777" w:rsidR="002B5BCD" w:rsidRPr="00CD59CC" w:rsidRDefault="002B5BCD" w:rsidP="00CD59CC">
            <w:pPr>
              <w:rPr>
                <w:rFonts w:ascii="Arial" w:hAnsi="Arial" w:cs="Arial"/>
              </w:rPr>
            </w:pPr>
            <w:r w:rsidRPr="00CD59CC">
              <w:rPr>
                <w:rFonts w:ascii="Arial" w:hAnsi="Arial" w:cs="Arial"/>
              </w:rPr>
              <w:t>Tel +31 30 634 14 22</w:t>
            </w:r>
          </w:p>
          <w:p w14:paraId="620EE38D" w14:textId="77777777" w:rsidR="002B5BCD" w:rsidRPr="00CD59CC" w:rsidRDefault="002B5BCD" w:rsidP="00CD59CC">
            <w:pPr>
              <w:rPr>
                <w:rFonts w:ascii="Arial" w:hAnsi="Arial" w:cs="Arial"/>
              </w:rPr>
            </w:pPr>
            <w:r w:rsidRPr="00CD59CC">
              <w:rPr>
                <w:rFonts w:ascii="Arial" w:hAnsi="Arial" w:cs="Arial"/>
              </w:rPr>
              <w:t>Fax +31 30 635 21 39</w:t>
            </w:r>
          </w:p>
          <w:p w14:paraId="703C767B" w14:textId="77777777" w:rsidR="002B5BCD" w:rsidRPr="00CD59CC" w:rsidRDefault="000D069B" w:rsidP="00CD59CC">
            <w:pPr>
              <w:rPr>
                <w:rFonts w:ascii="Arial" w:hAnsi="Arial" w:cs="Arial"/>
                <w:u w:val="single"/>
              </w:rPr>
            </w:pPr>
            <w:hyperlink r:id="rId11" w:history="1">
              <w:r w:rsidR="002B5BCD" w:rsidRPr="00CD59CC">
                <w:rPr>
                  <w:rStyle w:val="Hyperlink"/>
                  <w:rFonts w:ascii="Arial" w:hAnsi="Arial" w:cs="Arial"/>
                </w:rPr>
                <w:t>office@humanconsultancy.com</w:t>
              </w:r>
            </w:hyperlink>
          </w:p>
          <w:p w14:paraId="5A9A39DA" w14:textId="77777777" w:rsidR="002B5BCD" w:rsidRPr="00CD59CC" w:rsidRDefault="000D069B" w:rsidP="00CD59CC">
            <w:pPr>
              <w:rPr>
                <w:rFonts w:ascii="Arial" w:hAnsi="Arial" w:cs="Arial"/>
              </w:rPr>
            </w:pPr>
            <w:hyperlink r:id="rId12" w:history="1">
              <w:r w:rsidR="002B5BCD" w:rsidRPr="00CD59CC">
                <w:rPr>
                  <w:rStyle w:val="Hyperlink"/>
                  <w:rFonts w:ascii="Arial" w:hAnsi="Arial" w:cs="Arial"/>
                </w:rPr>
                <w:t>www.humanconsultancy.com</w:t>
              </w:r>
            </w:hyperlink>
          </w:p>
        </w:tc>
        <w:tc>
          <w:tcPr>
            <w:tcW w:w="3726" w:type="dxa"/>
          </w:tcPr>
          <w:p w14:paraId="69AA530F" w14:textId="77777777" w:rsidR="002B5BCD" w:rsidRPr="00CD59CC" w:rsidRDefault="002B5BCD" w:rsidP="00CD59CC">
            <w:pPr>
              <w:rPr>
                <w:rFonts w:ascii="Arial" w:hAnsi="Arial" w:cs="Arial"/>
              </w:rPr>
            </w:pPr>
            <w:r w:rsidRPr="00CD59CC">
              <w:rPr>
                <w:rFonts w:ascii="Arial" w:hAnsi="Arial" w:cs="Arial"/>
              </w:rPr>
              <w:t>Migration Policy Group</w:t>
            </w:r>
          </w:p>
          <w:p w14:paraId="464151BF" w14:textId="77777777" w:rsidR="002B5BCD" w:rsidRPr="00CD59CC" w:rsidRDefault="002B5BCD" w:rsidP="00CD59CC">
            <w:pPr>
              <w:rPr>
                <w:rFonts w:ascii="Arial" w:hAnsi="Arial" w:cs="Arial"/>
              </w:rPr>
            </w:pPr>
            <w:r w:rsidRPr="00CD59CC">
              <w:rPr>
                <w:rFonts w:ascii="Arial" w:hAnsi="Arial" w:cs="Arial"/>
              </w:rPr>
              <w:t>Rue Belliard 205, Box 1</w:t>
            </w:r>
          </w:p>
          <w:p w14:paraId="52E9EA6C" w14:textId="77777777" w:rsidR="002B5BCD" w:rsidRPr="00BB4E9F" w:rsidRDefault="002B5BCD" w:rsidP="00CD59CC">
            <w:pPr>
              <w:rPr>
                <w:rFonts w:ascii="Arial" w:hAnsi="Arial"/>
                <w:lang w:val="de-DE"/>
              </w:rPr>
            </w:pPr>
            <w:r w:rsidRPr="00BB4E9F">
              <w:rPr>
                <w:rFonts w:ascii="Arial" w:hAnsi="Arial"/>
                <w:lang w:val="de-DE"/>
              </w:rPr>
              <w:t>1040 Brussels</w:t>
            </w:r>
          </w:p>
          <w:p w14:paraId="72D3097F" w14:textId="77777777" w:rsidR="002B5BCD" w:rsidRPr="00BB4E9F" w:rsidRDefault="002B5BCD" w:rsidP="00CD59CC">
            <w:pPr>
              <w:rPr>
                <w:rFonts w:ascii="Arial" w:hAnsi="Arial"/>
                <w:lang w:val="de-DE"/>
              </w:rPr>
            </w:pPr>
            <w:r w:rsidRPr="00BB4E9F">
              <w:rPr>
                <w:rFonts w:ascii="Arial" w:hAnsi="Arial"/>
                <w:lang w:val="de-DE"/>
              </w:rPr>
              <w:t>Belgium</w:t>
            </w:r>
          </w:p>
          <w:p w14:paraId="25204C4B" w14:textId="77777777" w:rsidR="002B5BCD" w:rsidRPr="00BB4E9F" w:rsidRDefault="002B5BCD" w:rsidP="00CD59CC">
            <w:pPr>
              <w:rPr>
                <w:rFonts w:ascii="Arial" w:hAnsi="Arial"/>
                <w:lang w:val="de-DE"/>
              </w:rPr>
            </w:pPr>
            <w:r w:rsidRPr="00BB4E9F">
              <w:rPr>
                <w:rFonts w:ascii="Arial" w:hAnsi="Arial"/>
                <w:lang w:val="de-DE"/>
              </w:rPr>
              <w:t>Tel +32 2 230 5930</w:t>
            </w:r>
          </w:p>
          <w:p w14:paraId="631B9629" w14:textId="77777777" w:rsidR="002B5BCD" w:rsidRPr="00BB4E9F" w:rsidRDefault="002B5BCD" w:rsidP="00CD59CC">
            <w:pPr>
              <w:rPr>
                <w:rFonts w:ascii="Arial" w:hAnsi="Arial"/>
                <w:lang w:val="de-DE"/>
              </w:rPr>
            </w:pPr>
            <w:r w:rsidRPr="00BB4E9F">
              <w:rPr>
                <w:rFonts w:ascii="Arial" w:hAnsi="Arial"/>
                <w:lang w:val="de-DE"/>
              </w:rPr>
              <w:t>Fax +32 2 280 0925</w:t>
            </w:r>
          </w:p>
          <w:p w14:paraId="345C9696" w14:textId="77777777" w:rsidR="002B5BCD" w:rsidRPr="00BB4E9F" w:rsidRDefault="000D069B" w:rsidP="00CD59CC">
            <w:pPr>
              <w:rPr>
                <w:rFonts w:ascii="Arial" w:hAnsi="Arial"/>
                <w:u w:val="single"/>
                <w:lang w:val="de-DE"/>
              </w:rPr>
            </w:pPr>
            <w:hyperlink r:id="rId13" w:history="1">
              <w:r w:rsidR="002B5BCD" w:rsidRPr="00BB4E9F">
                <w:rPr>
                  <w:rStyle w:val="Hyperlink"/>
                  <w:rFonts w:ascii="Arial" w:hAnsi="Arial"/>
                  <w:lang w:val="de-DE"/>
                </w:rPr>
                <w:t>info@migpolgroup.com</w:t>
              </w:r>
            </w:hyperlink>
          </w:p>
          <w:p w14:paraId="5F09BD5A" w14:textId="77777777" w:rsidR="002B5BCD" w:rsidRPr="00BB4E9F" w:rsidRDefault="000D069B" w:rsidP="00CD59CC">
            <w:pPr>
              <w:rPr>
                <w:rFonts w:ascii="Arial" w:hAnsi="Arial"/>
                <w:lang w:val="de-DE"/>
              </w:rPr>
            </w:pPr>
            <w:hyperlink r:id="rId14" w:history="1">
              <w:r w:rsidR="002B5BCD" w:rsidRPr="00BB4E9F">
                <w:rPr>
                  <w:rStyle w:val="Hyperlink"/>
                  <w:rFonts w:ascii="Arial" w:hAnsi="Arial"/>
                  <w:lang w:val="de-DE"/>
                </w:rPr>
                <w:t>www.migpolgroup.com</w:t>
              </w:r>
            </w:hyperlink>
          </w:p>
        </w:tc>
      </w:tr>
    </w:tbl>
    <w:p w14:paraId="2E3AA13A" w14:textId="77777777" w:rsidR="002B5BCD" w:rsidRPr="00BB4E9F" w:rsidRDefault="002B5BCD" w:rsidP="00CD59CC">
      <w:pPr>
        <w:autoSpaceDE w:val="0"/>
        <w:autoSpaceDN w:val="0"/>
        <w:adjustRightInd w:val="0"/>
        <w:rPr>
          <w:rFonts w:ascii="Arial" w:hAnsi="Arial"/>
          <w:lang w:val="de-DE"/>
        </w:rPr>
      </w:pPr>
    </w:p>
    <w:p w14:paraId="1A48067D" w14:textId="77777777" w:rsidR="002B5BCD" w:rsidRPr="00CD59CC" w:rsidRDefault="002B5BCD" w:rsidP="00CD59CC">
      <w:pPr>
        <w:rPr>
          <w:rFonts w:ascii="Arial" w:hAnsi="Arial" w:cs="Arial"/>
          <w:lang w:eastAsia="de-DE"/>
        </w:rPr>
      </w:pPr>
      <w:r w:rsidRPr="00CD59CC">
        <w:rPr>
          <w:rFonts w:ascii="Arial" w:hAnsi="Arial" w:cs="Arial"/>
          <w:lang w:eastAsia="de-DE"/>
        </w:rPr>
        <w:t>All reports are available on the website of the European network of legal experts in the non-discrimination field:</w:t>
      </w:r>
    </w:p>
    <w:p w14:paraId="582DA9C6" w14:textId="77777777" w:rsidR="002B5BCD" w:rsidRPr="007261FD" w:rsidRDefault="000D069B" w:rsidP="00CD59CC">
      <w:pPr>
        <w:autoSpaceDE w:val="0"/>
        <w:autoSpaceDN w:val="0"/>
        <w:adjustRightInd w:val="0"/>
        <w:rPr>
          <w:rStyle w:val="Hyperlink"/>
          <w:rFonts w:ascii="Arial" w:hAnsi="Arial" w:cs="Arial"/>
        </w:rPr>
      </w:pPr>
      <w:hyperlink r:id="rId15" w:history="1">
        <w:r w:rsidR="002B5BCD" w:rsidRPr="007261FD">
          <w:rPr>
            <w:rStyle w:val="Hyperlink"/>
            <w:rFonts w:ascii="Arial" w:hAnsi="Arial" w:cs="Arial"/>
          </w:rPr>
          <w:t>http://www.non-discrimination.net/law/national-legislation/country-reports-measures-combat-discrimination</w:t>
        </w:r>
      </w:hyperlink>
    </w:p>
    <w:p w14:paraId="6AD6EBE4" w14:textId="77777777" w:rsidR="002B5BCD" w:rsidRPr="00CD59CC" w:rsidRDefault="002B5BCD" w:rsidP="00CD59CC">
      <w:pPr>
        <w:autoSpaceDE w:val="0"/>
        <w:autoSpaceDN w:val="0"/>
        <w:adjustRightInd w:val="0"/>
        <w:rPr>
          <w:rFonts w:ascii="Arial" w:hAnsi="Arial" w:cs="Arial"/>
          <w:u w:val="single"/>
        </w:rPr>
      </w:pPr>
    </w:p>
    <w:p w14:paraId="5224774C" w14:textId="77777777" w:rsidR="002B5BCD" w:rsidRPr="00CD59CC" w:rsidRDefault="002B5BCD" w:rsidP="00CD59CC">
      <w:pPr>
        <w:autoSpaceDE w:val="0"/>
        <w:autoSpaceDN w:val="0"/>
        <w:adjustRightInd w:val="0"/>
        <w:rPr>
          <w:rFonts w:ascii="Arial" w:hAnsi="Arial" w:cs="Arial"/>
          <w:lang w:eastAsia="en-GB"/>
        </w:rPr>
      </w:pPr>
      <w:r w:rsidRPr="00CD59CC">
        <w:rPr>
          <w:rFonts w:ascii="Arial" w:hAnsi="Arial" w:cs="Arial"/>
          <w:lang w:eastAsia="de-DE"/>
        </w:rPr>
        <w:t>This report has been drafted as part of a study into measures to combat discrimination in the EU Member States, funded by the European Community Programme for Employment and Social Solidarity – PROGRESS (2007-2013). The views expressed in this report do not necessarily reflect the views or the official position of the European Commission.</w:t>
      </w:r>
    </w:p>
    <w:p w14:paraId="5C0186FC" w14:textId="77777777" w:rsidR="002B5BCD" w:rsidRPr="00CD59CC" w:rsidRDefault="002B5BCD" w:rsidP="00CD59CC">
      <w:pPr>
        <w:rPr>
          <w:rFonts w:ascii="Arial" w:hAnsi="Arial" w:cs="Arial"/>
          <w:b/>
          <w:caps/>
        </w:rPr>
      </w:pPr>
      <w:r w:rsidRPr="00CD59CC">
        <w:rPr>
          <w:rFonts w:ascii="Arial" w:hAnsi="Arial" w:cs="Arial"/>
          <w:b/>
        </w:rPr>
        <w:br w:type="page"/>
      </w:r>
      <w:r w:rsidRPr="00CD59CC">
        <w:rPr>
          <w:rFonts w:ascii="Arial" w:hAnsi="Arial" w:cs="Arial"/>
          <w:b/>
          <w:caps/>
        </w:rPr>
        <w:lastRenderedPageBreak/>
        <w:t>Table of contents</w:t>
      </w:r>
    </w:p>
    <w:p w14:paraId="41A44C5C" w14:textId="77777777" w:rsidR="002B5BCD" w:rsidRPr="00CD59CC" w:rsidRDefault="002B5BCD" w:rsidP="00CD59CC">
      <w:pPr>
        <w:rPr>
          <w:rFonts w:ascii="Arial" w:hAnsi="Arial" w:cs="Arial"/>
          <w:b/>
        </w:rPr>
      </w:pPr>
    </w:p>
    <w:bookmarkStart w:id="1" w:name="_Toc220221128"/>
    <w:p w14:paraId="1482B711" w14:textId="472D9EBC" w:rsidR="00BA1E10" w:rsidRPr="00BE7AD9" w:rsidRDefault="00E350D8">
      <w:pPr>
        <w:pStyle w:val="TOC1"/>
        <w:rPr>
          <w:rFonts w:ascii="Calibri" w:hAnsi="Calibri"/>
          <w:b w:val="0"/>
          <w:noProof/>
          <w:sz w:val="22"/>
          <w:szCs w:val="22"/>
          <w:lang w:val="nl-NL" w:eastAsia="nl-NL"/>
        </w:rPr>
      </w:pPr>
      <w:r w:rsidRPr="00BB4E9F">
        <w:rPr>
          <w:rFonts w:cs="Arial"/>
          <w:b w:val="0"/>
          <w:bCs/>
        </w:rPr>
        <w:fldChar w:fldCharType="begin"/>
      </w:r>
      <w:r>
        <w:rPr>
          <w:rFonts w:cs="Arial"/>
          <w:b w:val="0"/>
          <w:bCs/>
        </w:rPr>
        <w:instrText xml:space="preserve"> TOC \o "1-3" \h \z \u </w:instrText>
      </w:r>
      <w:r w:rsidRPr="00BB4E9F">
        <w:rPr>
          <w:rFonts w:cs="Arial"/>
          <w:b w:val="0"/>
          <w:bCs/>
        </w:rPr>
        <w:fldChar w:fldCharType="separate"/>
      </w:r>
      <w:hyperlink w:anchor="_Toc392758698" w:history="1">
        <w:r w:rsidR="00BA1E10" w:rsidRPr="00906A70">
          <w:rPr>
            <w:rStyle w:val="Hyperlink"/>
            <w:noProof/>
          </w:rPr>
          <w:t>INTRODUCTION</w:t>
        </w:r>
        <w:r w:rsidR="00BA1E10">
          <w:rPr>
            <w:noProof/>
            <w:webHidden/>
          </w:rPr>
          <w:tab/>
        </w:r>
        <w:r w:rsidR="00BA1E10">
          <w:rPr>
            <w:noProof/>
            <w:webHidden/>
          </w:rPr>
          <w:fldChar w:fldCharType="begin"/>
        </w:r>
        <w:r w:rsidR="00BA1E10">
          <w:rPr>
            <w:noProof/>
            <w:webHidden/>
          </w:rPr>
          <w:instrText xml:space="preserve"> PAGEREF _Toc392758698 \h </w:instrText>
        </w:r>
        <w:r w:rsidR="00BA1E10">
          <w:rPr>
            <w:noProof/>
            <w:webHidden/>
          </w:rPr>
        </w:r>
        <w:r w:rsidR="00BA1E10">
          <w:rPr>
            <w:noProof/>
            <w:webHidden/>
          </w:rPr>
          <w:fldChar w:fldCharType="separate"/>
        </w:r>
        <w:r w:rsidR="00DA0744">
          <w:rPr>
            <w:noProof/>
            <w:webHidden/>
          </w:rPr>
          <w:t>3</w:t>
        </w:r>
        <w:r w:rsidR="00BA1E10">
          <w:rPr>
            <w:noProof/>
            <w:webHidden/>
          </w:rPr>
          <w:fldChar w:fldCharType="end"/>
        </w:r>
      </w:hyperlink>
    </w:p>
    <w:p w14:paraId="75B5D074" w14:textId="77777777" w:rsidR="00BA1E10" w:rsidRPr="00BE7AD9" w:rsidRDefault="000D069B">
      <w:pPr>
        <w:pStyle w:val="TOC2"/>
        <w:rPr>
          <w:rFonts w:ascii="Calibri" w:hAnsi="Calibri"/>
          <w:noProof/>
          <w:sz w:val="22"/>
          <w:szCs w:val="22"/>
          <w:lang w:val="nl-NL" w:eastAsia="nl-NL"/>
        </w:rPr>
      </w:pPr>
      <w:hyperlink w:anchor="_Toc392758699" w:history="1">
        <w:r w:rsidR="00BA1E10" w:rsidRPr="00906A70">
          <w:rPr>
            <w:rStyle w:val="Hyperlink"/>
            <w:rFonts w:cs="Arial"/>
            <w:noProof/>
          </w:rPr>
          <w:t>0.1</w:t>
        </w:r>
        <w:r w:rsidR="00BA1E10" w:rsidRPr="00BE7AD9">
          <w:rPr>
            <w:rFonts w:ascii="Calibri" w:hAnsi="Calibri"/>
            <w:noProof/>
            <w:sz w:val="22"/>
            <w:szCs w:val="22"/>
            <w:lang w:val="nl-NL" w:eastAsia="nl-NL"/>
          </w:rPr>
          <w:tab/>
        </w:r>
        <w:r w:rsidR="00BA1E10" w:rsidRPr="00906A70">
          <w:rPr>
            <w:rStyle w:val="Hyperlink"/>
            <w:rFonts w:cs="Arial"/>
            <w:noProof/>
          </w:rPr>
          <w:t>The national legal system</w:t>
        </w:r>
        <w:r w:rsidR="00BA1E10">
          <w:rPr>
            <w:noProof/>
            <w:webHidden/>
          </w:rPr>
          <w:tab/>
        </w:r>
        <w:r w:rsidR="00BA1E10">
          <w:rPr>
            <w:noProof/>
            <w:webHidden/>
          </w:rPr>
          <w:fldChar w:fldCharType="begin"/>
        </w:r>
        <w:r w:rsidR="00BA1E10">
          <w:rPr>
            <w:noProof/>
            <w:webHidden/>
          </w:rPr>
          <w:instrText xml:space="preserve"> PAGEREF _Toc392758699 \h </w:instrText>
        </w:r>
        <w:r w:rsidR="00BA1E10">
          <w:rPr>
            <w:noProof/>
            <w:webHidden/>
          </w:rPr>
        </w:r>
        <w:r w:rsidR="00BA1E10">
          <w:rPr>
            <w:noProof/>
            <w:webHidden/>
          </w:rPr>
          <w:fldChar w:fldCharType="separate"/>
        </w:r>
        <w:r w:rsidR="00DA0744">
          <w:rPr>
            <w:noProof/>
            <w:webHidden/>
          </w:rPr>
          <w:t>3</w:t>
        </w:r>
        <w:r w:rsidR="00BA1E10">
          <w:rPr>
            <w:noProof/>
            <w:webHidden/>
          </w:rPr>
          <w:fldChar w:fldCharType="end"/>
        </w:r>
      </w:hyperlink>
    </w:p>
    <w:p w14:paraId="5B0AE4B4" w14:textId="77777777" w:rsidR="00BA1E10" w:rsidRPr="00BE7AD9" w:rsidRDefault="000D069B">
      <w:pPr>
        <w:pStyle w:val="TOC2"/>
        <w:rPr>
          <w:rFonts w:ascii="Calibri" w:hAnsi="Calibri"/>
          <w:noProof/>
          <w:sz w:val="22"/>
          <w:szCs w:val="22"/>
          <w:lang w:val="nl-NL" w:eastAsia="nl-NL"/>
        </w:rPr>
      </w:pPr>
      <w:hyperlink w:anchor="_Toc392758700" w:history="1">
        <w:r w:rsidR="00BA1E10" w:rsidRPr="00906A70">
          <w:rPr>
            <w:rStyle w:val="Hyperlink"/>
            <w:rFonts w:cs="Arial"/>
            <w:noProof/>
          </w:rPr>
          <w:t>0.2</w:t>
        </w:r>
        <w:r w:rsidR="00BA1E10" w:rsidRPr="00BE7AD9">
          <w:rPr>
            <w:rFonts w:ascii="Calibri" w:hAnsi="Calibri"/>
            <w:noProof/>
            <w:sz w:val="22"/>
            <w:szCs w:val="22"/>
            <w:lang w:val="nl-NL" w:eastAsia="nl-NL"/>
          </w:rPr>
          <w:tab/>
        </w:r>
        <w:r w:rsidR="00BA1E10" w:rsidRPr="00906A70">
          <w:rPr>
            <w:rStyle w:val="Hyperlink"/>
            <w:rFonts w:cs="Arial"/>
            <w:noProof/>
          </w:rPr>
          <w:t>Overview/State of implementation</w:t>
        </w:r>
        <w:r w:rsidR="00BA1E10">
          <w:rPr>
            <w:noProof/>
            <w:webHidden/>
          </w:rPr>
          <w:tab/>
        </w:r>
        <w:r w:rsidR="00BA1E10">
          <w:rPr>
            <w:noProof/>
            <w:webHidden/>
          </w:rPr>
          <w:fldChar w:fldCharType="begin"/>
        </w:r>
        <w:r w:rsidR="00BA1E10">
          <w:rPr>
            <w:noProof/>
            <w:webHidden/>
          </w:rPr>
          <w:instrText xml:space="preserve"> PAGEREF _Toc392758700 \h </w:instrText>
        </w:r>
        <w:r w:rsidR="00BA1E10">
          <w:rPr>
            <w:noProof/>
            <w:webHidden/>
          </w:rPr>
        </w:r>
        <w:r w:rsidR="00BA1E10">
          <w:rPr>
            <w:noProof/>
            <w:webHidden/>
          </w:rPr>
          <w:fldChar w:fldCharType="separate"/>
        </w:r>
        <w:r w:rsidR="00DA0744">
          <w:rPr>
            <w:noProof/>
            <w:webHidden/>
          </w:rPr>
          <w:t>3</w:t>
        </w:r>
        <w:r w:rsidR="00BA1E10">
          <w:rPr>
            <w:noProof/>
            <w:webHidden/>
          </w:rPr>
          <w:fldChar w:fldCharType="end"/>
        </w:r>
      </w:hyperlink>
    </w:p>
    <w:p w14:paraId="4BF4C341" w14:textId="77777777" w:rsidR="00BA1E10" w:rsidRPr="00BE7AD9" w:rsidRDefault="000D069B">
      <w:pPr>
        <w:pStyle w:val="TOC2"/>
        <w:rPr>
          <w:rFonts w:ascii="Calibri" w:hAnsi="Calibri"/>
          <w:noProof/>
          <w:sz w:val="22"/>
          <w:szCs w:val="22"/>
          <w:lang w:val="nl-NL" w:eastAsia="nl-NL"/>
        </w:rPr>
      </w:pPr>
      <w:hyperlink w:anchor="_Toc392758701" w:history="1">
        <w:r w:rsidR="00BA1E10" w:rsidRPr="00906A70">
          <w:rPr>
            <w:rStyle w:val="Hyperlink"/>
            <w:rFonts w:cs="Arial"/>
            <w:noProof/>
          </w:rPr>
          <w:t>0.3</w:t>
        </w:r>
        <w:r w:rsidR="00BA1E10" w:rsidRPr="00BE7AD9">
          <w:rPr>
            <w:rFonts w:ascii="Calibri" w:hAnsi="Calibri"/>
            <w:noProof/>
            <w:sz w:val="22"/>
            <w:szCs w:val="22"/>
            <w:lang w:val="nl-NL" w:eastAsia="nl-NL"/>
          </w:rPr>
          <w:tab/>
        </w:r>
        <w:r w:rsidR="00BA1E10" w:rsidRPr="00906A70">
          <w:rPr>
            <w:rStyle w:val="Hyperlink"/>
            <w:rFonts w:cs="Arial"/>
            <w:noProof/>
          </w:rPr>
          <w:t>Case-law</w:t>
        </w:r>
        <w:r w:rsidR="00BA1E10">
          <w:rPr>
            <w:noProof/>
            <w:webHidden/>
          </w:rPr>
          <w:tab/>
        </w:r>
        <w:r w:rsidR="00BA1E10">
          <w:rPr>
            <w:noProof/>
            <w:webHidden/>
          </w:rPr>
          <w:fldChar w:fldCharType="begin"/>
        </w:r>
        <w:r w:rsidR="00BA1E10">
          <w:rPr>
            <w:noProof/>
            <w:webHidden/>
          </w:rPr>
          <w:instrText xml:space="preserve"> PAGEREF _Toc392758701 \h </w:instrText>
        </w:r>
        <w:r w:rsidR="00BA1E10">
          <w:rPr>
            <w:noProof/>
            <w:webHidden/>
          </w:rPr>
        </w:r>
        <w:r w:rsidR="00BA1E10">
          <w:rPr>
            <w:noProof/>
            <w:webHidden/>
          </w:rPr>
          <w:fldChar w:fldCharType="separate"/>
        </w:r>
        <w:r w:rsidR="00DA0744">
          <w:rPr>
            <w:noProof/>
            <w:webHidden/>
          </w:rPr>
          <w:t>7</w:t>
        </w:r>
        <w:r w:rsidR="00BA1E10">
          <w:rPr>
            <w:noProof/>
            <w:webHidden/>
          </w:rPr>
          <w:fldChar w:fldCharType="end"/>
        </w:r>
      </w:hyperlink>
    </w:p>
    <w:p w14:paraId="07F363BE" w14:textId="77777777" w:rsidR="00BA1E10" w:rsidRPr="00BE7AD9" w:rsidRDefault="000D069B">
      <w:pPr>
        <w:pStyle w:val="TOC1"/>
        <w:rPr>
          <w:rFonts w:ascii="Calibri" w:hAnsi="Calibri"/>
          <w:b w:val="0"/>
          <w:noProof/>
          <w:sz w:val="22"/>
          <w:szCs w:val="22"/>
          <w:lang w:val="nl-NL" w:eastAsia="nl-NL"/>
        </w:rPr>
      </w:pPr>
      <w:hyperlink w:anchor="_Toc392758702" w:history="1">
        <w:r w:rsidR="00BA1E10" w:rsidRPr="00906A70">
          <w:rPr>
            <w:rStyle w:val="Hyperlink"/>
            <w:noProof/>
          </w:rPr>
          <w:t>1</w:t>
        </w:r>
        <w:r w:rsidR="00BA1E10" w:rsidRPr="00BE7AD9">
          <w:rPr>
            <w:rFonts w:ascii="Calibri" w:hAnsi="Calibri"/>
            <w:b w:val="0"/>
            <w:noProof/>
            <w:sz w:val="22"/>
            <w:szCs w:val="22"/>
            <w:lang w:val="nl-NL" w:eastAsia="nl-NL"/>
          </w:rPr>
          <w:tab/>
        </w:r>
        <w:r w:rsidR="00BA1E10" w:rsidRPr="00906A70">
          <w:rPr>
            <w:rStyle w:val="Hyperlink"/>
            <w:noProof/>
          </w:rPr>
          <w:t>GENERAL LEGAL FRAMEWORK</w:t>
        </w:r>
        <w:r w:rsidR="00BA1E10">
          <w:rPr>
            <w:noProof/>
            <w:webHidden/>
          </w:rPr>
          <w:tab/>
        </w:r>
        <w:r w:rsidR="00BA1E10">
          <w:rPr>
            <w:noProof/>
            <w:webHidden/>
          </w:rPr>
          <w:fldChar w:fldCharType="begin"/>
        </w:r>
        <w:r w:rsidR="00BA1E10">
          <w:rPr>
            <w:noProof/>
            <w:webHidden/>
          </w:rPr>
          <w:instrText xml:space="preserve"> PAGEREF _Toc392758702 \h </w:instrText>
        </w:r>
        <w:r w:rsidR="00BA1E10">
          <w:rPr>
            <w:noProof/>
            <w:webHidden/>
          </w:rPr>
        </w:r>
        <w:r w:rsidR="00BA1E10">
          <w:rPr>
            <w:noProof/>
            <w:webHidden/>
          </w:rPr>
          <w:fldChar w:fldCharType="separate"/>
        </w:r>
        <w:r w:rsidR="00DA0744">
          <w:rPr>
            <w:noProof/>
            <w:webHidden/>
          </w:rPr>
          <w:t>15</w:t>
        </w:r>
        <w:r w:rsidR="00BA1E10">
          <w:rPr>
            <w:noProof/>
            <w:webHidden/>
          </w:rPr>
          <w:fldChar w:fldCharType="end"/>
        </w:r>
      </w:hyperlink>
    </w:p>
    <w:p w14:paraId="1F461C4F" w14:textId="77777777" w:rsidR="00BA1E10" w:rsidRPr="00BE7AD9" w:rsidRDefault="000D069B">
      <w:pPr>
        <w:pStyle w:val="TOC1"/>
        <w:rPr>
          <w:rFonts w:ascii="Calibri" w:hAnsi="Calibri"/>
          <w:b w:val="0"/>
          <w:noProof/>
          <w:sz w:val="22"/>
          <w:szCs w:val="22"/>
          <w:lang w:val="nl-NL" w:eastAsia="nl-NL"/>
        </w:rPr>
      </w:pPr>
      <w:hyperlink w:anchor="_Toc392758703" w:history="1">
        <w:r w:rsidR="00BA1E10" w:rsidRPr="00906A70">
          <w:rPr>
            <w:rStyle w:val="Hyperlink"/>
            <w:rFonts w:cs="Arial"/>
            <w:noProof/>
          </w:rPr>
          <w:t>2</w:t>
        </w:r>
        <w:r w:rsidR="00BA1E10" w:rsidRPr="00BE7AD9">
          <w:rPr>
            <w:rFonts w:ascii="Calibri" w:hAnsi="Calibri"/>
            <w:b w:val="0"/>
            <w:noProof/>
            <w:sz w:val="22"/>
            <w:szCs w:val="22"/>
            <w:lang w:val="nl-NL" w:eastAsia="nl-NL"/>
          </w:rPr>
          <w:tab/>
        </w:r>
        <w:r w:rsidR="00BA1E10" w:rsidRPr="00906A70">
          <w:rPr>
            <w:rStyle w:val="Hyperlink"/>
            <w:rFonts w:cs="Arial"/>
            <w:noProof/>
          </w:rPr>
          <w:t>THE DEFINITION OF DISCRIMINATION</w:t>
        </w:r>
        <w:r w:rsidR="00BA1E10">
          <w:rPr>
            <w:noProof/>
            <w:webHidden/>
          </w:rPr>
          <w:tab/>
        </w:r>
        <w:r w:rsidR="00BA1E10">
          <w:rPr>
            <w:noProof/>
            <w:webHidden/>
          </w:rPr>
          <w:fldChar w:fldCharType="begin"/>
        </w:r>
        <w:r w:rsidR="00BA1E10">
          <w:rPr>
            <w:noProof/>
            <w:webHidden/>
          </w:rPr>
          <w:instrText xml:space="preserve"> PAGEREF _Toc392758703 \h </w:instrText>
        </w:r>
        <w:r w:rsidR="00BA1E10">
          <w:rPr>
            <w:noProof/>
            <w:webHidden/>
          </w:rPr>
        </w:r>
        <w:r w:rsidR="00BA1E10">
          <w:rPr>
            <w:noProof/>
            <w:webHidden/>
          </w:rPr>
          <w:fldChar w:fldCharType="separate"/>
        </w:r>
        <w:r w:rsidR="00DA0744">
          <w:rPr>
            <w:noProof/>
            <w:webHidden/>
          </w:rPr>
          <w:t>18</w:t>
        </w:r>
        <w:r w:rsidR="00BA1E10">
          <w:rPr>
            <w:noProof/>
            <w:webHidden/>
          </w:rPr>
          <w:fldChar w:fldCharType="end"/>
        </w:r>
      </w:hyperlink>
    </w:p>
    <w:p w14:paraId="5FB8C396" w14:textId="77777777" w:rsidR="00BA1E10" w:rsidRPr="00BE7AD9" w:rsidRDefault="000D069B">
      <w:pPr>
        <w:pStyle w:val="TOC2"/>
        <w:rPr>
          <w:rFonts w:ascii="Calibri" w:hAnsi="Calibri"/>
          <w:noProof/>
          <w:sz w:val="22"/>
          <w:szCs w:val="22"/>
          <w:lang w:val="nl-NL" w:eastAsia="nl-NL"/>
        </w:rPr>
      </w:pPr>
      <w:hyperlink w:anchor="_Toc392758704" w:history="1">
        <w:r w:rsidR="00BA1E10" w:rsidRPr="00906A70">
          <w:rPr>
            <w:rStyle w:val="Hyperlink"/>
            <w:rFonts w:cs="Arial"/>
            <w:noProof/>
          </w:rPr>
          <w:t>2.1</w:t>
        </w:r>
        <w:r w:rsidR="00BA1E10" w:rsidRPr="00BE7AD9">
          <w:rPr>
            <w:rFonts w:ascii="Calibri" w:hAnsi="Calibri"/>
            <w:noProof/>
            <w:sz w:val="22"/>
            <w:szCs w:val="22"/>
            <w:lang w:val="nl-NL" w:eastAsia="nl-NL"/>
          </w:rPr>
          <w:tab/>
        </w:r>
        <w:r w:rsidR="00BA1E10" w:rsidRPr="00906A70">
          <w:rPr>
            <w:rStyle w:val="Hyperlink"/>
            <w:rFonts w:cs="Arial"/>
            <w:noProof/>
          </w:rPr>
          <w:t>Grounds of unlawful discrimination</w:t>
        </w:r>
        <w:r w:rsidR="00BA1E10">
          <w:rPr>
            <w:noProof/>
            <w:webHidden/>
          </w:rPr>
          <w:tab/>
        </w:r>
        <w:r w:rsidR="00BA1E10">
          <w:rPr>
            <w:noProof/>
            <w:webHidden/>
          </w:rPr>
          <w:fldChar w:fldCharType="begin"/>
        </w:r>
        <w:r w:rsidR="00BA1E10">
          <w:rPr>
            <w:noProof/>
            <w:webHidden/>
          </w:rPr>
          <w:instrText xml:space="preserve"> PAGEREF _Toc392758704 \h </w:instrText>
        </w:r>
        <w:r w:rsidR="00BA1E10">
          <w:rPr>
            <w:noProof/>
            <w:webHidden/>
          </w:rPr>
        </w:r>
        <w:r w:rsidR="00BA1E10">
          <w:rPr>
            <w:noProof/>
            <w:webHidden/>
          </w:rPr>
          <w:fldChar w:fldCharType="separate"/>
        </w:r>
        <w:r w:rsidR="00DA0744">
          <w:rPr>
            <w:noProof/>
            <w:webHidden/>
          </w:rPr>
          <w:t>18</w:t>
        </w:r>
        <w:r w:rsidR="00BA1E10">
          <w:rPr>
            <w:noProof/>
            <w:webHidden/>
          </w:rPr>
          <w:fldChar w:fldCharType="end"/>
        </w:r>
      </w:hyperlink>
    </w:p>
    <w:p w14:paraId="4E3436DF" w14:textId="77777777" w:rsidR="00BA1E10" w:rsidRPr="00BE7AD9" w:rsidRDefault="000D069B">
      <w:pPr>
        <w:pStyle w:val="TOC3"/>
        <w:rPr>
          <w:rFonts w:ascii="Calibri" w:hAnsi="Calibri"/>
          <w:noProof/>
          <w:sz w:val="22"/>
          <w:szCs w:val="22"/>
          <w:lang w:val="nl-NL" w:eastAsia="nl-NL"/>
        </w:rPr>
      </w:pPr>
      <w:hyperlink w:anchor="_Toc392758705" w:history="1">
        <w:r w:rsidR="00BA1E10" w:rsidRPr="00906A70">
          <w:rPr>
            <w:rStyle w:val="Hyperlink"/>
            <w:rFonts w:cs="Arial"/>
            <w:noProof/>
          </w:rPr>
          <w:t>2.1.1</w:t>
        </w:r>
        <w:r w:rsidR="00BA1E10" w:rsidRPr="00BE7AD9">
          <w:rPr>
            <w:rFonts w:ascii="Calibri" w:hAnsi="Calibri"/>
            <w:noProof/>
            <w:sz w:val="22"/>
            <w:szCs w:val="22"/>
            <w:lang w:val="nl-NL" w:eastAsia="nl-NL"/>
          </w:rPr>
          <w:tab/>
        </w:r>
        <w:r w:rsidR="00BA1E10" w:rsidRPr="00906A70">
          <w:rPr>
            <w:rStyle w:val="Hyperlink"/>
            <w:rFonts w:cs="Arial"/>
            <w:noProof/>
          </w:rPr>
          <w:t>Definition of the grounds of unlawful discrimination within the Directives</w:t>
        </w:r>
        <w:r w:rsidR="00BA1E10">
          <w:rPr>
            <w:noProof/>
            <w:webHidden/>
          </w:rPr>
          <w:tab/>
        </w:r>
        <w:r w:rsidR="00BA1E10">
          <w:rPr>
            <w:noProof/>
            <w:webHidden/>
          </w:rPr>
          <w:fldChar w:fldCharType="begin"/>
        </w:r>
        <w:r w:rsidR="00BA1E10">
          <w:rPr>
            <w:noProof/>
            <w:webHidden/>
          </w:rPr>
          <w:instrText xml:space="preserve"> PAGEREF _Toc392758705 \h </w:instrText>
        </w:r>
        <w:r w:rsidR="00BA1E10">
          <w:rPr>
            <w:noProof/>
            <w:webHidden/>
          </w:rPr>
        </w:r>
        <w:r w:rsidR="00BA1E10">
          <w:rPr>
            <w:noProof/>
            <w:webHidden/>
          </w:rPr>
          <w:fldChar w:fldCharType="separate"/>
        </w:r>
        <w:r w:rsidR="00DA0744">
          <w:rPr>
            <w:noProof/>
            <w:webHidden/>
          </w:rPr>
          <w:t>20</w:t>
        </w:r>
        <w:r w:rsidR="00BA1E10">
          <w:rPr>
            <w:noProof/>
            <w:webHidden/>
          </w:rPr>
          <w:fldChar w:fldCharType="end"/>
        </w:r>
      </w:hyperlink>
    </w:p>
    <w:p w14:paraId="4429D9A2" w14:textId="77777777" w:rsidR="00BA1E10" w:rsidRPr="00BE7AD9" w:rsidRDefault="000D069B">
      <w:pPr>
        <w:pStyle w:val="TOC3"/>
        <w:rPr>
          <w:rFonts w:ascii="Calibri" w:hAnsi="Calibri"/>
          <w:noProof/>
          <w:sz w:val="22"/>
          <w:szCs w:val="22"/>
          <w:lang w:val="nl-NL" w:eastAsia="nl-NL"/>
        </w:rPr>
      </w:pPr>
      <w:hyperlink w:anchor="_Toc392758706" w:history="1">
        <w:r w:rsidR="00BA1E10" w:rsidRPr="00906A70">
          <w:rPr>
            <w:rStyle w:val="Hyperlink"/>
            <w:rFonts w:cs="Arial"/>
            <w:noProof/>
          </w:rPr>
          <w:t>2.1.2</w:t>
        </w:r>
        <w:r w:rsidR="00BA1E10" w:rsidRPr="00BE7AD9">
          <w:rPr>
            <w:rFonts w:ascii="Calibri" w:hAnsi="Calibri"/>
            <w:noProof/>
            <w:sz w:val="22"/>
            <w:szCs w:val="22"/>
            <w:lang w:val="nl-NL" w:eastAsia="nl-NL"/>
          </w:rPr>
          <w:tab/>
        </w:r>
        <w:r w:rsidR="00BA1E10" w:rsidRPr="00906A70">
          <w:rPr>
            <w:rStyle w:val="Hyperlink"/>
            <w:rFonts w:cs="Arial"/>
            <w:noProof/>
          </w:rPr>
          <w:t>Multiple discrimination</w:t>
        </w:r>
        <w:r w:rsidR="00BA1E10">
          <w:rPr>
            <w:noProof/>
            <w:webHidden/>
          </w:rPr>
          <w:tab/>
        </w:r>
        <w:r w:rsidR="00BA1E10">
          <w:rPr>
            <w:noProof/>
            <w:webHidden/>
          </w:rPr>
          <w:fldChar w:fldCharType="begin"/>
        </w:r>
        <w:r w:rsidR="00BA1E10">
          <w:rPr>
            <w:noProof/>
            <w:webHidden/>
          </w:rPr>
          <w:instrText xml:space="preserve"> PAGEREF _Toc392758706 \h </w:instrText>
        </w:r>
        <w:r w:rsidR="00BA1E10">
          <w:rPr>
            <w:noProof/>
            <w:webHidden/>
          </w:rPr>
        </w:r>
        <w:r w:rsidR="00BA1E10">
          <w:rPr>
            <w:noProof/>
            <w:webHidden/>
          </w:rPr>
          <w:fldChar w:fldCharType="separate"/>
        </w:r>
        <w:r w:rsidR="00DA0744">
          <w:rPr>
            <w:noProof/>
            <w:webHidden/>
          </w:rPr>
          <w:t>25</w:t>
        </w:r>
        <w:r w:rsidR="00BA1E10">
          <w:rPr>
            <w:noProof/>
            <w:webHidden/>
          </w:rPr>
          <w:fldChar w:fldCharType="end"/>
        </w:r>
      </w:hyperlink>
    </w:p>
    <w:p w14:paraId="148F06C7" w14:textId="77777777" w:rsidR="00BA1E10" w:rsidRPr="00BE7AD9" w:rsidRDefault="000D069B">
      <w:pPr>
        <w:pStyle w:val="TOC3"/>
        <w:rPr>
          <w:rFonts w:ascii="Calibri" w:hAnsi="Calibri"/>
          <w:noProof/>
          <w:sz w:val="22"/>
          <w:szCs w:val="22"/>
          <w:lang w:val="nl-NL" w:eastAsia="nl-NL"/>
        </w:rPr>
      </w:pPr>
      <w:hyperlink w:anchor="_Toc392758707" w:history="1">
        <w:r w:rsidR="00BA1E10" w:rsidRPr="00906A70">
          <w:rPr>
            <w:rStyle w:val="Hyperlink"/>
            <w:rFonts w:cs="Arial"/>
            <w:noProof/>
          </w:rPr>
          <w:t>2.1.3</w:t>
        </w:r>
        <w:r w:rsidR="00BA1E10" w:rsidRPr="00BE7AD9">
          <w:rPr>
            <w:rFonts w:ascii="Calibri" w:hAnsi="Calibri"/>
            <w:noProof/>
            <w:sz w:val="22"/>
            <w:szCs w:val="22"/>
            <w:lang w:val="nl-NL" w:eastAsia="nl-NL"/>
          </w:rPr>
          <w:tab/>
        </w:r>
        <w:r w:rsidR="00BA1E10" w:rsidRPr="00906A70">
          <w:rPr>
            <w:rStyle w:val="Hyperlink"/>
            <w:rFonts w:cs="Arial"/>
            <w:noProof/>
          </w:rPr>
          <w:t>Assumed and associated discrimination</w:t>
        </w:r>
        <w:r w:rsidR="00BA1E10">
          <w:rPr>
            <w:noProof/>
            <w:webHidden/>
          </w:rPr>
          <w:tab/>
        </w:r>
        <w:r w:rsidR="00BA1E10">
          <w:rPr>
            <w:noProof/>
            <w:webHidden/>
          </w:rPr>
          <w:fldChar w:fldCharType="begin"/>
        </w:r>
        <w:r w:rsidR="00BA1E10">
          <w:rPr>
            <w:noProof/>
            <w:webHidden/>
          </w:rPr>
          <w:instrText xml:space="preserve"> PAGEREF _Toc392758707 \h </w:instrText>
        </w:r>
        <w:r w:rsidR="00BA1E10">
          <w:rPr>
            <w:noProof/>
            <w:webHidden/>
          </w:rPr>
        </w:r>
        <w:r w:rsidR="00BA1E10">
          <w:rPr>
            <w:noProof/>
            <w:webHidden/>
          </w:rPr>
          <w:fldChar w:fldCharType="separate"/>
        </w:r>
        <w:r w:rsidR="00DA0744">
          <w:rPr>
            <w:noProof/>
            <w:webHidden/>
          </w:rPr>
          <w:t>25</w:t>
        </w:r>
        <w:r w:rsidR="00BA1E10">
          <w:rPr>
            <w:noProof/>
            <w:webHidden/>
          </w:rPr>
          <w:fldChar w:fldCharType="end"/>
        </w:r>
      </w:hyperlink>
    </w:p>
    <w:p w14:paraId="4E03BB7C" w14:textId="77777777" w:rsidR="00BA1E10" w:rsidRPr="00BE7AD9" w:rsidRDefault="000D069B">
      <w:pPr>
        <w:pStyle w:val="TOC2"/>
        <w:rPr>
          <w:rFonts w:ascii="Calibri" w:hAnsi="Calibri"/>
          <w:noProof/>
          <w:sz w:val="22"/>
          <w:szCs w:val="22"/>
          <w:lang w:val="nl-NL" w:eastAsia="nl-NL"/>
        </w:rPr>
      </w:pPr>
      <w:hyperlink w:anchor="_Toc392758708" w:history="1">
        <w:r w:rsidR="00BA1E10" w:rsidRPr="00906A70">
          <w:rPr>
            <w:rStyle w:val="Hyperlink"/>
            <w:rFonts w:cs="Arial"/>
            <w:noProof/>
          </w:rPr>
          <w:t>2.2</w:t>
        </w:r>
        <w:r w:rsidR="00BA1E10" w:rsidRPr="00BE7AD9">
          <w:rPr>
            <w:rFonts w:ascii="Calibri" w:hAnsi="Calibri"/>
            <w:noProof/>
            <w:sz w:val="22"/>
            <w:szCs w:val="22"/>
            <w:lang w:val="nl-NL" w:eastAsia="nl-NL"/>
          </w:rPr>
          <w:tab/>
        </w:r>
        <w:r w:rsidR="00BA1E10" w:rsidRPr="00906A70">
          <w:rPr>
            <w:rStyle w:val="Hyperlink"/>
            <w:rFonts w:cs="Arial"/>
            <w:noProof/>
          </w:rPr>
          <w:t>Direct discrimination (Article 2(2)(a))</w:t>
        </w:r>
        <w:r w:rsidR="00BA1E10">
          <w:rPr>
            <w:noProof/>
            <w:webHidden/>
          </w:rPr>
          <w:tab/>
        </w:r>
        <w:r w:rsidR="00BA1E10">
          <w:rPr>
            <w:noProof/>
            <w:webHidden/>
          </w:rPr>
          <w:fldChar w:fldCharType="begin"/>
        </w:r>
        <w:r w:rsidR="00BA1E10">
          <w:rPr>
            <w:noProof/>
            <w:webHidden/>
          </w:rPr>
          <w:instrText xml:space="preserve"> PAGEREF _Toc392758708 \h </w:instrText>
        </w:r>
        <w:r w:rsidR="00BA1E10">
          <w:rPr>
            <w:noProof/>
            <w:webHidden/>
          </w:rPr>
        </w:r>
        <w:r w:rsidR="00BA1E10">
          <w:rPr>
            <w:noProof/>
            <w:webHidden/>
          </w:rPr>
          <w:fldChar w:fldCharType="separate"/>
        </w:r>
        <w:r w:rsidR="00DA0744">
          <w:rPr>
            <w:noProof/>
            <w:webHidden/>
          </w:rPr>
          <w:t>27</w:t>
        </w:r>
        <w:r w:rsidR="00BA1E10">
          <w:rPr>
            <w:noProof/>
            <w:webHidden/>
          </w:rPr>
          <w:fldChar w:fldCharType="end"/>
        </w:r>
      </w:hyperlink>
    </w:p>
    <w:p w14:paraId="003C70EC" w14:textId="77777777" w:rsidR="00BA1E10" w:rsidRPr="00BE7AD9" w:rsidRDefault="000D069B">
      <w:pPr>
        <w:pStyle w:val="TOC3"/>
        <w:rPr>
          <w:rFonts w:ascii="Calibri" w:hAnsi="Calibri"/>
          <w:noProof/>
          <w:sz w:val="22"/>
          <w:szCs w:val="22"/>
          <w:lang w:val="nl-NL" w:eastAsia="nl-NL"/>
        </w:rPr>
      </w:pPr>
      <w:hyperlink w:anchor="_Toc392758709" w:history="1">
        <w:r w:rsidR="00BA1E10" w:rsidRPr="00906A70">
          <w:rPr>
            <w:rStyle w:val="Hyperlink"/>
            <w:rFonts w:cs="Arial"/>
            <w:noProof/>
          </w:rPr>
          <w:t>2.2.1</w:t>
        </w:r>
        <w:r w:rsidR="00BA1E10" w:rsidRPr="00BE7AD9">
          <w:rPr>
            <w:rFonts w:ascii="Calibri" w:hAnsi="Calibri"/>
            <w:noProof/>
            <w:sz w:val="22"/>
            <w:szCs w:val="22"/>
            <w:lang w:val="nl-NL" w:eastAsia="nl-NL"/>
          </w:rPr>
          <w:tab/>
        </w:r>
        <w:r w:rsidR="00BA1E10" w:rsidRPr="00906A70">
          <w:rPr>
            <w:rStyle w:val="Hyperlink"/>
            <w:rFonts w:cs="Arial"/>
            <w:noProof/>
          </w:rPr>
          <w:t>Situation Testing</w:t>
        </w:r>
        <w:r w:rsidR="00BA1E10">
          <w:rPr>
            <w:noProof/>
            <w:webHidden/>
          </w:rPr>
          <w:tab/>
        </w:r>
        <w:r w:rsidR="00BA1E10">
          <w:rPr>
            <w:noProof/>
            <w:webHidden/>
          </w:rPr>
          <w:fldChar w:fldCharType="begin"/>
        </w:r>
        <w:r w:rsidR="00BA1E10">
          <w:rPr>
            <w:noProof/>
            <w:webHidden/>
          </w:rPr>
          <w:instrText xml:space="preserve"> PAGEREF _Toc392758709 \h </w:instrText>
        </w:r>
        <w:r w:rsidR="00BA1E10">
          <w:rPr>
            <w:noProof/>
            <w:webHidden/>
          </w:rPr>
        </w:r>
        <w:r w:rsidR="00BA1E10">
          <w:rPr>
            <w:noProof/>
            <w:webHidden/>
          </w:rPr>
          <w:fldChar w:fldCharType="separate"/>
        </w:r>
        <w:r w:rsidR="00DA0744">
          <w:rPr>
            <w:noProof/>
            <w:webHidden/>
          </w:rPr>
          <w:t>35</w:t>
        </w:r>
        <w:r w:rsidR="00BA1E10">
          <w:rPr>
            <w:noProof/>
            <w:webHidden/>
          </w:rPr>
          <w:fldChar w:fldCharType="end"/>
        </w:r>
      </w:hyperlink>
    </w:p>
    <w:p w14:paraId="29C4BE4A" w14:textId="77777777" w:rsidR="00BA1E10" w:rsidRPr="00BE7AD9" w:rsidRDefault="000D069B">
      <w:pPr>
        <w:pStyle w:val="TOC2"/>
        <w:rPr>
          <w:rFonts w:ascii="Calibri" w:hAnsi="Calibri"/>
          <w:noProof/>
          <w:sz w:val="22"/>
          <w:szCs w:val="22"/>
          <w:lang w:val="nl-NL" w:eastAsia="nl-NL"/>
        </w:rPr>
      </w:pPr>
      <w:hyperlink w:anchor="_Toc392758710" w:history="1">
        <w:r w:rsidR="00BA1E10" w:rsidRPr="00906A70">
          <w:rPr>
            <w:rStyle w:val="Hyperlink"/>
            <w:rFonts w:cs="Arial"/>
            <w:noProof/>
          </w:rPr>
          <w:t>2.3</w:t>
        </w:r>
        <w:r w:rsidR="00BA1E10" w:rsidRPr="00BE7AD9">
          <w:rPr>
            <w:rFonts w:ascii="Calibri" w:hAnsi="Calibri"/>
            <w:noProof/>
            <w:sz w:val="22"/>
            <w:szCs w:val="22"/>
            <w:lang w:val="nl-NL" w:eastAsia="nl-NL"/>
          </w:rPr>
          <w:tab/>
        </w:r>
        <w:r w:rsidR="00BA1E10" w:rsidRPr="00906A70">
          <w:rPr>
            <w:rStyle w:val="Hyperlink"/>
            <w:rFonts w:cs="Arial"/>
            <w:noProof/>
          </w:rPr>
          <w:t>Indirect discrimination (Article 2(2)(b))</w:t>
        </w:r>
        <w:r w:rsidR="00BA1E10">
          <w:rPr>
            <w:noProof/>
            <w:webHidden/>
          </w:rPr>
          <w:tab/>
        </w:r>
        <w:r w:rsidR="00BA1E10">
          <w:rPr>
            <w:noProof/>
            <w:webHidden/>
          </w:rPr>
          <w:fldChar w:fldCharType="begin"/>
        </w:r>
        <w:r w:rsidR="00BA1E10">
          <w:rPr>
            <w:noProof/>
            <w:webHidden/>
          </w:rPr>
          <w:instrText xml:space="preserve"> PAGEREF _Toc392758710 \h </w:instrText>
        </w:r>
        <w:r w:rsidR="00BA1E10">
          <w:rPr>
            <w:noProof/>
            <w:webHidden/>
          </w:rPr>
        </w:r>
        <w:r w:rsidR="00BA1E10">
          <w:rPr>
            <w:noProof/>
            <w:webHidden/>
          </w:rPr>
          <w:fldChar w:fldCharType="separate"/>
        </w:r>
        <w:r w:rsidR="00DA0744">
          <w:rPr>
            <w:noProof/>
            <w:webHidden/>
          </w:rPr>
          <w:t>40</w:t>
        </w:r>
        <w:r w:rsidR="00BA1E10">
          <w:rPr>
            <w:noProof/>
            <w:webHidden/>
          </w:rPr>
          <w:fldChar w:fldCharType="end"/>
        </w:r>
      </w:hyperlink>
    </w:p>
    <w:p w14:paraId="7BC4EB55" w14:textId="77777777" w:rsidR="00BA1E10" w:rsidRPr="00BE7AD9" w:rsidRDefault="000D069B">
      <w:pPr>
        <w:pStyle w:val="TOC3"/>
        <w:rPr>
          <w:rFonts w:ascii="Calibri" w:hAnsi="Calibri"/>
          <w:noProof/>
          <w:sz w:val="22"/>
          <w:szCs w:val="22"/>
          <w:lang w:val="nl-NL" w:eastAsia="nl-NL"/>
        </w:rPr>
      </w:pPr>
      <w:hyperlink w:anchor="_Toc392758711" w:history="1">
        <w:r w:rsidR="00BA1E10" w:rsidRPr="00906A70">
          <w:rPr>
            <w:rStyle w:val="Hyperlink"/>
            <w:rFonts w:cs="Arial"/>
            <w:noProof/>
          </w:rPr>
          <w:t>2.3.1</w:t>
        </w:r>
        <w:r w:rsidR="00BA1E10" w:rsidRPr="00BE7AD9">
          <w:rPr>
            <w:rFonts w:ascii="Calibri" w:hAnsi="Calibri"/>
            <w:noProof/>
            <w:sz w:val="22"/>
            <w:szCs w:val="22"/>
            <w:lang w:val="nl-NL" w:eastAsia="nl-NL"/>
          </w:rPr>
          <w:tab/>
        </w:r>
        <w:r w:rsidR="00BA1E10" w:rsidRPr="00906A70">
          <w:rPr>
            <w:rStyle w:val="Hyperlink"/>
            <w:rFonts w:cs="Arial"/>
            <w:noProof/>
          </w:rPr>
          <w:t>Statistical Evidence</w:t>
        </w:r>
        <w:r w:rsidR="00BA1E10">
          <w:rPr>
            <w:noProof/>
            <w:webHidden/>
          </w:rPr>
          <w:tab/>
        </w:r>
        <w:r w:rsidR="00BA1E10">
          <w:rPr>
            <w:noProof/>
            <w:webHidden/>
          </w:rPr>
          <w:fldChar w:fldCharType="begin"/>
        </w:r>
        <w:r w:rsidR="00BA1E10">
          <w:rPr>
            <w:noProof/>
            <w:webHidden/>
          </w:rPr>
          <w:instrText xml:space="preserve"> PAGEREF _Toc392758711 \h </w:instrText>
        </w:r>
        <w:r w:rsidR="00BA1E10">
          <w:rPr>
            <w:noProof/>
            <w:webHidden/>
          </w:rPr>
        </w:r>
        <w:r w:rsidR="00BA1E10">
          <w:rPr>
            <w:noProof/>
            <w:webHidden/>
          </w:rPr>
          <w:fldChar w:fldCharType="separate"/>
        </w:r>
        <w:r w:rsidR="00DA0744">
          <w:rPr>
            <w:noProof/>
            <w:webHidden/>
          </w:rPr>
          <w:t>41</w:t>
        </w:r>
        <w:r w:rsidR="00BA1E10">
          <w:rPr>
            <w:noProof/>
            <w:webHidden/>
          </w:rPr>
          <w:fldChar w:fldCharType="end"/>
        </w:r>
      </w:hyperlink>
    </w:p>
    <w:p w14:paraId="4C850AEC" w14:textId="77777777" w:rsidR="00BA1E10" w:rsidRPr="00BE7AD9" w:rsidRDefault="000D069B">
      <w:pPr>
        <w:pStyle w:val="TOC2"/>
        <w:rPr>
          <w:rFonts w:ascii="Calibri" w:hAnsi="Calibri"/>
          <w:noProof/>
          <w:sz w:val="22"/>
          <w:szCs w:val="22"/>
          <w:lang w:val="nl-NL" w:eastAsia="nl-NL"/>
        </w:rPr>
      </w:pPr>
      <w:hyperlink w:anchor="_Toc392758712" w:history="1">
        <w:r w:rsidR="00BA1E10" w:rsidRPr="00906A70">
          <w:rPr>
            <w:rStyle w:val="Hyperlink"/>
            <w:rFonts w:cs="Arial"/>
            <w:noProof/>
          </w:rPr>
          <w:t>2.4</w:t>
        </w:r>
        <w:r w:rsidR="00BA1E10" w:rsidRPr="00BE7AD9">
          <w:rPr>
            <w:rFonts w:ascii="Calibri" w:hAnsi="Calibri"/>
            <w:noProof/>
            <w:sz w:val="22"/>
            <w:szCs w:val="22"/>
            <w:lang w:val="nl-NL" w:eastAsia="nl-NL"/>
          </w:rPr>
          <w:tab/>
        </w:r>
        <w:r w:rsidR="00BA1E10" w:rsidRPr="00906A70">
          <w:rPr>
            <w:rStyle w:val="Hyperlink"/>
            <w:rFonts w:cs="Arial"/>
            <w:noProof/>
          </w:rPr>
          <w:t>Harassment (Article 2(3))</w:t>
        </w:r>
        <w:r w:rsidR="00BA1E10">
          <w:rPr>
            <w:noProof/>
            <w:webHidden/>
          </w:rPr>
          <w:tab/>
        </w:r>
        <w:r w:rsidR="00BA1E10">
          <w:rPr>
            <w:noProof/>
            <w:webHidden/>
          </w:rPr>
          <w:fldChar w:fldCharType="begin"/>
        </w:r>
        <w:r w:rsidR="00BA1E10">
          <w:rPr>
            <w:noProof/>
            <w:webHidden/>
          </w:rPr>
          <w:instrText xml:space="preserve"> PAGEREF _Toc392758712 \h </w:instrText>
        </w:r>
        <w:r w:rsidR="00BA1E10">
          <w:rPr>
            <w:noProof/>
            <w:webHidden/>
          </w:rPr>
        </w:r>
        <w:r w:rsidR="00BA1E10">
          <w:rPr>
            <w:noProof/>
            <w:webHidden/>
          </w:rPr>
          <w:fldChar w:fldCharType="separate"/>
        </w:r>
        <w:r w:rsidR="00DA0744">
          <w:rPr>
            <w:noProof/>
            <w:webHidden/>
          </w:rPr>
          <w:t>50</w:t>
        </w:r>
        <w:r w:rsidR="00BA1E10">
          <w:rPr>
            <w:noProof/>
            <w:webHidden/>
          </w:rPr>
          <w:fldChar w:fldCharType="end"/>
        </w:r>
      </w:hyperlink>
    </w:p>
    <w:p w14:paraId="2700E111" w14:textId="77777777" w:rsidR="00BA1E10" w:rsidRPr="00BE7AD9" w:rsidRDefault="000D069B">
      <w:pPr>
        <w:pStyle w:val="TOC2"/>
        <w:rPr>
          <w:rFonts w:ascii="Calibri" w:hAnsi="Calibri"/>
          <w:noProof/>
          <w:sz w:val="22"/>
          <w:szCs w:val="22"/>
          <w:lang w:val="nl-NL" w:eastAsia="nl-NL"/>
        </w:rPr>
      </w:pPr>
      <w:hyperlink w:anchor="_Toc392758713" w:history="1">
        <w:r w:rsidR="00BA1E10" w:rsidRPr="00906A70">
          <w:rPr>
            <w:rStyle w:val="Hyperlink"/>
            <w:rFonts w:cs="Arial"/>
            <w:noProof/>
          </w:rPr>
          <w:t>2.5</w:t>
        </w:r>
        <w:r w:rsidR="00BA1E10" w:rsidRPr="00BE7AD9">
          <w:rPr>
            <w:rFonts w:ascii="Calibri" w:hAnsi="Calibri"/>
            <w:noProof/>
            <w:sz w:val="22"/>
            <w:szCs w:val="22"/>
            <w:lang w:val="nl-NL" w:eastAsia="nl-NL"/>
          </w:rPr>
          <w:tab/>
        </w:r>
        <w:r w:rsidR="00BA1E10" w:rsidRPr="00906A70">
          <w:rPr>
            <w:rStyle w:val="Hyperlink"/>
            <w:rFonts w:cs="Arial"/>
            <w:noProof/>
          </w:rPr>
          <w:t>Instructions to discriminate (Article 2(4))</w:t>
        </w:r>
        <w:r w:rsidR="00BA1E10">
          <w:rPr>
            <w:noProof/>
            <w:webHidden/>
          </w:rPr>
          <w:tab/>
        </w:r>
        <w:r w:rsidR="00BA1E10">
          <w:rPr>
            <w:noProof/>
            <w:webHidden/>
          </w:rPr>
          <w:fldChar w:fldCharType="begin"/>
        </w:r>
        <w:r w:rsidR="00BA1E10">
          <w:rPr>
            <w:noProof/>
            <w:webHidden/>
          </w:rPr>
          <w:instrText xml:space="preserve"> PAGEREF _Toc392758713 \h </w:instrText>
        </w:r>
        <w:r w:rsidR="00BA1E10">
          <w:rPr>
            <w:noProof/>
            <w:webHidden/>
          </w:rPr>
        </w:r>
        <w:r w:rsidR="00BA1E10">
          <w:rPr>
            <w:noProof/>
            <w:webHidden/>
          </w:rPr>
          <w:fldChar w:fldCharType="separate"/>
        </w:r>
        <w:r w:rsidR="00DA0744">
          <w:rPr>
            <w:noProof/>
            <w:webHidden/>
          </w:rPr>
          <w:t>51</w:t>
        </w:r>
        <w:r w:rsidR="00BA1E10">
          <w:rPr>
            <w:noProof/>
            <w:webHidden/>
          </w:rPr>
          <w:fldChar w:fldCharType="end"/>
        </w:r>
      </w:hyperlink>
    </w:p>
    <w:p w14:paraId="67C72124" w14:textId="77777777" w:rsidR="00BA1E10" w:rsidRPr="00BE7AD9" w:rsidRDefault="000D069B">
      <w:pPr>
        <w:pStyle w:val="TOC2"/>
        <w:rPr>
          <w:rFonts w:ascii="Calibri" w:hAnsi="Calibri"/>
          <w:noProof/>
          <w:sz w:val="22"/>
          <w:szCs w:val="22"/>
          <w:lang w:val="nl-NL" w:eastAsia="nl-NL"/>
        </w:rPr>
      </w:pPr>
      <w:hyperlink w:anchor="_Toc392758714" w:history="1">
        <w:r w:rsidR="00BA1E10" w:rsidRPr="00906A70">
          <w:rPr>
            <w:rStyle w:val="Hyperlink"/>
            <w:rFonts w:cs="Arial"/>
            <w:noProof/>
          </w:rPr>
          <w:t>2.6</w:t>
        </w:r>
        <w:r w:rsidR="00BA1E10" w:rsidRPr="00BE7AD9">
          <w:rPr>
            <w:rFonts w:ascii="Calibri" w:hAnsi="Calibri"/>
            <w:noProof/>
            <w:sz w:val="22"/>
            <w:szCs w:val="22"/>
            <w:lang w:val="nl-NL" w:eastAsia="nl-NL"/>
          </w:rPr>
          <w:tab/>
        </w:r>
        <w:r w:rsidR="00BA1E10" w:rsidRPr="00906A70">
          <w:rPr>
            <w:rStyle w:val="Hyperlink"/>
            <w:rFonts w:cs="Arial"/>
            <w:noProof/>
          </w:rPr>
          <w:t>Reasonable accommodation duties (Article 2(2)(b)(ii) and Article 5 Directive 2000/78)</w:t>
        </w:r>
        <w:r w:rsidR="00BA1E10">
          <w:rPr>
            <w:noProof/>
            <w:webHidden/>
          </w:rPr>
          <w:tab/>
        </w:r>
        <w:r w:rsidR="00BA1E10">
          <w:rPr>
            <w:noProof/>
            <w:webHidden/>
          </w:rPr>
          <w:fldChar w:fldCharType="begin"/>
        </w:r>
        <w:r w:rsidR="00BA1E10">
          <w:rPr>
            <w:noProof/>
            <w:webHidden/>
          </w:rPr>
          <w:instrText xml:space="preserve"> PAGEREF _Toc392758714 \h </w:instrText>
        </w:r>
        <w:r w:rsidR="00BA1E10">
          <w:rPr>
            <w:noProof/>
            <w:webHidden/>
          </w:rPr>
        </w:r>
        <w:r w:rsidR="00BA1E10">
          <w:rPr>
            <w:noProof/>
            <w:webHidden/>
          </w:rPr>
          <w:fldChar w:fldCharType="separate"/>
        </w:r>
        <w:r w:rsidR="00DA0744">
          <w:rPr>
            <w:noProof/>
            <w:webHidden/>
          </w:rPr>
          <w:t>53</w:t>
        </w:r>
        <w:r w:rsidR="00BA1E10">
          <w:rPr>
            <w:noProof/>
            <w:webHidden/>
          </w:rPr>
          <w:fldChar w:fldCharType="end"/>
        </w:r>
      </w:hyperlink>
    </w:p>
    <w:p w14:paraId="5D4F455B" w14:textId="77777777" w:rsidR="00BA1E10" w:rsidRPr="00BE7AD9" w:rsidRDefault="000D069B">
      <w:pPr>
        <w:pStyle w:val="TOC2"/>
        <w:rPr>
          <w:rFonts w:ascii="Calibri" w:hAnsi="Calibri"/>
          <w:noProof/>
          <w:sz w:val="22"/>
          <w:szCs w:val="22"/>
          <w:lang w:val="nl-NL" w:eastAsia="nl-NL"/>
        </w:rPr>
      </w:pPr>
      <w:hyperlink w:anchor="_Toc392758715" w:history="1">
        <w:r w:rsidR="00BA1E10" w:rsidRPr="00906A70">
          <w:rPr>
            <w:rStyle w:val="Hyperlink"/>
            <w:rFonts w:cs="Arial"/>
            <w:noProof/>
          </w:rPr>
          <w:t>2.7</w:t>
        </w:r>
        <w:r w:rsidR="00BA1E10" w:rsidRPr="00BE7AD9">
          <w:rPr>
            <w:rFonts w:ascii="Calibri" w:hAnsi="Calibri"/>
            <w:noProof/>
            <w:sz w:val="22"/>
            <w:szCs w:val="22"/>
            <w:lang w:val="nl-NL" w:eastAsia="nl-NL"/>
          </w:rPr>
          <w:tab/>
        </w:r>
        <w:r w:rsidR="00BA1E10" w:rsidRPr="00906A70">
          <w:rPr>
            <w:rStyle w:val="Hyperlink"/>
            <w:rFonts w:cs="Arial"/>
            <w:noProof/>
          </w:rPr>
          <w:t>Sheltered or semi-sheltered accommodation/employment</w:t>
        </w:r>
        <w:r w:rsidR="00BA1E10">
          <w:rPr>
            <w:noProof/>
            <w:webHidden/>
          </w:rPr>
          <w:tab/>
        </w:r>
        <w:r w:rsidR="00BA1E10">
          <w:rPr>
            <w:noProof/>
            <w:webHidden/>
          </w:rPr>
          <w:fldChar w:fldCharType="begin"/>
        </w:r>
        <w:r w:rsidR="00BA1E10">
          <w:rPr>
            <w:noProof/>
            <w:webHidden/>
          </w:rPr>
          <w:instrText xml:space="preserve"> PAGEREF _Toc392758715 \h </w:instrText>
        </w:r>
        <w:r w:rsidR="00BA1E10">
          <w:rPr>
            <w:noProof/>
            <w:webHidden/>
          </w:rPr>
        </w:r>
        <w:r w:rsidR="00BA1E10">
          <w:rPr>
            <w:noProof/>
            <w:webHidden/>
          </w:rPr>
          <w:fldChar w:fldCharType="separate"/>
        </w:r>
        <w:r w:rsidR="00DA0744">
          <w:rPr>
            <w:noProof/>
            <w:webHidden/>
          </w:rPr>
          <w:t>69</w:t>
        </w:r>
        <w:r w:rsidR="00BA1E10">
          <w:rPr>
            <w:noProof/>
            <w:webHidden/>
          </w:rPr>
          <w:fldChar w:fldCharType="end"/>
        </w:r>
      </w:hyperlink>
    </w:p>
    <w:p w14:paraId="4524A7BF" w14:textId="77777777" w:rsidR="00BA1E10" w:rsidRPr="00BE7AD9" w:rsidRDefault="000D069B">
      <w:pPr>
        <w:pStyle w:val="TOC1"/>
        <w:rPr>
          <w:rFonts w:ascii="Calibri" w:hAnsi="Calibri"/>
          <w:b w:val="0"/>
          <w:noProof/>
          <w:sz w:val="22"/>
          <w:szCs w:val="22"/>
          <w:lang w:val="nl-NL" w:eastAsia="nl-NL"/>
        </w:rPr>
      </w:pPr>
      <w:hyperlink w:anchor="_Toc392758716" w:history="1">
        <w:r w:rsidR="00BA1E10" w:rsidRPr="00906A70">
          <w:rPr>
            <w:rStyle w:val="Hyperlink"/>
            <w:rFonts w:cs="Arial"/>
            <w:noProof/>
          </w:rPr>
          <w:t>3</w:t>
        </w:r>
        <w:r w:rsidR="00BA1E10" w:rsidRPr="00BE7AD9">
          <w:rPr>
            <w:rFonts w:ascii="Calibri" w:hAnsi="Calibri"/>
            <w:b w:val="0"/>
            <w:noProof/>
            <w:sz w:val="22"/>
            <w:szCs w:val="22"/>
            <w:lang w:val="nl-NL" w:eastAsia="nl-NL"/>
          </w:rPr>
          <w:tab/>
        </w:r>
        <w:r w:rsidR="00BA1E10" w:rsidRPr="00906A70">
          <w:rPr>
            <w:rStyle w:val="Hyperlink"/>
            <w:rFonts w:cs="Arial"/>
            <w:noProof/>
          </w:rPr>
          <w:t>PERSONAL AND MATERIAL SCOPE</w:t>
        </w:r>
        <w:r w:rsidR="00BA1E10">
          <w:rPr>
            <w:noProof/>
            <w:webHidden/>
          </w:rPr>
          <w:tab/>
        </w:r>
        <w:r w:rsidR="00BA1E10">
          <w:rPr>
            <w:noProof/>
            <w:webHidden/>
          </w:rPr>
          <w:fldChar w:fldCharType="begin"/>
        </w:r>
        <w:r w:rsidR="00BA1E10">
          <w:rPr>
            <w:noProof/>
            <w:webHidden/>
          </w:rPr>
          <w:instrText xml:space="preserve"> PAGEREF _Toc392758716 \h </w:instrText>
        </w:r>
        <w:r w:rsidR="00BA1E10">
          <w:rPr>
            <w:noProof/>
            <w:webHidden/>
          </w:rPr>
        </w:r>
        <w:r w:rsidR="00BA1E10">
          <w:rPr>
            <w:noProof/>
            <w:webHidden/>
          </w:rPr>
          <w:fldChar w:fldCharType="separate"/>
        </w:r>
        <w:r w:rsidR="00DA0744">
          <w:rPr>
            <w:noProof/>
            <w:webHidden/>
          </w:rPr>
          <w:t>71</w:t>
        </w:r>
        <w:r w:rsidR="00BA1E10">
          <w:rPr>
            <w:noProof/>
            <w:webHidden/>
          </w:rPr>
          <w:fldChar w:fldCharType="end"/>
        </w:r>
      </w:hyperlink>
    </w:p>
    <w:p w14:paraId="2A44359C" w14:textId="77777777" w:rsidR="00BA1E10" w:rsidRPr="00BE7AD9" w:rsidRDefault="000D069B">
      <w:pPr>
        <w:pStyle w:val="TOC2"/>
        <w:rPr>
          <w:rFonts w:ascii="Calibri" w:hAnsi="Calibri"/>
          <w:noProof/>
          <w:sz w:val="22"/>
          <w:szCs w:val="22"/>
          <w:lang w:val="nl-NL" w:eastAsia="nl-NL"/>
        </w:rPr>
      </w:pPr>
      <w:hyperlink w:anchor="_Toc392758717" w:history="1">
        <w:r w:rsidR="00BA1E10" w:rsidRPr="00906A70">
          <w:rPr>
            <w:rStyle w:val="Hyperlink"/>
            <w:rFonts w:cs="Arial"/>
            <w:noProof/>
          </w:rPr>
          <w:t>3.1</w:t>
        </w:r>
        <w:r w:rsidR="00BA1E10" w:rsidRPr="00BE7AD9">
          <w:rPr>
            <w:rFonts w:ascii="Calibri" w:hAnsi="Calibri"/>
            <w:noProof/>
            <w:sz w:val="22"/>
            <w:szCs w:val="22"/>
            <w:lang w:val="nl-NL" w:eastAsia="nl-NL"/>
          </w:rPr>
          <w:tab/>
        </w:r>
        <w:r w:rsidR="00BA1E10" w:rsidRPr="00906A70">
          <w:rPr>
            <w:rStyle w:val="Hyperlink"/>
            <w:rFonts w:cs="Arial"/>
            <w:noProof/>
          </w:rPr>
          <w:t>Personal scope</w:t>
        </w:r>
        <w:r w:rsidR="00BA1E10">
          <w:rPr>
            <w:noProof/>
            <w:webHidden/>
          </w:rPr>
          <w:tab/>
        </w:r>
        <w:r w:rsidR="00BA1E10">
          <w:rPr>
            <w:noProof/>
            <w:webHidden/>
          </w:rPr>
          <w:fldChar w:fldCharType="begin"/>
        </w:r>
        <w:r w:rsidR="00BA1E10">
          <w:rPr>
            <w:noProof/>
            <w:webHidden/>
          </w:rPr>
          <w:instrText xml:space="preserve"> PAGEREF _Toc392758717 \h </w:instrText>
        </w:r>
        <w:r w:rsidR="00BA1E10">
          <w:rPr>
            <w:noProof/>
            <w:webHidden/>
          </w:rPr>
        </w:r>
        <w:r w:rsidR="00BA1E10">
          <w:rPr>
            <w:noProof/>
            <w:webHidden/>
          </w:rPr>
          <w:fldChar w:fldCharType="separate"/>
        </w:r>
        <w:r w:rsidR="00DA0744">
          <w:rPr>
            <w:noProof/>
            <w:webHidden/>
          </w:rPr>
          <w:t>71</w:t>
        </w:r>
        <w:r w:rsidR="00BA1E10">
          <w:rPr>
            <w:noProof/>
            <w:webHidden/>
          </w:rPr>
          <w:fldChar w:fldCharType="end"/>
        </w:r>
      </w:hyperlink>
    </w:p>
    <w:p w14:paraId="15C978BE" w14:textId="77777777" w:rsidR="00BA1E10" w:rsidRPr="00BE7AD9" w:rsidRDefault="000D069B">
      <w:pPr>
        <w:pStyle w:val="TOC3"/>
        <w:rPr>
          <w:rFonts w:ascii="Calibri" w:hAnsi="Calibri"/>
          <w:noProof/>
          <w:sz w:val="22"/>
          <w:szCs w:val="22"/>
          <w:lang w:val="nl-NL" w:eastAsia="nl-NL"/>
        </w:rPr>
      </w:pPr>
      <w:hyperlink w:anchor="_Toc392758718" w:history="1">
        <w:r w:rsidR="00BA1E10" w:rsidRPr="00906A70">
          <w:rPr>
            <w:rStyle w:val="Hyperlink"/>
            <w:rFonts w:cs="Arial"/>
            <w:noProof/>
          </w:rPr>
          <w:t>3.1.1</w:t>
        </w:r>
        <w:r w:rsidR="00BA1E10" w:rsidRPr="00BE7AD9">
          <w:rPr>
            <w:rFonts w:ascii="Calibri" w:hAnsi="Calibri"/>
            <w:noProof/>
            <w:sz w:val="22"/>
            <w:szCs w:val="22"/>
            <w:lang w:val="nl-NL" w:eastAsia="nl-NL"/>
          </w:rPr>
          <w:tab/>
        </w:r>
        <w:r w:rsidR="00BA1E10" w:rsidRPr="00906A70">
          <w:rPr>
            <w:rStyle w:val="Hyperlink"/>
            <w:rFonts w:cs="Arial"/>
            <w:noProof/>
          </w:rPr>
          <w:t>EU and non-EU nationals (Recital 13 and Article 3(2) Directive 2000/43 and Recital 12 and Article 3(2) Directive 2000/78)</w:t>
        </w:r>
        <w:r w:rsidR="00BA1E10">
          <w:rPr>
            <w:noProof/>
            <w:webHidden/>
          </w:rPr>
          <w:tab/>
        </w:r>
        <w:r w:rsidR="00BA1E10">
          <w:rPr>
            <w:noProof/>
            <w:webHidden/>
          </w:rPr>
          <w:fldChar w:fldCharType="begin"/>
        </w:r>
        <w:r w:rsidR="00BA1E10">
          <w:rPr>
            <w:noProof/>
            <w:webHidden/>
          </w:rPr>
          <w:instrText xml:space="preserve"> PAGEREF _Toc392758718 \h </w:instrText>
        </w:r>
        <w:r w:rsidR="00BA1E10">
          <w:rPr>
            <w:noProof/>
            <w:webHidden/>
          </w:rPr>
        </w:r>
        <w:r w:rsidR="00BA1E10">
          <w:rPr>
            <w:noProof/>
            <w:webHidden/>
          </w:rPr>
          <w:fldChar w:fldCharType="separate"/>
        </w:r>
        <w:r w:rsidR="00DA0744">
          <w:rPr>
            <w:noProof/>
            <w:webHidden/>
          </w:rPr>
          <w:t>71</w:t>
        </w:r>
        <w:r w:rsidR="00BA1E10">
          <w:rPr>
            <w:noProof/>
            <w:webHidden/>
          </w:rPr>
          <w:fldChar w:fldCharType="end"/>
        </w:r>
      </w:hyperlink>
    </w:p>
    <w:p w14:paraId="6D29C70B" w14:textId="77777777" w:rsidR="00BA1E10" w:rsidRPr="00BE7AD9" w:rsidRDefault="000D069B">
      <w:pPr>
        <w:pStyle w:val="TOC3"/>
        <w:rPr>
          <w:rFonts w:ascii="Calibri" w:hAnsi="Calibri"/>
          <w:noProof/>
          <w:sz w:val="22"/>
          <w:szCs w:val="22"/>
          <w:lang w:val="nl-NL" w:eastAsia="nl-NL"/>
        </w:rPr>
      </w:pPr>
      <w:hyperlink w:anchor="_Toc392758719" w:history="1">
        <w:r w:rsidR="00BA1E10" w:rsidRPr="00906A70">
          <w:rPr>
            <w:rStyle w:val="Hyperlink"/>
            <w:rFonts w:cs="Arial"/>
            <w:noProof/>
          </w:rPr>
          <w:t>3.1.2</w:t>
        </w:r>
        <w:r w:rsidR="00BA1E10" w:rsidRPr="00BE7AD9">
          <w:rPr>
            <w:rFonts w:ascii="Calibri" w:hAnsi="Calibri"/>
            <w:noProof/>
            <w:sz w:val="22"/>
            <w:szCs w:val="22"/>
            <w:lang w:val="nl-NL" w:eastAsia="nl-NL"/>
          </w:rPr>
          <w:tab/>
        </w:r>
        <w:r w:rsidR="00BA1E10" w:rsidRPr="00906A70">
          <w:rPr>
            <w:rStyle w:val="Hyperlink"/>
            <w:rFonts w:cs="Arial"/>
            <w:noProof/>
          </w:rPr>
          <w:t>Natural persons and legal persons (Recital 16 Directive 2000/43)</w:t>
        </w:r>
        <w:r w:rsidR="00BA1E10">
          <w:rPr>
            <w:noProof/>
            <w:webHidden/>
          </w:rPr>
          <w:tab/>
        </w:r>
        <w:r w:rsidR="00BA1E10">
          <w:rPr>
            <w:noProof/>
            <w:webHidden/>
          </w:rPr>
          <w:fldChar w:fldCharType="begin"/>
        </w:r>
        <w:r w:rsidR="00BA1E10">
          <w:rPr>
            <w:noProof/>
            <w:webHidden/>
          </w:rPr>
          <w:instrText xml:space="preserve"> PAGEREF _Toc392758719 \h </w:instrText>
        </w:r>
        <w:r w:rsidR="00BA1E10">
          <w:rPr>
            <w:noProof/>
            <w:webHidden/>
          </w:rPr>
        </w:r>
        <w:r w:rsidR="00BA1E10">
          <w:rPr>
            <w:noProof/>
            <w:webHidden/>
          </w:rPr>
          <w:fldChar w:fldCharType="separate"/>
        </w:r>
        <w:r w:rsidR="00DA0744">
          <w:rPr>
            <w:noProof/>
            <w:webHidden/>
          </w:rPr>
          <w:t>71</w:t>
        </w:r>
        <w:r w:rsidR="00BA1E10">
          <w:rPr>
            <w:noProof/>
            <w:webHidden/>
          </w:rPr>
          <w:fldChar w:fldCharType="end"/>
        </w:r>
      </w:hyperlink>
    </w:p>
    <w:p w14:paraId="76C5EFC6" w14:textId="77777777" w:rsidR="00BA1E10" w:rsidRPr="00BE7AD9" w:rsidRDefault="000D069B">
      <w:pPr>
        <w:pStyle w:val="TOC3"/>
        <w:rPr>
          <w:rFonts w:ascii="Calibri" w:hAnsi="Calibri"/>
          <w:noProof/>
          <w:sz w:val="22"/>
          <w:szCs w:val="22"/>
          <w:lang w:val="nl-NL" w:eastAsia="nl-NL"/>
        </w:rPr>
      </w:pPr>
      <w:hyperlink w:anchor="_Toc392758720" w:history="1">
        <w:r w:rsidR="00BA1E10" w:rsidRPr="00906A70">
          <w:rPr>
            <w:rStyle w:val="Hyperlink"/>
            <w:rFonts w:cs="Arial"/>
            <w:noProof/>
          </w:rPr>
          <w:t>3.1.3</w:t>
        </w:r>
        <w:r w:rsidR="00BA1E10" w:rsidRPr="00BE7AD9">
          <w:rPr>
            <w:rFonts w:ascii="Calibri" w:hAnsi="Calibri"/>
            <w:noProof/>
            <w:sz w:val="22"/>
            <w:szCs w:val="22"/>
            <w:lang w:val="nl-NL" w:eastAsia="nl-NL"/>
          </w:rPr>
          <w:tab/>
        </w:r>
        <w:r w:rsidR="00BA1E10" w:rsidRPr="00906A70">
          <w:rPr>
            <w:rStyle w:val="Hyperlink"/>
            <w:rFonts w:cs="Arial"/>
            <w:noProof/>
          </w:rPr>
          <w:t>Scope of liability</w:t>
        </w:r>
        <w:r w:rsidR="00BA1E10">
          <w:rPr>
            <w:noProof/>
            <w:webHidden/>
          </w:rPr>
          <w:tab/>
        </w:r>
        <w:r w:rsidR="00BA1E10">
          <w:rPr>
            <w:noProof/>
            <w:webHidden/>
          </w:rPr>
          <w:fldChar w:fldCharType="begin"/>
        </w:r>
        <w:r w:rsidR="00BA1E10">
          <w:rPr>
            <w:noProof/>
            <w:webHidden/>
          </w:rPr>
          <w:instrText xml:space="preserve"> PAGEREF _Toc392758720 \h </w:instrText>
        </w:r>
        <w:r w:rsidR="00BA1E10">
          <w:rPr>
            <w:noProof/>
            <w:webHidden/>
          </w:rPr>
        </w:r>
        <w:r w:rsidR="00BA1E10">
          <w:rPr>
            <w:noProof/>
            <w:webHidden/>
          </w:rPr>
          <w:fldChar w:fldCharType="separate"/>
        </w:r>
        <w:r w:rsidR="00DA0744">
          <w:rPr>
            <w:noProof/>
            <w:webHidden/>
          </w:rPr>
          <w:t>73</w:t>
        </w:r>
        <w:r w:rsidR="00BA1E10">
          <w:rPr>
            <w:noProof/>
            <w:webHidden/>
          </w:rPr>
          <w:fldChar w:fldCharType="end"/>
        </w:r>
      </w:hyperlink>
    </w:p>
    <w:p w14:paraId="228C65A9" w14:textId="77777777" w:rsidR="00BA1E10" w:rsidRPr="00BE7AD9" w:rsidRDefault="000D069B">
      <w:pPr>
        <w:pStyle w:val="TOC2"/>
        <w:rPr>
          <w:rFonts w:ascii="Calibri" w:hAnsi="Calibri"/>
          <w:noProof/>
          <w:sz w:val="22"/>
          <w:szCs w:val="22"/>
          <w:lang w:val="nl-NL" w:eastAsia="nl-NL"/>
        </w:rPr>
      </w:pPr>
      <w:hyperlink w:anchor="_Toc392758721" w:history="1">
        <w:r w:rsidR="00BA1E10" w:rsidRPr="00906A70">
          <w:rPr>
            <w:rStyle w:val="Hyperlink"/>
            <w:rFonts w:cs="Arial"/>
            <w:noProof/>
          </w:rPr>
          <w:t>3.2</w:t>
        </w:r>
        <w:r w:rsidR="00BA1E10" w:rsidRPr="00BE7AD9">
          <w:rPr>
            <w:rFonts w:ascii="Calibri" w:hAnsi="Calibri"/>
            <w:noProof/>
            <w:sz w:val="22"/>
            <w:szCs w:val="22"/>
            <w:lang w:val="nl-NL" w:eastAsia="nl-NL"/>
          </w:rPr>
          <w:tab/>
        </w:r>
        <w:r w:rsidR="00BA1E10" w:rsidRPr="00906A70">
          <w:rPr>
            <w:rStyle w:val="Hyperlink"/>
            <w:rFonts w:cs="Arial"/>
            <w:noProof/>
          </w:rPr>
          <w:t>Material Scope</w:t>
        </w:r>
        <w:r w:rsidR="00BA1E10">
          <w:rPr>
            <w:noProof/>
            <w:webHidden/>
          </w:rPr>
          <w:tab/>
        </w:r>
        <w:r w:rsidR="00BA1E10">
          <w:rPr>
            <w:noProof/>
            <w:webHidden/>
          </w:rPr>
          <w:fldChar w:fldCharType="begin"/>
        </w:r>
        <w:r w:rsidR="00BA1E10">
          <w:rPr>
            <w:noProof/>
            <w:webHidden/>
          </w:rPr>
          <w:instrText xml:space="preserve"> PAGEREF _Toc392758721 \h </w:instrText>
        </w:r>
        <w:r w:rsidR="00BA1E10">
          <w:rPr>
            <w:noProof/>
            <w:webHidden/>
          </w:rPr>
        </w:r>
        <w:r w:rsidR="00BA1E10">
          <w:rPr>
            <w:noProof/>
            <w:webHidden/>
          </w:rPr>
          <w:fldChar w:fldCharType="separate"/>
        </w:r>
        <w:r w:rsidR="00DA0744">
          <w:rPr>
            <w:noProof/>
            <w:webHidden/>
          </w:rPr>
          <w:t>73</w:t>
        </w:r>
        <w:r w:rsidR="00BA1E10">
          <w:rPr>
            <w:noProof/>
            <w:webHidden/>
          </w:rPr>
          <w:fldChar w:fldCharType="end"/>
        </w:r>
      </w:hyperlink>
    </w:p>
    <w:p w14:paraId="7F24B911" w14:textId="77777777" w:rsidR="00BA1E10" w:rsidRPr="00BE7AD9" w:rsidRDefault="000D069B">
      <w:pPr>
        <w:pStyle w:val="TOC3"/>
        <w:rPr>
          <w:rFonts w:ascii="Calibri" w:hAnsi="Calibri"/>
          <w:noProof/>
          <w:sz w:val="22"/>
          <w:szCs w:val="22"/>
          <w:lang w:val="nl-NL" w:eastAsia="nl-NL"/>
        </w:rPr>
      </w:pPr>
      <w:hyperlink w:anchor="_Toc392758722" w:history="1">
        <w:r w:rsidR="00BA1E10" w:rsidRPr="00906A70">
          <w:rPr>
            <w:rStyle w:val="Hyperlink"/>
            <w:rFonts w:cs="Arial"/>
            <w:noProof/>
          </w:rPr>
          <w:t>3.2.1</w:t>
        </w:r>
        <w:r w:rsidR="00BA1E10" w:rsidRPr="00BE7AD9">
          <w:rPr>
            <w:rFonts w:ascii="Calibri" w:hAnsi="Calibri"/>
            <w:noProof/>
            <w:sz w:val="22"/>
            <w:szCs w:val="22"/>
            <w:lang w:val="nl-NL" w:eastAsia="nl-NL"/>
          </w:rPr>
          <w:tab/>
        </w:r>
        <w:r w:rsidR="00BA1E10" w:rsidRPr="00906A70">
          <w:rPr>
            <w:rStyle w:val="Hyperlink"/>
            <w:rFonts w:cs="Arial"/>
            <w:noProof/>
          </w:rPr>
          <w:t>Employment, self-employment and occupation</w:t>
        </w:r>
        <w:r w:rsidR="00BA1E10">
          <w:rPr>
            <w:noProof/>
            <w:webHidden/>
          </w:rPr>
          <w:tab/>
        </w:r>
        <w:r w:rsidR="00BA1E10">
          <w:rPr>
            <w:noProof/>
            <w:webHidden/>
          </w:rPr>
          <w:fldChar w:fldCharType="begin"/>
        </w:r>
        <w:r w:rsidR="00BA1E10">
          <w:rPr>
            <w:noProof/>
            <w:webHidden/>
          </w:rPr>
          <w:instrText xml:space="preserve"> PAGEREF _Toc392758722 \h </w:instrText>
        </w:r>
        <w:r w:rsidR="00BA1E10">
          <w:rPr>
            <w:noProof/>
            <w:webHidden/>
          </w:rPr>
        </w:r>
        <w:r w:rsidR="00BA1E10">
          <w:rPr>
            <w:noProof/>
            <w:webHidden/>
          </w:rPr>
          <w:fldChar w:fldCharType="separate"/>
        </w:r>
        <w:r w:rsidR="00DA0744">
          <w:rPr>
            <w:noProof/>
            <w:webHidden/>
          </w:rPr>
          <w:t>73</w:t>
        </w:r>
        <w:r w:rsidR="00BA1E10">
          <w:rPr>
            <w:noProof/>
            <w:webHidden/>
          </w:rPr>
          <w:fldChar w:fldCharType="end"/>
        </w:r>
      </w:hyperlink>
    </w:p>
    <w:p w14:paraId="3EDCB59D" w14:textId="77777777" w:rsidR="00BA1E10" w:rsidRPr="00BE7AD9" w:rsidRDefault="000D069B">
      <w:pPr>
        <w:pStyle w:val="TOC3"/>
        <w:rPr>
          <w:rFonts w:ascii="Calibri" w:hAnsi="Calibri"/>
          <w:noProof/>
          <w:sz w:val="22"/>
          <w:szCs w:val="22"/>
          <w:lang w:val="nl-NL" w:eastAsia="nl-NL"/>
        </w:rPr>
      </w:pPr>
      <w:hyperlink w:anchor="_Toc392758723" w:history="1">
        <w:r w:rsidR="00BA1E10" w:rsidRPr="00906A70">
          <w:rPr>
            <w:rStyle w:val="Hyperlink"/>
            <w:rFonts w:cs="Arial"/>
            <w:noProof/>
          </w:rPr>
          <w:t>3.2.2</w:t>
        </w:r>
        <w:r w:rsidR="00BA1E10" w:rsidRPr="00BE7AD9">
          <w:rPr>
            <w:rFonts w:ascii="Calibri" w:hAnsi="Calibri"/>
            <w:noProof/>
            <w:sz w:val="22"/>
            <w:szCs w:val="22"/>
            <w:lang w:val="nl-NL" w:eastAsia="nl-NL"/>
          </w:rPr>
          <w:tab/>
        </w:r>
        <w:r w:rsidR="00BA1E10" w:rsidRPr="00906A70">
          <w:rPr>
            <w:rStyle w:val="Hyperlink"/>
            <w:rFonts w:cs="Arial"/>
            <w:noProof/>
          </w:rPr>
          <w:t>Conditions for access to employment, to self-employment or to occupation, including selection criteria, recruitment conditions and promotion, whatever the branch of activity and at all levels of the professional hierarchy (Article 3(1)(a))</w:t>
        </w:r>
        <w:r w:rsidR="00BA1E10">
          <w:rPr>
            <w:noProof/>
            <w:webHidden/>
          </w:rPr>
          <w:tab/>
        </w:r>
        <w:r w:rsidR="00BA1E10">
          <w:rPr>
            <w:noProof/>
            <w:webHidden/>
          </w:rPr>
          <w:fldChar w:fldCharType="begin"/>
        </w:r>
        <w:r w:rsidR="00BA1E10">
          <w:rPr>
            <w:noProof/>
            <w:webHidden/>
          </w:rPr>
          <w:instrText xml:space="preserve"> PAGEREF _Toc392758723 \h </w:instrText>
        </w:r>
        <w:r w:rsidR="00BA1E10">
          <w:rPr>
            <w:noProof/>
            <w:webHidden/>
          </w:rPr>
        </w:r>
        <w:r w:rsidR="00BA1E10">
          <w:rPr>
            <w:noProof/>
            <w:webHidden/>
          </w:rPr>
          <w:fldChar w:fldCharType="separate"/>
        </w:r>
        <w:r w:rsidR="00DA0744">
          <w:rPr>
            <w:noProof/>
            <w:webHidden/>
          </w:rPr>
          <w:t>75</w:t>
        </w:r>
        <w:r w:rsidR="00BA1E10">
          <w:rPr>
            <w:noProof/>
            <w:webHidden/>
          </w:rPr>
          <w:fldChar w:fldCharType="end"/>
        </w:r>
      </w:hyperlink>
    </w:p>
    <w:p w14:paraId="34302C5D" w14:textId="77777777" w:rsidR="00BA1E10" w:rsidRPr="00BE7AD9" w:rsidRDefault="000D069B">
      <w:pPr>
        <w:pStyle w:val="TOC3"/>
        <w:rPr>
          <w:rFonts w:ascii="Calibri" w:hAnsi="Calibri"/>
          <w:noProof/>
          <w:sz w:val="22"/>
          <w:szCs w:val="22"/>
          <w:lang w:val="nl-NL" w:eastAsia="nl-NL"/>
        </w:rPr>
      </w:pPr>
      <w:hyperlink w:anchor="_Toc392758724" w:history="1">
        <w:r w:rsidR="00BA1E10" w:rsidRPr="00906A70">
          <w:rPr>
            <w:rStyle w:val="Hyperlink"/>
            <w:rFonts w:cs="Arial"/>
            <w:noProof/>
          </w:rPr>
          <w:t>3.2.3</w:t>
        </w:r>
        <w:r w:rsidR="00BA1E10" w:rsidRPr="00BE7AD9">
          <w:rPr>
            <w:rFonts w:ascii="Calibri" w:hAnsi="Calibri"/>
            <w:noProof/>
            <w:sz w:val="22"/>
            <w:szCs w:val="22"/>
            <w:lang w:val="nl-NL" w:eastAsia="nl-NL"/>
          </w:rPr>
          <w:tab/>
        </w:r>
        <w:r w:rsidR="00BA1E10" w:rsidRPr="00906A70">
          <w:rPr>
            <w:rStyle w:val="Hyperlink"/>
            <w:rFonts w:cs="Arial"/>
            <w:noProof/>
          </w:rPr>
          <w:t>Employment and working conditions, including pay and dismissals (Article 3(1)(c))</w:t>
        </w:r>
        <w:r w:rsidR="00BA1E10">
          <w:rPr>
            <w:noProof/>
            <w:webHidden/>
          </w:rPr>
          <w:tab/>
        </w:r>
        <w:r w:rsidR="00BA1E10">
          <w:rPr>
            <w:noProof/>
            <w:webHidden/>
          </w:rPr>
          <w:fldChar w:fldCharType="begin"/>
        </w:r>
        <w:r w:rsidR="00BA1E10">
          <w:rPr>
            <w:noProof/>
            <w:webHidden/>
          </w:rPr>
          <w:instrText xml:space="preserve"> PAGEREF _Toc392758724 \h </w:instrText>
        </w:r>
        <w:r w:rsidR="00BA1E10">
          <w:rPr>
            <w:noProof/>
            <w:webHidden/>
          </w:rPr>
        </w:r>
        <w:r w:rsidR="00BA1E10">
          <w:rPr>
            <w:noProof/>
            <w:webHidden/>
          </w:rPr>
          <w:fldChar w:fldCharType="separate"/>
        </w:r>
        <w:r w:rsidR="00DA0744">
          <w:rPr>
            <w:noProof/>
            <w:webHidden/>
          </w:rPr>
          <w:t>76</w:t>
        </w:r>
        <w:r w:rsidR="00BA1E10">
          <w:rPr>
            <w:noProof/>
            <w:webHidden/>
          </w:rPr>
          <w:fldChar w:fldCharType="end"/>
        </w:r>
      </w:hyperlink>
    </w:p>
    <w:p w14:paraId="3722CDF1" w14:textId="77777777" w:rsidR="00BA1E10" w:rsidRPr="00BE7AD9" w:rsidRDefault="000D069B">
      <w:pPr>
        <w:pStyle w:val="TOC3"/>
        <w:rPr>
          <w:rFonts w:ascii="Calibri" w:hAnsi="Calibri"/>
          <w:noProof/>
          <w:sz w:val="22"/>
          <w:szCs w:val="22"/>
          <w:lang w:val="nl-NL" w:eastAsia="nl-NL"/>
        </w:rPr>
      </w:pPr>
      <w:hyperlink w:anchor="_Toc392758725" w:history="1">
        <w:r w:rsidR="00BA1E10" w:rsidRPr="00906A70">
          <w:rPr>
            <w:rStyle w:val="Hyperlink"/>
            <w:rFonts w:cs="Arial"/>
            <w:noProof/>
          </w:rPr>
          <w:t>3.2.4</w:t>
        </w:r>
        <w:r w:rsidR="00BA1E10" w:rsidRPr="00BE7AD9">
          <w:rPr>
            <w:rFonts w:ascii="Calibri" w:hAnsi="Calibri"/>
            <w:noProof/>
            <w:sz w:val="22"/>
            <w:szCs w:val="22"/>
            <w:lang w:val="nl-NL" w:eastAsia="nl-NL"/>
          </w:rPr>
          <w:tab/>
        </w:r>
        <w:r w:rsidR="00BA1E10" w:rsidRPr="00906A70">
          <w:rPr>
            <w:rStyle w:val="Hyperlink"/>
            <w:rFonts w:cs="Arial"/>
            <w:noProof/>
          </w:rPr>
          <w:t>Access to all types and to all levels of vocational guidance, vocational training, advanced vocational training and retraining, including practical work experience (Article 3(1)(b))</w:t>
        </w:r>
        <w:r w:rsidR="00BA1E10">
          <w:rPr>
            <w:noProof/>
            <w:webHidden/>
          </w:rPr>
          <w:tab/>
        </w:r>
        <w:r w:rsidR="00BA1E10">
          <w:rPr>
            <w:noProof/>
            <w:webHidden/>
          </w:rPr>
          <w:fldChar w:fldCharType="begin"/>
        </w:r>
        <w:r w:rsidR="00BA1E10">
          <w:rPr>
            <w:noProof/>
            <w:webHidden/>
          </w:rPr>
          <w:instrText xml:space="preserve"> PAGEREF _Toc392758725 \h </w:instrText>
        </w:r>
        <w:r w:rsidR="00BA1E10">
          <w:rPr>
            <w:noProof/>
            <w:webHidden/>
          </w:rPr>
        </w:r>
        <w:r w:rsidR="00BA1E10">
          <w:rPr>
            <w:noProof/>
            <w:webHidden/>
          </w:rPr>
          <w:fldChar w:fldCharType="separate"/>
        </w:r>
        <w:r w:rsidR="00DA0744">
          <w:rPr>
            <w:noProof/>
            <w:webHidden/>
          </w:rPr>
          <w:t>77</w:t>
        </w:r>
        <w:r w:rsidR="00BA1E10">
          <w:rPr>
            <w:noProof/>
            <w:webHidden/>
          </w:rPr>
          <w:fldChar w:fldCharType="end"/>
        </w:r>
      </w:hyperlink>
    </w:p>
    <w:p w14:paraId="4D436E71" w14:textId="77777777" w:rsidR="00BA1E10" w:rsidRPr="00BE7AD9" w:rsidRDefault="000D069B">
      <w:pPr>
        <w:pStyle w:val="TOC3"/>
        <w:rPr>
          <w:rFonts w:ascii="Calibri" w:hAnsi="Calibri"/>
          <w:noProof/>
          <w:sz w:val="22"/>
          <w:szCs w:val="22"/>
          <w:lang w:val="nl-NL" w:eastAsia="nl-NL"/>
        </w:rPr>
      </w:pPr>
      <w:hyperlink w:anchor="_Toc392758726" w:history="1">
        <w:r w:rsidR="00BA1E10" w:rsidRPr="00906A70">
          <w:rPr>
            <w:rStyle w:val="Hyperlink"/>
            <w:rFonts w:cs="Arial"/>
            <w:noProof/>
          </w:rPr>
          <w:t>3.2.5</w:t>
        </w:r>
        <w:r w:rsidR="00BA1E10" w:rsidRPr="00BE7AD9">
          <w:rPr>
            <w:rFonts w:ascii="Calibri" w:hAnsi="Calibri"/>
            <w:noProof/>
            <w:sz w:val="22"/>
            <w:szCs w:val="22"/>
            <w:lang w:val="nl-NL" w:eastAsia="nl-NL"/>
          </w:rPr>
          <w:tab/>
        </w:r>
        <w:r w:rsidR="00BA1E10" w:rsidRPr="00906A70">
          <w:rPr>
            <w:rStyle w:val="Hyperlink"/>
            <w:rFonts w:cs="Arial"/>
            <w:noProof/>
          </w:rPr>
          <w:t>Social protection, including social security and healthcare (Article 3(1)(e) Directive 2000/43)</w:t>
        </w:r>
        <w:r w:rsidR="00BA1E10">
          <w:rPr>
            <w:noProof/>
            <w:webHidden/>
          </w:rPr>
          <w:tab/>
        </w:r>
        <w:r w:rsidR="00BA1E10">
          <w:rPr>
            <w:noProof/>
            <w:webHidden/>
          </w:rPr>
          <w:fldChar w:fldCharType="begin"/>
        </w:r>
        <w:r w:rsidR="00BA1E10">
          <w:rPr>
            <w:noProof/>
            <w:webHidden/>
          </w:rPr>
          <w:instrText xml:space="preserve"> PAGEREF _Toc392758726 \h </w:instrText>
        </w:r>
        <w:r w:rsidR="00BA1E10">
          <w:rPr>
            <w:noProof/>
            <w:webHidden/>
          </w:rPr>
        </w:r>
        <w:r w:rsidR="00BA1E10">
          <w:rPr>
            <w:noProof/>
            <w:webHidden/>
          </w:rPr>
          <w:fldChar w:fldCharType="separate"/>
        </w:r>
        <w:r w:rsidR="00DA0744">
          <w:rPr>
            <w:noProof/>
            <w:webHidden/>
          </w:rPr>
          <w:t>78</w:t>
        </w:r>
        <w:r w:rsidR="00BA1E10">
          <w:rPr>
            <w:noProof/>
            <w:webHidden/>
          </w:rPr>
          <w:fldChar w:fldCharType="end"/>
        </w:r>
      </w:hyperlink>
    </w:p>
    <w:p w14:paraId="2EF0C15D" w14:textId="77777777" w:rsidR="00BA1E10" w:rsidRPr="00BE7AD9" w:rsidRDefault="000D069B">
      <w:pPr>
        <w:pStyle w:val="TOC3"/>
        <w:rPr>
          <w:rFonts w:ascii="Calibri" w:hAnsi="Calibri"/>
          <w:noProof/>
          <w:sz w:val="22"/>
          <w:szCs w:val="22"/>
          <w:lang w:val="nl-NL" w:eastAsia="nl-NL"/>
        </w:rPr>
      </w:pPr>
      <w:hyperlink w:anchor="_Toc392758727" w:history="1">
        <w:r w:rsidR="00BA1E10" w:rsidRPr="00906A70">
          <w:rPr>
            <w:rStyle w:val="Hyperlink"/>
            <w:rFonts w:cs="Arial"/>
            <w:noProof/>
          </w:rPr>
          <w:t>3.2.6</w:t>
        </w:r>
        <w:r w:rsidR="00BA1E10" w:rsidRPr="00BE7AD9">
          <w:rPr>
            <w:rFonts w:ascii="Calibri" w:hAnsi="Calibri"/>
            <w:noProof/>
            <w:sz w:val="22"/>
            <w:szCs w:val="22"/>
            <w:lang w:val="nl-NL" w:eastAsia="nl-NL"/>
          </w:rPr>
          <w:tab/>
        </w:r>
        <w:r w:rsidR="00BA1E10" w:rsidRPr="00906A70">
          <w:rPr>
            <w:rStyle w:val="Hyperlink"/>
            <w:rFonts w:cs="Arial"/>
            <w:noProof/>
          </w:rPr>
          <w:t>Social advantages (Article 3(1)(f) Directive 2000/43)</w:t>
        </w:r>
        <w:r w:rsidR="00BA1E10">
          <w:rPr>
            <w:noProof/>
            <w:webHidden/>
          </w:rPr>
          <w:tab/>
        </w:r>
        <w:r w:rsidR="00BA1E10">
          <w:rPr>
            <w:noProof/>
            <w:webHidden/>
          </w:rPr>
          <w:fldChar w:fldCharType="begin"/>
        </w:r>
        <w:r w:rsidR="00BA1E10">
          <w:rPr>
            <w:noProof/>
            <w:webHidden/>
          </w:rPr>
          <w:instrText xml:space="preserve"> PAGEREF _Toc392758727 \h </w:instrText>
        </w:r>
        <w:r w:rsidR="00BA1E10">
          <w:rPr>
            <w:noProof/>
            <w:webHidden/>
          </w:rPr>
        </w:r>
        <w:r w:rsidR="00BA1E10">
          <w:rPr>
            <w:noProof/>
            <w:webHidden/>
          </w:rPr>
          <w:fldChar w:fldCharType="separate"/>
        </w:r>
        <w:r w:rsidR="00DA0744">
          <w:rPr>
            <w:noProof/>
            <w:webHidden/>
          </w:rPr>
          <w:t>79</w:t>
        </w:r>
        <w:r w:rsidR="00BA1E10">
          <w:rPr>
            <w:noProof/>
            <w:webHidden/>
          </w:rPr>
          <w:fldChar w:fldCharType="end"/>
        </w:r>
      </w:hyperlink>
    </w:p>
    <w:p w14:paraId="6536DE3B" w14:textId="77777777" w:rsidR="00BA1E10" w:rsidRPr="00BE7AD9" w:rsidRDefault="000D069B">
      <w:pPr>
        <w:pStyle w:val="TOC3"/>
        <w:rPr>
          <w:rFonts w:ascii="Calibri" w:hAnsi="Calibri"/>
          <w:noProof/>
          <w:sz w:val="22"/>
          <w:szCs w:val="22"/>
          <w:lang w:val="nl-NL" w:eastAsia="nl-NL"/>
        </w:rPr>
      </w:pPr>
      <w:hyperlink w:anchor="_Toc392758728" w:history="1">
        <w:r w:rsidR="00BA1E10" w:rsidRPr="00906A70">
          <w:rPr>
            <w:rStyle w:val="Hyperlink"/>
            <w:rFonts w:cs="Arial"/>
            <w:noProof/>
          </w:rPr>
          <w:t>3.2.7</w:t>
        </w:r>
        <w:r w:rsidR="00BA1E10" w:rsidRPr="00BE7AD9">
          <w:rPr>
            <w:rFonts w:ascii="Calibri" w:hAnsi="Calibri"/>
            <w:noProof/>
            <w:sz w:val="22"/>
            <w:szCs w:val="22"/>
            <w:lang w:val="nl-NL" w:eastAsia="nl-NL"/>
          </w:rPr>
          <w:tab/>
        </w:r>
        <w:r w:rsidR="00BA1E10" w:rsidRPr="00906A70">
          <w:rPr>
            <w:rStyle w:val="Hyperlink"/>
            <w:rFonts w:cs="Arial"/>
            <w:noProof/>
          </w:rPr>
          <w:t>Education (Article 3(1)(g) Directive 2000/43)</w:t>
        </w:r>
        <w:r w:rsidR="00BA1E10">
          <w:rPr>
            <w:noProof/>
            <w:webHidden/>
          </w:rPr>
          <w:tab/>
        </w:r>
        <w:r w:rsidR="00BA1E10">
          <w:rPr>
            <w:noProof/>
            <w:webHidden/>
          </w:rPr>
          <w:fldChar w:fldCharType="begin"/>
        </w:r>
        <w:r w:rsidR="00BA1E10">
          <w:rPr>
            <w:noProof/>
            <w:webHidden/>
          </w:rPr>
          <w:instrText xml:space="preserve"> PAGEREF _Toc392758728 \h </w:instrText>
        </w:r>
        <w:r w:rsidR="00BA1E10">
          <w:rPr>
            <w:noProof/>
            <w:webHidden/>
          </w:rPr>
        </w:r>
        <w:r w:rsidR="00BA1E10">
          <w:rPr>
            <w:noProof/>
            <w:webHidden/>
          </w:rPr>
          <w:fldChar w:fldCharType="separate"/>
        </w:r>
        <w:r w:rsidR="00DA0744">
          <w:rPr>
            <w:noProof/>
            <w:webHidden/>
          </w:rPr>
          <w:t>80</w:t>
        </w:r>
        <w:r w:rsidR="00BA1E10">
          <w:rPr>
            <w:noProof/>
            <w:webHidden/>
          </w:rPr>
          <w:fldChar w:fldCharType="end"/>
        </w:r>
      </w:hyperlink>
    </w:p>
    <w:p w14:paraId="04F86849" w14:textId="77777777" w:rsidR="00BA1E10" w:rsidRPr="00BE7AD9" w:rsidRDefault="000D069B">
      <w:pPr>
        <w:pStyle w:val="TOC3"/>
        <w:rPr>
          <w:rFonts w:ascii="Calibri" w:hAnsi="Calibri"/>
          <w:noProof/>
          <w:sz w:val="22"/>
          <w:szCs w:val="22"/>
          <w:lang w:val="nl-NL" w:eastAsia="nl-NL"/>
        </w:rPr>
      </w:pPr>
      <w:hyperlink w:anchor="_Toc392758729" w:history="1">
        <w:r w:rsidR="00BA1E10" w:rsidRPr="00906A70">
          <w:rPr>
            <w:rStyle w:val="Hyperlink"/>
            <w:rFonts w:cs="Arial"/>
            <w:noProof/>
          </w:rPr>
          <w:t>3.2.8</w:t>
        </w:r>
        <w:r w:rsidR="00BA1E10" w:rsidRPr="00BE7AD9">
          <w:rPr>
            <w:rFonts w:ascii="Calibri" w:hAnsi="Calibri"/>
            <w:noProof/>
            <w:sz w:val="22"/>
            <w:szCs w:val="22"/>
            <w:lang w:val="nl-NL" w:eastAsia="nl-NL"/>
          </w:rPr>
          <w:tab/>
        </w:r>
        <w:r w:rsidR="00BA1E10" w:rsidRPr="00906A70">
          <w:rPr>
            <w:rStyle w:val="Hyperlink"/>
            <w:rFonts w:cs="Arial"/>
            <w:noProof/>
          </w:rPr>
          <w:t>Access to and supply of goods and services which are available to the public (Article 3(1)(h) Directive 2000/43)</w:t>
        </w:r>
        <w:r w:rsidR="00BA1E10">
          <w:rPr>
            <w:noProof/>
            <w:webHidden/>
          </w:rPr>
          <w:tab/>
        </w:r>
        <w:r w:rsidR="00BA1E10">
          <w:rPr>
            <w:noProof/>
            <w:webHidden/>
          </w:rPr>
          <w:fldChar w:fldCharType="begin"/>
        </w:r>
        <w:r w:rsidR="00BA1E10">
          <w:rPr>
            <w:noProof/>
            <w:webHidden/>
          </w:rPr>
          <w:instrText xml:space="preserve"> PAGEREF _Toc392758729 \h </w:instrText>
        </w:r>
        <w:r w:rsidR="00BA1E10">
          <w:rPr>
            <w:noProof/>
            <w:webHidden/>
          </w:rPr>
        </w:r>
        <w:r w:rsidR="00BA1E10">
          <w:rPr>
            <w:noProof/>
            <w:webHidden/>
          </w:rPr>
          <w:fldChar w:fldCharType="separate"/>
        </w:r>
        <w:r w:rsidR="00DA0744">
          <w:rPr>
            <w:noProof/>
            <w:webHidden/>
          </w:rPr>
          <w:t>86</w:t>
        </w:r>
        <w:r w:rsidR="00BA1E10">
          <w:rPr>
            <w:noProof/>
            <w:webHidden/>
          </w:rPr>
          <w:fldChar w:fldCharType="end"/>
        </w:r>
      </w:hyperlink>
    </w:p>
    <w:p w14:paraId="48C56CBF" w14:textId="77777777" w:rsidR="00BA1E10" w:rsidRPr="00BE7AD9" w:rsidRDefault="000D069B">
      <w:pPr>
        <w:pStyle w:val="TOC3"/>
        <w:rPr>
          <w:rFonts w:ascii="Calibri" w:hAnsi="Calibri"/>
          <w:noProof/>
          <w:sz w:val="22"/>
          <w:szCs w:val="22"/>
          <w:lang w:val="nl-NL" w:eastAsia="nl-NL"/>
        </w:rPr>
      </w:pPr>
      <w:hyperlink w:anchor="_Toc392758730" w:history="1">
        <w:r w:rsidR="00BA1E10" w:rsidRPr="00906A70">
          <w:rPr>
            <w:rStyle w:val="Hyperlink"/>
            <w:rFonts w:cs="Arial"/>
            <w:noProof/>
          </w:rPr>
          <w:t>3.2.9</w:t>
        </w:r>
        <w:r w:rsidR="00BA1E10" w:rsidRPr="00BE7AD9">
          <w:rPr>
            <w:rFonts w:ascii="Calibri" w:hAnsi="Calibri"/>
            <w:noProof/>
            <w:sz w:val="22"/>
            <w:szCs w:val="22"/>
            <w:lang w:val="nl-NL" w:eastAsia="nl-NL"/>
          </w:rPr>
          <w:tab/>
        </w:r>
        <w:r w:rsidR="00BA1E10" w:rsidRPr="00906A70">
          <w:rPr>
            <w:rStyle w:val="Hyperlink"/>
            <w:rFonts w:cs="Arial"/>
            <w:noProof/>
          </w:rPr>
          <w:t>Housing (Article 3(1)(h) Directive 2000/43)</w:t>
        </w:r>
        <w:r w:rsidR="00BA1E10">
          <w:rPr>
            <w:noProof/>
            <w:webHidden/>
          </w:rPr>
          <w:tab/>
        </w:r>
        <w:r w:rsidR="00BA1E10">
          <w:rPr>
            <w:noProof/>
            <w:webHidden/>
          </w:rPr>
          <w:fldChar w:fldCharType="begin"/>
        </w:r>
        <w:r w:rsidR="00BA1E10">
          <w:rPr>
            <w:noProof/>
            <w:webHidden/>
          </w:rPr>
          <w:instrText xml:space="preserve"> PAGEREF _Toc392758730 \h </w:instrText>
        </w:r>
        <w:r w:rsidR="00BA1E10">
          <w:rPr>
            <w:noProof/>
            <w:webHidden/>
          </w:rPr>
        </w:r>
        <w:r w:rsidR="00BA1E10">
          <w:rPr>
            <w:noProof/>
            <w:webHidden/>
          </w:rPr>
          <w:fldChar w:fldCharType="separate"/>
        </w:r>
        <w:r w:rsidR="00DA0744">
          <w:rPr>
            <w:noProof/>
            <w:webHidden/>
          </w:rPr>
          <w:t>88</w:t>
        </w:r>
        <w:r w:rsidR="00BA1E10">
          <w:rPr>
            <w:noProof/>
            <w:webHidden/>
          </w:rPr>
          <w:fldChar w:fldCharType="end"/>
        </w:r>
      </w:hyperlink>
    </w:p>
    <w:p w14:paraId="58E9A604" w14:textId="77777777" w:rsidR="00BA1E10" w:rsidRPr="00BE7AD9" w:rsidRDefault="000D069B">
      <w:pPr>
        <w:pStyle w:val="TOC1"/>
        <w:rPr>
          <w:rFonts w:ascii="Calibri" w:hAnsi="Calibri"/>
          <w:b w:val="0"/>
          <w:noProof/>
          <w:sz w:val="22"/>
          <w:szCs w:val="22"/>
          <w:lang w:val="nl-NL" w:eastAsia="nl-NL"/>
        </w:rPr>
      </w:pPr>
      <w:hyperlink w:anchor="_Toc392758731" w:history="1">
        <w:r w:rsidR="00BA1E10" w:rsidRPr="00906A70">
          <w:rPr>
            <w:rStyle w:val="Hyperlink"/>
            <w:rFonts w:cs="Arial"/>
            <w:noProof/>
          </w:rPr>
          <w:t>4</w:t>
        </w:r>
        <w:r w:rsidR="00BA1E10" w:rsidRPr="00BE7AD9">
          <w:rPr>
            <w:rFonts w:ascii="Calibri" w:hAnsi="Calibri"/>
            <w:b w:val="0"/>
            <w:noProof/>
            <w:sz w:val="22"/>
            <w:szCs w:val="22"/>
            <w:lang w:val="nl-NL" w:eastAsia="nl-NL"/>
          </w:rPr>
          <w:tab/>
        </w:r>
        <w:r w:rsidR="00BA1E10" w:rsidRPr="00906A70">
          <w:rPr>
            <w:rStyle w:val="Hyperlink"/>
            <w:rFonts w:cs="Arial"/>
            <w:noProof/>
          </w:rPr>
          <w:t>EXCEPTIONS</w:t>
        </w:r>
        <w:r w:rsidR="00BA1E10">
          <w:rPr>
            <w:noProof/>
            <w:webHidden/>
          </w:rPr>
          <w:tab/>
        </w:r>
        <w:r w:rsidR="00BA1E10">
          <w:rPr>
            <w:noProof/>
            <w:webHidden/>
          </w:rPr>
          <w:fldChar w:fldCharType="begin"/>
        </w:r>
        <w:r w:rsidR="00BA1E10">
          <w:rPr>
            <w:noProof/>
            <w:webHidden/>
          </w:rPr>
          <w:instrText xml:space="preserve"> PAGEREF _Toc392758731 \h </w:instrText>
        </w:r>
        <w:r w:rsidR="00BA1E10">
          <w:rPr>
            <w:noProof/>
            <w:webHidden/>
          </w:rPr>
        </w:r>
        <w:r w:rsidR="00BA1E10">
          <w:rPr>
            <w:noProof/>
            <w:webHidden/>
          </w:rPr>
          <w:fldChar w:fldCharType="separate"/>
        </w:r>
        <w:r w:rsidR="00DA0744">
          <w:rPr>
            <w:noProof/>
            <w:webHidden/>
          </w:rPr>
          <w:t>92</w:t>
        </w:r>
        <w:r w:rsidR="00BA1E10">
          <w:rPr>
            <w:noProof/>
            <w:webHidden/>
          </w:rPr>
          <w:fldChar w:fldCharType="end"/>
        </w:r>
      </w:hyperlink>
    </w:p>
    <w:p w14:paraId="1692BE00" w14:textId="77777777" w:rsidR="00BA1E10" w:rsidRPr="00BE7AD9" w:rsidRDefault="000D069B">
      <w:pPr>
        <w:pStyle w:val="TOC2"/>
        <w:rPr>
          <w:rFonts w:ascii="Calibri" w:hAnsi="Calibri"/>
          <w:noProof/>
          <w:sz w:val="22"/>
          <w:szCs w:val="22"/>
          <w:lang w:val="nl-NL" w:eastAsia="nl-NL"/>
        </w:rPr>
      </w:pPr>
      <w:hyperlink w:anchor="_Toc392758732" w:history="1">
        <w:r w:rsidR="00BA1E10" w:rsidRPr="00906A70">
          <w:rPr>
            <w:rStyle w:val="Hyperlink"/>
            <w:rFonts w:cs="Arial"/>
            <w:noProof/>
          </w:rPr>
          <w:t>4.1</w:t>
        </w:r>
        <w:r w:rsidR="00BA1E10" w:rsidRPr="00BE7AD9">
          <w:rPr>
            <w:rFonts w:ascii="Calibri" w:hAnsi="Calibri"/>
            <w:noProof/>
            <w:sz w:val="22"/>
            <w:szCs w:val="22"/>
            <w:lang w:val="nl-NL" w:eastAsia="nl-NL"/>
          </w:rPr>
          <w:tab/>
        </w:r>
        <w:r w:rsidR="00BA1E10" w:rsidRPr="00906A70">
          <w:rPr>
            <w:rStyle w:val="Hyperlink"/>
            <w:rFonts w:cs="Arial"/>
            <w:noProof/>
          </w:rPr>
          <w:t>Genuine and determining occupational requirements (Article 4)</w:t>
        </w:r>
        <w:r w:rsidR="00BA1E10">
          <w:rPr>
            <w:noProof/>
            <w:webHidden/>
          </w:rPr>
          <w:tab/>
        </w:r>
        <w:r w:rsidR="00BA1E10">
          <w:rPr>
            <w:noProof/>
            <w:webHidden/>
          </w:rPr>
          <w:fldChar w:fldCharType="begin"/>
        </w:r>
        <w:r w:rsidR="00BA1E10">
          <w:rPr>
            <w:noProof/>
            <w:webHidden/>
          </w:rPr>
          <w:instrText xml:space="preserve"> PAGEREF _Toc392758732 \h </w:instrText>
        </w:r>
        <w:r w:rsidR="00BA1E10">
          <w:rPr>
            <w:noProof/>
            <w:webHidden/>
          </w:rPr>
        </w:r>
        <w:r w:rsidR="00BA1E10">
          <w:rPr>
            <w:noProof/>
            <w:webHidden/>
          </w:rPr>
          <w:fldChar w:fldCharType="separate"/>
        </w:r>
        <w:r w:rsidR="00DA0744">
          <w:rPr>
            <w:noProof/>
            <w:webHidden/>
          </w:rPr>
          <w:t>92</w:t>
        </w:r>
        <w:r w:rsidR="00BA1E10">
          <w:rPr>
            <w:noProof/>
            <w:webHidden/>
          </w:rPr>
          <w:fldChar w:fldCharType="end"/>
        </w:r>
      </w:hyperlink>
    </w:p>
    <w:p w14:paraId="168FB19C" w14:textId="77777777" w:rsidR="00BA1E10" w:rsidRPr="00BE7AD9" w:rsidRDefault="000D069B">
      <w:pPr>
        <w:pStyle w:val="TOC2"/>
        <w:rPr>
          <w:rFonts w:ascii="Calibri" w:hAnsi="Calibri"/>
          <w:noProof/>
          <w:sz w:val="22"/>
          <w:szCs w:val="22"/>
          <w:lang w:val="nl-NL" w:eastAsia="nl-NL"/>
        </w:rPr>
      </w:pPr>
      <w:hyperlink w:anchor="_Toc392758733" w:history="1">
        <w:r w:rsidR="00BA1E10" w:rsidRPr="00906A70">
          <w:rPr>
            <w:rStyle w:val="Hyperlink"/>
            <w:rFonts w:cs="Arial"/>
            <w:noProof/>
          </w:rPr>
          <w:t>4.2</w:t>
        </w:r>
        <w:r w:rsidR="00BA1E10" w:rsidRPr="00BE7AD9">
          <w:rPr>
            <w:rFonts w:ascii="Calibri" w:hAnsi="Calibri"/>
            <w:noProof/>
            <w:sz w:val="22"/>
            <w:szCs w:val="22"/>
            <w:lang w:val="nl-NL" w:eastAsia="nl-NL"/>
          </w:rPr>
          <w:tab/>
        </w:r>
        <w:r w:rsidR="00BA1E10" w:rsidRPr="00906A70">
          <w:rPr>
            <w:rStyle w:val="Hyperlink"/>
            <w:rFonts w:cs="Arial"/>
            <w:noProof/>
          </w:rPr>
          <w:t>Employers with an ethos based on religion or belief (Art. 4(2) Directive 2000/78)</w:t>
        </w:r>
        <w:r w:rsidR="00BA1E10">
          <w:rPr>
            <w:noProof/>
            <w:webHidden/>
          </w:rPr>
          <w:tab/>
        </w:r>
        <w:r w:rsidR="00BA1E10">
          <w:rPr>
            <w:noProof/>
            <w:webHidden/>
          </w:rPr>
          <w:fldChar w:fldCharType="begin"/>
        </w:r>
        <w:r w:rsidR="00BA1E10">
          <w:rPr>
            <w:noProof/>
            <w:webHidden/>
          </w:rPr>
          <w:instrText xml:space="preserve"> PAGEREF _Toc392758733 \h </w:instrText>
        </w:r>
        <w:r w:rsidR="00BA1E10">
          <w:rPr>
            <w:noProof/>
            <w:webHidden/>
          </w:rPr>
        </w:r>
        <w:r w:rsidR="00BA1E10">
          <w:rPr>
            <w:noProof/>
            <w:webHidden/>
          </w:rPr>
          <w:fldChar w:fldCharType="separate"/>
        </w:r>
        <w:r w:rsidR="00DA0744">
          <w:rPr>
            <w:noProof/>
            <w:webHidden/>
          </w:rPr>
          <w:t>93</w:t>
        </w:r>
        <w:r w:rsidR="00BA1E10">
          <w:rPr>
            <w:noProof/>
            <w:webHidden/>
          </w:rPr>
          <w:fldChar w:fldCharType="end"/>
        </w:r>
      </w:hyperlink>
    </w:p>
    <w:p w14:paraId="219D7C93" w14:textId="77777777" w:rsidR="00BA1E10" w:rsidRPr="00BE7AD9" w:rsidRDefault="000D069B">
      <w:pPr>
        <w:pStyle w:val="TOC2"/>
        <w:rPr>
          <w:rFonts w:ascii="Calibri" w:hAnsi="Calibri"/>
          <w:noProof/>
          <w:sz w:val="22"/>
          <w:szCs w:val="22"/>
          <w:lang w:val="nl-NL" w:eastAsia="nl-NL"/>
        </w:rPr>
      </w:pPr>
      <w:hyperlink w:anchor="_Toc392758734" w:history="1">
        <w:r w:rsidR="00BA1E10" w:rsidRPr="00906A70">
          <w:rPr>
            <w:rStyle w:val="Hyperlink"/>
            <w:rFonts w:cs="Arial"/>
            <w:noProof/>
          </w:rPr>
          <w:t>4.3</w:t>
        </w:r>
        <w:r w:rsidR="00BA1E10" w:rsidRPr="00BE7AD9">
          <w:rPr>
            <w:rFonts w:ascii="Calibri" w:hAnsi="Calibri"/>
            <w:noProof/>
            <w:sz w:val="22"/>
            <w:szCs w:val="22"/>
            <w:lang w:val="nl-NL" w:eastAsia="nl-NL"/>
          </w:rPr>
          <w:tab/>
        </w:r>
        <w:r w:rsidR="00BA1E10" w:rsidRPr="00906A70">
          <w:rPr>
            <w:rStyle w:val="Hyperlink"/>
            <w:rFonts w:cs="Arial"/>
            <w:noProof/>
          </w:rPr>
          <w:t>Armed forces and other specific occupations (Art. 3(4) and Recital 18 Directive 2000/78)</w:t>
        </w:r>
        <w:r w:rsidR="00BA1E10">
          <w:rPr>
            <w:noProof/>
            <w:webHidden/>
          </w:rPr>
          <w:tab/>
        </w:r>
        <w:r w:rsidR="00BA1E10">
          <w:rPr>
            <w:noProof/>
            <w:webHidden/>
          </w:rPr>
          <w:fldChar w:fldCharType="begin"/>
        </w:r>
        <w:r w:rsidR="00BA1E10">
          <w:rPr>
            <w:noProof/>
            <w:webHidden/>
          </w:rPr>
          <w:instrText xml:space="preserve"> PAGEREF _Toc392758734 \h </w:instrText>
        </w:r>
        <w:r w:rsidR="00BA1E10">
          <w:rPr>
            <w:noProof/>
            <w:webHidden/>
          </w:rPr>
        </w:r>
        <w:r w:rsidR="00BA1E10">
          <w:rPr>
            <w:noProof/>
            <w:webHidden/>
          </w:rPr>
          <w:fldChar w:fldCharType="separate"/>
        </w:r>
        <w:r w:rsidR="00DA0744">
          <w:rPr>
            <w:noProof/>
            <w:webHidden/>
          </w:rPr>
          <w:t>98</w:t>
        </w:r>
        <w:r w:rsidR="00BA1E10">
          <w:rPr>
            <w:noProof/>
            <w:webHidden/>
          </w:rPr>
          <w:fldChar w:fldCharType="end"/>
        </w:r>
      </w:hyperlink>
    </w:p>
    <w:p w14:paraId="31C0D125" w14:textId="77777777" w:rsidR="00BA1E10" w:rsidRPr="00BE7AD9" w:rsidRDefault="000D069B">
      <w:pPr>
        <w:pStyle w:val="TOC2"/>
        <w:rPr>
          <w:rFonts w:ascii="Calibri" w:hAnsi="Calibri"/>
          <w:noProof/>
          <w:sz w:val="22"/>
          <w:szCs w:val="22"/>
          <w:lang w:val="nl-NL" w:eastAsia="nl-NL"/>
        </w:rPr>
      </w:pPr>
      <w:hyperlink w:anchor="_Toc392758735" w:history="1">
        <w:r w:rsidR="00BA1E10" w:rsidRPr="00906A70">
          <w:rPr>
            <w:rStyle w:val="Hyperlink"/>
            <w:rFonts w:cs="Arial"/>
            <w:noProof/>
          </w:rPr>
          <w:t>4.4</w:t>
        </w:r>
        <w:r w:rsidR="00BA1E10" w:rsidRPr="00BE7AD9">
          <w:rPr>
            <w:rFonts w:ascii="Calibri" w:hAnsi="Calibri"/>
            <w:noProof/>
            <w:sz w:val="22"/>
            <w:szCs w:val="22"/>
            <w:lang w:val="nl-NL" w:eastAsia="nl-NL"/>
          </w:rPr>
          <w:tab/>
        </w:r>
        <w:r w:rsidR="00BA1E10" w:rsidRPr="00906A70">
          <w:rPr>
            <w:rStyle w:val="Hyperlink"/>
            <w:rFonts w:cs="Arial"/>
            <w:noProof/>
          </w:rPr>
          <w:t>Nationality discrimination (Art. 3(2))</w:t>
        </w:r>
        <w:r w:rsidR="00BA1E10">
          <w:rPr>
            <w:noProof/>
            <w:webHidden/>
          </w:rPr>
          <w:tab/>
        </w:r>
        <w:r w:rsidR="00BA1E10">
          <w:rPr>
            <w:noProof/>
            <w:webHidden/>
          </w:rPr>
          <w:fldChar w:fldCharType="begin"/>
        </w:r>
        <w:r w:rsidR="00BA1E10">
          <w:rPr>
            <w:noProof/>
            <w:webHidden/>
          </w:rPr>
          <w:instrText xml:space="preserve"> PAGEREF _Toc392758735 \h </w:instrText>
        </w:r>
        <w:r w:rsidR="00BA1E10">
          <w:rPr>
            <w:noProof/>
            <w:webHidden/>
          </w:rPr>
        </w:r>
        <w:r w:rsidR="00BA1E10">
          <w:rPr>
            <w:noProof/>
            <w:webHidden/>
          </w:rPr>
          <w:fldChar w:fldCharType="separate"/>
        </w:r>
        <w:r w:rsidR="00DA0744">
          <w:rPr>
            <w:noProof/>
            <w:webHidden/>
          </w:rPr>
          <w:t>99</w:t>
        </w:r>
        <w:r w:rsidR="00BA1E10">
          <w:rPr>
            <w:noProof/>
            <w:webHidden/>
          </w:rPr>
          <w:fldChar w:fldCharType="end"/>
        </w:r>
      </w:hyperlink>
    </w:p>
    <w:p w14:paraId="4D2445B1" w14:textId="77777777" w:rsidR="00BA1E10" w:rsidRPr="00BE7AD9" w:rsidRDefault="000D069B">
      <w:pPr>
        <w:pStyle w:val="TOC2"/>
        <w:rPr>
          <w:rFonts w:ascii="Calibri" w:hAnsi="Calibri"/>
          <w:noProof/>
          <w:sz w:val="22"/>
          <w:szCs w:val="22"/>
          <w:lang w:val="nl-NL" w:eastAsia="nl-NL"/>
        </w:rPr>
      </w:pPr>
      <w:hyperlink w:anchor="_Toc392758736" w:history="1">
        <w:r w:rsidR="00BA1E10" w:rsidRPr="00906A70">
          <w:rPr>
            <w:rStyle w:val="Hyperlink"/>
            <w:rFonts w:cs="Arial"/>
            <w:noProof/>
          </w:rPr>
          <w:t>4.5</w:t>
        </w:r>
        <w:r w:rsidR="00BA1E10" w:rsidRPr="00BE7AD9">
          <w:rPr>
            <w:rFonts w:ascii="Calibri" w:hAnsi="Calibri"/>
            <w:noProof/>
            <w:sz w:val="22"/>
            <w:szCs w:val="22"/>
            <w:lang w:val="nl-NL" w:eastAsia="nl-NL"/>
          </w:rPr>
          <w:tab/>
        </w:r>
        <w:r w:rsidR="00BA1E10" w:rsidRPr="00906A70">
          <w:rPr>
            <w:rStyle w:val="Hyperlink"/>
            <w:rFonts w:cs="Arial"/>
            <w:noProof/>
          </w:rPr>
          <w:t>Work-related family benefits (Recital 22 Directive 2000/78)</w:t>
        </w:r>
        <w:r w:rsidR="00BA1E10">
          <w:rPr>
            <w:noProof/>
            <w:webHidden/>
          </w:rPr>
          <w:tab/>
        </w:r>
        <w:r w:rsidR="00BA1E10">
          <w:rPr>
            <w:noProof/>
            <w:webHidden/>
          </w:rPr>
          <w:fldChar w:fldCharType="begin"/>
        </w:r>
        <w:r w:rsidR="00BA1E10">
          <w:rPr>
            <w:noProof/>
            <w:webHidden/>
          </w:rPr>
          <w:instrText xml:space="preserve"> PAGEREF _Toc392758736 \h </w:instrText>
        </w:r>
        <w:r w:rsidR="00BA1E10">
          <w:rPr>
            <w:noProof/>
            <w:webHidden/>
          </w:rPr>
        </w:r>
        <w:r w:rsidR="00BA1E10">
          <w:rPr>
            <w:noProof/>
            <w:webHidden/>
          </w:rPr>
          <w:fldChar w:fldCharType="separate"/>
        </w:r>
        <w:r w:rsidR="00DA0744">
          <w:rPr>
            <w:noProof/>
            <w:webHidden/>
          </w:rPr>
          <w:t>100</w:t>
        </w:r>
        <w:r w:rsidR="00BA1E10">
          <w:rPr>
            <w:noProof/>
            <w:webHidden/>
          </w:rPr>
          <w:fldChar w:fldCharType="end"/>
        </w:r>
      </w:hyperlink>
    </w:p>
    <w:p w14:paraId="03927B8F" w14:textId="77777777" w:rsidR="00BA1E10" w:rsidRPr="00BE7AD9" w:rsidRDefault="000D069B">
      <w:pPr>
        <w:pStyle w:val="TOC2"/>
        <w:rPr>
          <w:rFonts w:ascii="Calibri" w:hAnsi="Calibri"/>
          <w:noProof/>
          <w:sz w:val="22"/>
          <w:szCs w:val="22"/>
          <w:lang w:val="nl-NL" w:eastAsia="nl-NL"/>
        </w:rPr>
      </w:pPr>
      <w:hyperlink w:anchor="_Toc392758737" w:history="1">
        <w:r w:rsidR="00BA1E10" w:rsidRPr="00906A70">
          <w:rPr>
            <w:rStyle w:val="Hyperlink"/>
            <w:rFonts w:cs="Arial"/>
            <w:noProof/>
          </w:rPr>
          <w:t>4.6</w:t>
        </w:r>
        <w:r w:rsidR="00BA1E10" w:rsidRPr="00BE7AD9">
          <w:rPr>
            <w:rFonts w:ascii="Calibri" w:hAnsi="Calibri"/>
            <w:noProof/>
            <w:sz w:val="22"/>
            <w:szCs w:val="22"/>
            <w:lang w:val="nl-NL" w:eastAsia="nl-NL"/>
          </w:rPr>
          <w:tab/>
        </w:r>
        <w:r w:rsidR="00BA1E10" w:rsidRPr="00906A70">
          <w:rPr>
            <w:rStyle w:val="Hyperlink"/>
            <w:rFonts w:cs="Arial"/>
            <w:noProof/>
          </w:rPr>
          <w:t>Health and safety (Art. 7(2) Directive 2000/78)</w:t>
        </w:r>
        <w:r w:rsidR="00BA1E10">
          <w:rPr>
            <w:noProof/>
            <w:webHidden/>
          </w:rPr>
          <w:tab/>
        </w:r>
        <w:r w:rsidR="00BA1E10">
          <w:rPr>
            <w:noProof/>
            <w:webHidden/>
          </w:rPr>
          <w:fldChar w:fldCharType="begin"/>
        </w:r>
        <w:r w:rsidR="00BA1E10">
          <w:rPr>
            <w:noProof/>
            <w:webHidden/>
          </w:rPr>
          <w:instrText xml:space="preserve"> PAGEREF _Toc392758737 \h </w:instrText>
        </w:r>
        <w:r w:rsidR="00BA1E10">
          <w:rPr>
            <w:noProof/>
            <w:webHidden/>
          </w:rPr>
        </w:r>
        <w:r w:rsidR="00BA1E10">
          <w:rPr>
            <w:noProof/>
            <w:webHidden/>
          </w:rPr>
          <w:fldChar w:fldCharType="separate"/>
        </w:r>
        <w:r w:rsidR="00DA0744">
          <w:rPr>
            <w:noProof/>
            <w:webHidden/>
          </w:rPr>
          <w:t>101</w:t>
        </w:r>
        <w:r w:rsidR="00BA1E10">
          <w:rPr>
            <w:noProof/>
            <w:webHidden/>
          </w:rPr>
          <w:fldChar w:fldCharType="end"/>
        </w:r>
      </w:hyperlink>
    </w:p>
    <w:p w14:paraId="259AD1C7" w14:textId="77777777" w:rsidR="00BA1E10" w:rsidRPr="00BE7AD9" w:rsidRDefault="000D069B">
      <w:pPr>
        <w:pStyle w:val="TOC2"/>
        <w:rPr>
          <w:rFonts w:ascii="Calibri" w:hAnsi="Calibri"/>
          <w:noProof/>
          <w:sz w:val="22"/>
          <w:szCs w:val="22"/>
          <w:lang w:val="nl-NL" w:eastAsia="nl-NL"/>
        </w:rPr>
      </w:pPr>
      <w:hyperlink w:anchor="_Toc392758738" w:history="1">
        <w:r w:rsidR="00BA1E10" w:rsidRPr="00906A70">
          <w:rPr>
            <w:rStyle w:val="Hyperlink"/>
            <w:rFonts w:cs="Arial"/>
            <w:noProof/>
          </w:rPr>
          <w:t>4.7</w:t>
        </w:r>
        <w:r w:rsidR="00BA1E10" w:rsidRPr="00BE7AD9">
          <w:rPr>
            <w:rFonts w:ascii="Calibri" w:hAnsi="Calibri"/>
            <w:noProof/>
            <w:sz w:val="22"/>
            <w:szCs w:val="22"/>
            <w:lang w:val="nl-NL" w:eastAsia="nl-NL"/>
          </w:rPr>
          <w:tab/>
        </w:r>
        <w:r w:rsidR="00BA1E10" w:rsidRPr="00906A70">
          <w:rPr>
            <w:rStyle w:val="Hyperlink"/>
            <w:rFonts w:cs="Arial"/>
            <w:noProof/>
          </w:rPr>
          <w:t>Exceptions related to discrimination on the ground of age (Art. 6 Directive 2000/78)</w:t>
        </w:r>
        <w:r w:rsidR="00BA1E10">
          <w:rPr>
            <w:noProof/>
            <w:webHidden/>
          </w:rPr>
          <w:tab/>
        </w:r>
        <w:r w:rsidR="00BA1E10">
          <w:rPr>
            <w:noProof/>
            <w:webHidden/>
          </w:rPr>
          <w:fldChar w:fldCharType="begin"/>
        </w:r>
        <w:r w:rsidR="00BA1E10">
          <w:rPr>
            <w:noProof/>
            <w:webHidden/>
          </w:rPr>
          <w:instrText xml:space="preserve"> PAGEREF _Toc392758738 \h </w:instrText>
        </w:r>
        <w:r w:rsidR="00BA1E10">
          <w:rPr>
            <w:noProof/>
            <w:webHidden/>
          </w:rPr>
        </w:r>
        <w:r w:rsidR="00BA1E10">
          <w:rPr>
            <w:noProof/>
            <w:webHidden/>
          </w:rPr>
          <w:fldChar w:fldCharType="separate"/>
        </w:r>
        <w:r w:rsidR="00DA0744">
          <w:rPr>
            <w:noProof/>
            <w:webHidden/>
          </w:rPr>
          <w:t>102</w:t>
        </w:r>
        <w:r w:rsidR="00BA1E10">
          <w:rPr>
            <w:noProof/>
            <w:webHidden/>
          </w:rPr>
          <w:fldChar w:fldCharType="end"/>
        </w:r>
      </w:hyperlink>
    </w:p>
    <w:p w14:paraId="3F6E74F1" w14:textId="77777777" w:rsidR="00BA1E10" w:rsidRPr="00BE7AD9" w:rsidRDefault="000D069B">
      <w:pPr>
        <w:pStyle w:val="TOC3"/>
        <w:rPr>
          <w:rFonts w:ascii="Calibri" w:hAnsi="Calibri"/>
          <w:noProof/>
          <w:sz w:val="22"/>
          <w:szCs w:val="22"/>
          <w:lang w:val="nl-NL" w:eastAsia="nl-NL"/>
        </w:rPr>
      </w:pPr>
      <w:hyperlink w:anchor="_Toc392758739" w:history="1">
        <w:r w:rsidR="00BA1E10" w:rsidRPr="00906A70">
          <w:rPr>
            <w:rStyle w:val="Hyperlink"/>
            <w:rFonts w:cs="Arial"/>
            <w:noProof/>
          </w:rPr>
          <w:t>4.7.1</w:t>
        </w:r>
        <w:r w:rsidR="00BA1E10" w:rsidRPr="00BE7AD9">
          <w:rPr>
            <w:rFonts w:ascii="Calibri" w:hAnsi="Calibri"/>
            <w:noProof/>
            <w:sz w:val="22"/>
            <w:szCs w:val="22"/>
            <w:lang w:val="nl-NL" w:eastAsia="nl-NL"/>
          </w:rPr>
          <w:tab/>
        </w:r>
        <w:r w:rsidR="00BA1E10" w:rsidRPr="00906A70">
          <w:rPr>
            <w:rStyle w:val="Hyperlink"/>
            <w:rFonts w:cs="Arial"/>
            <w:noProof/>
          </w:rPr>
          <w:t>Direct discrimination</w:t>
        </w:r>
        <w:r w:rsidR="00BA1E10">
          <w:rPr>
            <w:noProof/>
            <w:webHidden/>
          </w:rPr>
          <w:tab/>
        </w:r>
        <w:r w:rsidR="00BA1E10">
          <w:rPr>
            <w:noProof/>
            <w:webHidden/>
          </w:rPr>
          <w:fldChar w:fldCharType="begin"/>
        </w:r>
        <w:r w:rsidR="00BA1E10">
          <w:rPr>
            <w:noProof/>
            <w:webHidden/>
          </w:rPr>
          <w:instrText xml:space="preserve"> PAGEREF _Toc392758739 \h </w:instrText>
        </w:r>
        <w:r w:rsidR="00BA1E10">
          <w:rPr>
            <w:noProof/>
            <w:webHidden/>
          </w:rPr>
        </w:r>
        <w:r w:rsidR="00BA1E10">
          <w:rPr>
            <w:noProof/>
            <w:webHidden/>
          </w:rPr>
          <w:fldChar w:fldCharType="separate"/>
        </w:r>
        <w:r w:rsidR="00DA0744">
          <w:rPr>
            <w:noProof/>
            <w:webHidden/>
          </w:rPr>
          <w:t>102</w:t>
        </w:r>
        <w:r w:rsidR="00BA1E10">
          <w:rPr>
            <w:noProof/>
            <w:webHidden/>
          </w:rPr>
          <w:fldChar w:fldCharType="end"/>
        </w:r>
      </w:hyperlink>
    </w:p>
    <w:p w14:paraId="0B891D7E" w14:textId="77777777" w:rsidR="00BA1E10" w:rsidRPr="00BE7AD9" w:rsidRDefault="000D069B">
      <w:pPr>
        <w:pStyle w:val="TOC3"/>
        <w:rPr>
          <w:rFonts w:ascii="Calibri" w:hAnsi="Calibri"/>
          <w:noProof/>
          <w:sz w:val="22"/>
          <w:szCs w:val="22"/>
          <w:lang w:val="nl-NL" w:eastAsia="nl-NL"/>
        </w:rPr>
      </w:pPr>
      <w:hyperlink w:anchor="_Toc392758740" w:history="1">
        <w:r w:rsidR="00BA1E10" w:rsidRPr="00906A70">
          <w:rPr>
            <w:rStyle w:val="Hyperlink"/>
            <w:rFonts w:cs="Arial"/>
            <w:noProof/>
          </w:rPr>
          <w:t>4.7.2</w:t>
        </w:r>
        <w:r w:rsidR="00BA1E10" w:rsidRPr="00BE7AD9">
          <w:rPr>
            <w:rFonts w:ascii="Calibri" w:hAnsi="Calibri"/>
            <w:noProof/>
            <w:sz w:val="22"/>
            <w:szCs w:val="22"/>
            <w:lang w:val="nl-NL" w:eastAsia="nl-NL"/>
          </w:rPr>
          <w:tab/>
        </w:r>
        <w:r w:rsidR="00BA1E10" w:rsidRPr="00906A70">
          <w:rPr>
            <w:rStyle w:val="Hyperlink"/>
            <w:rFonts w:cs="Arial"/>
            <w:noProof/>
          </w:rPr>
          <w:t>Special conditions for young people, older workers and persons with caring responsibilities</w:t>
        </w:r>
        <w:r w:rsidR="00BA1E10">
          <w:rPr>
            <w:noProof/>
            <w:webHidden/>
          </w:rPr>
          <w:tab/>
        </w:r>
        <w:r w:rsidR="00BA1E10">
          <w:rPr>
            <w:noProof/>
            <w:webHidden/>
          </w:rPr>
          <w:fldChar w:fldCharType="begin"/>
        </w:r>
        <w:r w:rsidR="00BA1E10">
          <w:rPr>
            <w:noProof/>
            <w:webHidden/>
          </w:rPr>
          <w:instrText xml:space="preserve"> PAGEREF _Toc392758740 \h </w:instrText>
        </w:r>
        <w:r w:rsidR="00BA1E10">
          <w:rPr>
            <w:noProof/>
            <w:webHidden/>
          </w:rPr>
        </w:r>
        <w:r w:rsidR="00BA1E10">
          <w:rPr>
            <w:noProof/>
            <w:webHidden/>
          </w:rPr>
          <w:fldChar w:fldCharType="separate"/>
        </w:r>
        <w:r w:rsidR="00DA0744">
          <w:rPr>
            <w:noProof/>
            <w:webHidden/>
          </w:rPr>
          <w:t>104</w:t>
        </w:r>
        <w:r w:rsidR="00BA1E10">
          <w:rPr>
            <w:noProof/>
            <w:webHidden/>
          </w:rPr>
          <w:fldChar w:fldCharType="end"/>
        </w:r>
      </w:hyperlink>
    </w:p>
    <w:p w14:paraId="263D1961" w14:textId="77777777" w:rsidR="00BA1E10" w:rsidRPr="00BE7AD9" w:rsidRDefault="000D069B">
      <w:pPr>
        <w:pStyle w:val="TOC3"/>
        <w:rPr>
          <w:rFonts w:ascii="Calibri" w:hAnsi="Calibri"/>
          <w:noProof/>
          <w:sz w:val="22"/>
          <w:szCs w:val="22"/>
          <w:lang w:val="nl-NL" w:eastAsia="nl-NL"/>
        </w:rPr>
      </w:pPr>
      <w:hyperlink w:anchor="_Toc392758741" w:history="1">
        <w:r w:rsidR="00BA1E10" w:rsidRPr="00906A70">
          <w:rPr>
            <w:rStyle w:val="Hyperlink"/>
            <w:rFonts w:cs="Arial"/>
            <w:noProof/>
          </w:rPr>
          <w:t>4.7.3</w:t>
        </w:r>
        <w:r w:rsidR="00BA1E10" w:rsidRPr="00BE7AD9">
          <w:rPr>
            <w:rFonts w:ascii="Calibri" w:hAnsi="Calibri"/>
            <w:noProof/>
            <w:sz w:val="22"/>
            <w:szCs w:val="22"/>
            <w:lang w:val="nl-NL" w:eastAsia="nl-NL"/>
          </w:rPr>
          <w:tab/>
        </w:r>
        <w:r w:rsidR="00BA1E10" w:rsidRPr="00906A70">
          <w:rPr>
            <w:rStyle w:val="Hyperlink"/>
            <w:rFonts w:cs="Arial"/>
            <w:noProof/>
          </w:rPr>
          <w:t>Minimum and maximum age requirements</w:t>
        </w:r>
        <w:r w:rsidR="00BA1E10">
          <w:rPr>
            <w:noProof/>
            <w:webHidden/>
          </w:rPr>
          <w:tab/>
        </w:r>
        <w:r w:rsidR="00BA1E10">
          <w:rPr>
            <w:noProof/>
            <w:webHidden/>
          </w:rPr>
          <w:fldChar w:fldCharType="begin"/>
        </w:r>
        <w:r w:rsidR="00BA1E10">
          <w:rPr>
            <w:noProof/>
            <w:webHidden/>
          </w:rPr>
          <w:instrText xml:space="preserve"> PAGEREF _Toc392758741 \h </w:instrText>
        </w:r>
        <w:r w:rsidR="00BA1E10">
          <w:rPr>
            <w:noProof/>
            <w:webHidden/>
          </w:rPr>
        </w:r>
        <w:r w:rsidR="00BA1E10">
          <w:rPr>
            <w:noProof/>
            <w:webHidden/>
          </w:rPr>
          <w:fldChar w:fldCharType="separate"/>
        </w:r>
        <w:r w:rsidR="00DA0744">
          <w:rPr>
            <w:noProof/>
            <w:webHidden/>
          </w:rPr>
          <w:t>106</w:t>
        </w:r>
        <w:r w:rsidR="00BA1E10">
          <w:rPr>
            <w:noProof/>
            <w:webHidden/>
          </w:rPr>
          <w:fldChar w:fldCharType="end"/>
        </w:r>
      </w:hyperlink>
    </w:p>
    <w:p w14:paraId="11037755" w14:textId="77777777" w:rsidR="00BA1E10" w:rsidRPr="00BE7AD9" w:rsidRDefault="000D069B">
      <w:pPr>
        <w:pStyle w:val="TOC3"/>
        <w:rPr>
          <w:rFonts w:ascii="Calibri" w:hAnsi="Calibri"/>
          <w:noProof/>
          <w:sz w:val="22"/>
          <w:szCs w:val="22"/>
          <w:lang w:val="nl-NL" w:eastAsia="nl-NL"/>
        </w:rPr>
      </w:pPr>
      <w:hyperlink w:anchor="_Toc392758742" w:history="1">
        <w:r w:rsidR="00BA1E10" w:rsidRPr="00906A70">
          <w:rPr>
            <w:rStyle w:val="Hyperlink"/>
            <w:rFonts w:cs="Arial"/>
            <w:noProof/>
          </w:rPr>
          <w:t>4.7.4</w:t>
        </w:r>
        <w:r w:rsidR="00BA1E10" w:rsidRPr="00BE7AD9">
          <w:rPr>
            <w:rFonts w:ascii="Calibri" w:hAnsi="Calibri"/>
            <w:noProof/>
            <w:sz w:val="22"/>
            <w:szCs w:val="22"/>
            <w:lang w:val="nl-NL" w:eastAsia="nl-NL"/>
          </w:rPr>
          <w:tab/>
        </w:r>
        <w:r w:rsidR="00BA1E10" w:rsidRPr="00906A70">
          <w:rPr>
            <w:rStyle w:val="Hyperlink"/>
            <w:rFonts w:cs="Arial"/>
            <w:noProof/>
          </w:rPr>
          <w:t>Retirement</w:t>
        </w:r>
        <w:r w:rsidR="00BA1E10">
          <w:rPr>
            <w:noProof/>
            <w:webHidden/>
          </w:rPr>
          <w:tab/>
        </w:r>
        <w:r w:rsidR="00BA1E10">
          <w:rPr>
            <w:noProof/>
            <w:webHidden/>
          </w:rPr>
          <w:fldChar w:fldCharType="begin"/>
        </w:r>
        <w:r w:rsidR="00BA1E10">
          <w:rPr>
            <w:noProof/>
            <w:webHidden/>
          </w:rPr>
          <w:instrText xml:space="preserve"> PAGEREF _Toc392758742 \h </w:instrText>
        </w:r>
        <w:r w:rsidR="00BA1E10">
          <w:rPr>
            <w:noProof/>
            <w:webHidden/>
          </w:rPr>
        </w:r>
        <w:r w:rsidR="00BA1E10">
          <w:rPr>
            <w:noProof/>
            <w:webHidden/>
          </w:rPr>
          <w:fldChar w:fldCharType="separate"/>
        </w:r>
        <w:r w:rsidR="00DA0744">
          <w:rPr>
            <w:noProof/>
            <w:webHidden/>
          </w:rPr>
          <w:t>106</w:t>
        </w:r>
        <w:r w:rsidR="00BA1E10">
          <w:rPr>
            <w:noProof/>
            <w:webHidden/>
          </w:rPr>
          <w:fldChar w:fldCharType="end"/>
        </w:r>
      </w:hyperlink>
    </w:p>
    <w:p w14:paraId="4D05AA3B" w14:textId="77777777" w:rsidR="00BA1E10" w:rsidRPr="00BE7AD9" w:rsidRDefault="000D069B">
      <w:pPr>
        <w:pStyle w:val="TOC3"/>
        <w:rPr>
          <w:rFonts w:ascii="Calibri" w:hAnsi="Calibri"/>
          <w:noProof/>
          <w:sz w:val="22"/>
          <w:szCs w:val="22"/>
          <w:lang w:val="nl-NL" w:eastAsia="nl-NL"/>
        </w:rPr>
      </w:pPr>
      <w:hyperlink w:anchor="_Toc392758743" w:history="1">
        <w:r w:rsidR="00BA1E10" w:rsidRPr="00906A70">
          <w:rPr>
            <w:rStyle w:val="Hyperlink"/>
            <w:rFonts w:cs="Arial"/>
            <w:noProof/>
          </w:rPr>
          <w:t>4.7.5</w:t>
        </w:r>
        <w:r w:rsidR="00BA1E10" w:rsidRPr="00BE7AD9">
          <w:rPr>
            <w:rFonts w:ascii="Calibri" w:hAnsi="Calibri"/>
            <w:noProof/>
            <w:sz w:val="22"/>
            <w:szCs w:val="22"/>
            <w:lang w:val="nl-NL" w:eastAsia="nl-NL"/>
          </w:rPr>
          <w:tab/>
        </w:r>
        <w:r w:rsidR="00BA1E10" w:rsidRPr="00906A70">
          <w:rPr>
            <w:rStyle w:val="Hyperlink"/>
            <w:rFonts w:cs="Arial"/>
            <w:noProof/>
          </w:rPr>
          <w:t>Redundancy</w:t>
        </w:r>
        <w:r w:rsidR="00BA1E10">
          <w:rPr>
            <w:noProof/>
            <w:webHidden/>
          </w:rPr>
          <w:tab/>
        </w:r>
        <w:r w:rsidR="00BA1E10">
          <w:rPr>
            <w:noProof/>
            <w:webHidden/>
          </w:rPr>
          <w:fldChar w:fldCharType="begin"/>
        </w:r>
        <w:r w:rsidR="00BA1E10">
          <w:rPr>
            <w:noProof/>
            <w:webHidden/>
          </w:rPr>
          <w:instrText xml:space="preserve"> PAGEREF _Toc392758743 \h </w:instrText>
        </w:r>
        <w:r w:rsidR="00BA1E10">
          <w:rPr>
            <w:noProof/>
            <w:webHidden/>
          </w:rPr>
        </w:r>
        <w:r w:rsidR="00BA1E10">
          <w:rPr>
            <w:noProof/>
            <w:webHidden/>
          </w:rPr>
          <w:fldChar w:fldCharType="separate"/>
        </w:r>
        <w:r w:rsidR="00DA0744">
          <w:rPr>
            <w:noProof/>
            <w:webHidden/>
          </w:rPr>
          <w:t>111</w:t>
        </w:r>
        <w:r w:rsidR="00BA1E10">
          <w:rPr>
            <w:noProof/>
            <w:webHidden/>
          </w:rPr>
          <w:fldChar w:fldCharType="end"/>
        </w:r>
      </w:hyperlink>
    </w:p>
    <w:p w14:paraId="6D6075AB" w14:textId="77777777" w:rsidR="00BA1E10" w:rsidRPr="00BE7AD9" w:rsidRDefault="000D069B">
      <w:pPr>
        <w:pStyle w:val="TOC2"/>
        <w:rPr>
          <w:rFonts w:ascii="Calibri" w:hAnsi="Calibri"/>
          <w:noProof/>
          <w:sz w:val="22"/>
          <w:szCs w:val="22"/>
          <w:lang w:val="nl-NL" w:eastAsia="nl-NL"/>
        </w:rPr>
      </w:pPr>
      <w:hyperlink w:anchor="_Toc392758744" w:history="1">
        <w:r w:rsidR="00BA1E10" w:rsidRPr="00906A70">
          <w:rPr>
            <w:rStyle w:val="Hyperlink"/>
            <w:rFonts w:cs="Arial"/>
            <w:noProof/>
          </w:rPr>
          <w:t>4.8</w:t>
        </w:r>
        <w:r w:rsidR="00BA1E10" w:rsidRPr="00BE7AD9">
          <w:rPr>
            <w:rFonts w:ascii="Calibri" w:hAnsi="Calibri"/>
            <w:noProof/>
            <w:sz w:val="22"/>
            <w:szCs w:val="22"/>
            <w:lang w:val="nl-NL" w:eastAsia="nl-NL"/>
          </w:rPr>
          <w:tab/>
        </w:r>
        <w:r w:rsidR="00BA1E10" w:rsidRPr="00906A70">
          <w:rPr>
            <w:rStyle w:val="Hyperlink"/>
            <w:rFonts w:cs="Arial"/>
            <w:noProof/>
          </w:rPr>
          <w:t>Public security, public order, criminal offences, protection of health, protection of the rights and freedoms of others (Article 2(5), Directive 2000/78)</w:t>
        </w:r>
        <w:r w:rsidR="00BA1E10">
          <w:rPr>
            <w:noProof/>
            <w:webHidden/>
          </w:rPr>
          <w:tab/>
        </w:r>
        <w:r w:rsidR="00BA1E10">
          <w:rPr>
            <w:noProof/>
            <w:webHidden/>
          </w:rPr>
          <w:fldChar w:fldCharType="begin"/>
        </w:r>
        <w:r w:rsidR="00BA1E10">
          <w:rPr>
            <w:noProof/>
            <w:webHidden/>
          </w:rPr>
          <w:instrText xml:space="preserve"> PAGEREF _Toc392758744 \h </w:instrText>
        </w:r>
        <w:r w:rsidR="00BA1E10">
          <w:rPr>
            <w:noProof/>
            <w:webHidden/>
          </w:rPr>
        </w:r>
        <w:r w:rsidR="00BA1E10">
          <w:rPr>
            <w:noProof/>
            <w:webHidden/>
          </w:rPr>
          <w:fldChar w:fldCharType="separate"/>
        </w:r>
        <w:r w:rsidR="00DA0744">
          <w:rPr>
            <w:noProof/>
            <w:webHidden/>
          </w:rPr>
          <w:t>112</w:t>
        </w:r>
        <w:r w:rsidR="00BA1E10">
          <w:rPr>
            <w:noProof/>
            <w:webHidden/>
          </w:rPr>
          <w:fldChar w:fldCharType="end"/>
        </w:r>
      </w:hyperlink>
    </w:p>
    <w:p w14:paraId="288F11F7" w14:textId="77777777" w:rsidR="00BA1E10" w:rsidRPr="00BE7AD9" w:rsidRDefault="000D069B">
      <w:pPr>
        <w:pStyle w:val="TOC2"/>
        <w:rPr>
          <w:rFonts w:ascii="Calibri" w:hAnsi="Calibri"/>
          <w:noProof/>
          <w:sz w:val="22"/>
          <w:szCs w:val="22"/>
          <w:lang w:val="nl-NL" w:eastAsia="nl-NL"/>
        </w:rPr>
      </w:pPr>
      <w:hyperlink w:anchor="_Toc392758745" w:history="1">
        <w:r w:rsidR="00BA1E10" w:rsidRPr="00906A70">
          <w:rPr>
            <w:rStyle w:val="Hyperlink"/>
            <w:rFonts w:cs="Arial"/>
            <w:noProof/>
          </w:rPr>
          <w:t>4.9</w:t>
        </w:r>
        <w:r w:rsidR="00BA1E10" w:rsidRPr="00BE7AD9">
          <w:rPr>
            <w:rFonts w:ascii="Calibri" w:hAnsi="Calibri"/>
            <w:noProof/>
            <w:sz w:val="22"/>
            <w:szCs w:val="22"/>
            <w:lang w:val="nl-NL" w:eastAsia="nl-NL"/>
          </w:rPr>
          <w:tab/>
        </w:r>
        <w:r w:rsidR="00BA1E10" w:rsidRPr="00906A70">
          <w:rPr>
            <w:rStyle w:val="Hyperlink"/>
            <w:rFonts w:cs="Arial"/>
            <w:noProof/>
          </w:rPr>
          <w:t>Any other exceptions</w:t>
        </w:r>
        <w:r w:rsidR="00BA1E10">
          <w:rPr>
            <w:noProof/>
            <w:webHidden/>
          </w:rPr>
          <w:tab/>
        </w:r>
        <w:r w:rsidR="00BA1E10">
          <w:rPr>
            <w:noProof/>
            <w:webHidden/>
          </w:rPr>
          <w:fldChar w:fldCharType="begin"/>
        </w:r>
        <w:r w:rsidR="00BA1E10">
          <w:rPr>
            <w:noProof/>
            <w:webHidden/>
          </w:rPr>
          <w:instrText xml:space="preserve"> PAGEREF _Toc392758745 \h </w:instrText>
        </w:r>
        <w:r w:rsidR="00BA1E10">
          <w:rPr>
            <w:noProof/>
            <w:webHidden/>
          </w:rPr>
        </w:r>
        <w:r w:rsidR="00BA1E10">
          <w:rPr>
            <w:noProof/>
            <w:webHidden/>
          </w:rPr>
          <w:fldChar w:fldCharType="separate"/>
        </w:r>
        <w:r w:rsidR="00DA0744">
          <w:rPr>
            <w:noProof/>
            <w:webHidden/>
          </w:rPr>
          <w:t>112</w:t>
        </w:r>
        <w:r w:rsidR="00BA1E10">
          <w:rPr>
            <w:noProof/>
            <w:webHidden/>
          </w:rPr>
          <w:fldChar w:fldCharType="end"/>
        </w:r>
      </w:hyperlink>
    </w:p>
    <w:p w14:paraId="13B0F97D" w14:textId="77777777" w:rsidR="00BA1E10" w:rsidRPr="00BE7AD9" w:rsidRDefault="000D069B">
      <w:pPr>
        <w:pStyle w:val="TOC1"/>
        <w:rPr>
          <w:rFonts w:ascii="Calibri" w:hAnsi="Calibri"/>
          <w:b w:val="0"/>
          <w:noProof/>
          <w:sz w:val="22"/>
          <w:szCs w:val="22"/>
          <w:lang w:val="nl-NL" w:eastAsia="nl-NL"/>
        </w:rPr>
      </w:pPr>
      <w:hyperlink w:anchor="_Toc392758746" w:history="1">
        <w:r w:rsidR="00BA1E10" w:rsidRPr="00906A70">
          <w:rPr>
            <w:rStyle w:val="Hyperlink"/>
            <w:rFonts w:cs="Arial"/>
            <w:noProof/>
            <w:lang w:val="fr-FR"/>
          </w:rPr>
          <w:t>5</w:t>
        </w:r>
        <w:r w:rsidR="00BA1E10" w:rsidRPr="00BE7AD9">
          <w:rPr>
            <w:rFonts w:ascii="Calibri" w:hAnsi="Calibri"/>
            <w:b w:val="0"/>
            <w:noProof/>
            <w:sz w:val="22"/>
            <w:szCs w:val="22"/>
            <w:lang w:val="nl-NL" w:eastAsia="nl-NL"/>
          </w:rPr>
          <w:tab/>
        </w:r>
        <w:r w:rsidR="00BA1E10" w:rsidRPr="00906A70">
          <w:rPr>
            <w:rStyle w:val="Hyperlink"/>
            <w:rFonts w:cs="Arial"/>
            <w:noProof/>
            <w:lang w:val="fr-FR"/>
          </w:rPr>
          <w:t>POSITIVE ACTION (Article 5 Directive 2000/43, Article 7 Directive 2000/78)</w:t>
        </w:r>
        <w:r w:rsidR="00BA1E10">
          <w:rPr>
            <w:noProof/>
            <w:webHidden/>
          </w:rPr>
          <w:tab/>
        </w:r>
        <w:r w:rsidR="00BA1E10">
          <w:rPr>
            <w:noProof/>
            <w:webHidden/>
          </w:rPr>
          <w:fldChar w:fldCharType="begin"/>
        </w:r>
        <w:r w:rsidR="00BA1E10">
          <w:rPr>
            <w:noProof/>
            <w:webHidden/>
          </w:rPr>
          <w:instrText xml:space="preserve"> PAGEREF _Toc392758746 \h </w:instrText>
        </w:r>
        <w:r w:rsidR="00BA1E10">
          <w:rPr>
            <w:noProof/>
            <w:webHidden/>
          </w:rPr>
        </w:r>
        <w:r w:rsidR="00BA1E10">
          <w:rPr>
            <w:noProof/>
            <w:webHidden/>
          </w:rPr>
          <w:fldChar w:fldCharType="separate"/>
        </w:r>
        <w:r w:rsidR="00DA0744">
          <w:rPr>
            <w:noProof/>
            <w:webHidden/>
          </w:rPr>
          <w:t>113</w:t>
        </w:r>
        <w:r w:rsidR="00BA1E10">
          <w:rPr>
            <w:noProof/>
            <w:webHidden/>
          </w:rPr>
          <w:fldChar w:fldCharType="end"/>
        </w:r>
      </w:hyperlink>
    </w:p>
    <w:p w14:paraId="075FF233" w14:textId="77777777" w:rsidR="00BA1E10" w:rsidRPr="00BE7AD9" w:rsidRDefault="000D069B">
      <w:pPr>
        <w:pStyle w:val="TOC1"/>
        <w:rPr>
          <w:rFonts w:ascii="Calibri" w:hAnsi="Calibri"/>
          <w:b w:val="0"/>
          <w:noProof/>
          <w:sz w:val="22"/>
          <w:szCs w:val="22"/>
          <w:lang w:val="nl-NL" w:eastAsia="nl-NL"/>
        </w:rPr>
      </w:pPr>
      <w:hyperlink w:anchor="_Toc392758747" w:history="1">
        <w:r w:rsidR="00BA1E10" w:rsidRPr="00906A70">
          <w:rPr>
            <w:rStyle w:val="Hyperlink"/>
            <w:rFonts w:cs="Arial"/>
            <w:noProof/>
          </w:rPr>
          <w:t>6</w:t>
        </w:r>
        <w:r w:rsidR="00BA1E10" w:rsidRPr="00BE7AD9">
          <w:rPr>
            <w:rFonts w:ascii="Calibri" w:hAnsi="Calibri"/>
            <w:b w:val="0"/>
            <w:noProof/>
            <w:sz w:val="22"/>
            <w:szCs w:val="22"/>
            <w:lang w:val="nl-NL" w:eastAsia="nl-NL"/>
          </w:rPr>
          <w:tab/>
        </w:r>
        <w:r w:rsidR="00BA1E10" w:rsidRPr="00906A70">
          <w:rPr>
            <w:rStyle w:val="Hyperlink"/>
            <w:rFonts w:cs="Arial"/>
            <w:noProof/>
          </w:rPr>
          <w:t>REMEDIES AND ENFORCEMENT</w:t>
        </w:r>
        <w:r w:rsidR="00BA1E10">
          <w:rPr>
            <w:noProof/>
            <w:webHidden/>
          </w:rPr>
          <w:tab/>
        </w:r>
        <w:r w:rsidR="00BA1E10">
          <w:rPr>
            <w:noProof/>
            <w:webHidden/>
          </w:rPr>
          <w:fldChar w:fldCharType="begin"/>
        </w:r>
        <w:r w:rsidR="00BA1E10">
          <w:rPr>
            <w:noProof/>
            <w:webHidden/>
          </w:rPr>
          <w:instrText xml:space="preserve"> PAGEREF _Toc392758747 \h </w:instrText>
        </w:r>
        <w:r w:rsidR="00BA1E10">
          <w:rPr>
            <w:noProof/>
            <w:webHidden/>
          </w:rPr>
        </w:r>
        <w:r w:rsidR="00BA1E10">
          <w:rPr>
            <w:noProof/>
            <w:webHidden/>
          </w:rPr>
          <w:fldChar w:fldCharType="separate"/>
        </w:r>
        <w:r w:rsidR="00DA0744">
          <w:rPr>
            <w:noProof/>
            <w:webHidden/>
          </w:rPr>
          <w:t>120</w:t>
        </w:r>
        <w:r w:rsidR="00BA1E10">
          <w:rPr>
            <w:noProof/>
            <w:webHidden/>
          </w:rPr>
          <w:fldChar w:fldCharType="end"/>
        </w:r>
      </w:hyperlink>
    </w:p>
    <w:p w14:paraId="06DB5470" w14:textId="77777777" w:rsidR="00BA1E10" w:rsidRPr="00BE7AD9" w:rsidRDefault="000D069B">
      <w:pPr>
        <w:pStyle w:val="TOC2"/>
        <w:rPr>
          <w:rFonts w:ascii="Calibri" w:hAnsi="Calibri"/>
          <w:noProof/>
          <w:sz w:val="22"/>
          <w:szCs w:val="22"/>
          <w:lang w:val="nl-NL" w:eastAsia="nl-NL"/>
        </w:rPr>
      </w:pPr>
      <w:hyperlink w:anchor="_Toc392758748" w:history="1">
        <w:r w:rsidR="00BA1E10" w:rsidRPr="00906A70">
          <w:rPr>
            <w:rStyle w:val="Hyperlink"/>
            <w:rFonts w:cs="Arial"/>
            <w:noProof/>
          </w:rPr>
          <w:t>6.1</w:t>
        </w:r>
        <w:r w:rsidR="00BA1E10" w:rsidRPr="00BE7AD9">
          <w:rPr>
            <w:rFonts w:ascii="Calibri" w:hAnsi="Calibri"/>
            <w:noProof/>
            <w:sz w:val="22"/>
            <w:szCs w:val="22"/>
            <w:lang w:val="nl-NL" w:eastAsia="nl-NL"/>
          </w:rPr>
          <w:tab/>
        </w:r>
        <w:r w:rsidR="00BA1E10" w:rsidRPr="00906A70">
          <w:rPr>
            <w:rStyle w:val="Hyperlink"/>
            <w:rFonts w:cs="Arial"/>
            <w:noProof/>
          </w:rPr>
          <w:t>Judicial and/or administrative procedures (Article 7 Directive 2000/43, Article 9 Directive 2000/78)</w:t>
        </w:r>
        <w:r w:rsidR="00BA1E10">
          <w:rPr>
            <w:noProof/>
            <w:webHidden/>
          </w:rPr>
          <w:tab/>
        </w:r>
        <w:r w:rsidR="00BA1E10">
          <w:rPr>
            <w:noProof/>
            <w:webHidden/>
          </w:rPr>
          <w:fldChar w:fldCharType="begin"/>
        </w:r>
        <w:r w:rsidR="00BA1E10">
          <w:rPr>
            <w:noProof/>
            <w:webHidden/>
          </w:rPr>
          <w:instrText xml:space="preserve"> PAGEREF _Toc392758748 \h </w:instrText>
        </w:r>
        <w:r w:rsidR="00BA1E10">
          <w:rPr>
            <w:noProof/>
            <w:webHidden/>
          </w:rPr>
        </w:r>
        <w:r w:rsidR="00BA1E10">
          <w:rPr>
            <w:noProof/>
            <w:webHidden/>
          </w:rPr>
          <w:fldChar w:fldCharType="separate"/>
        </w:r>
        <w:r w:rsidR="00DA0744">
          <w:rPr>
            <w:noProof/>
            <w:webHidden/>
          </w:rPr>
          <w:t>120</w:t>
        </w:r>
        <w:r w:rsidR="00BA1E10">
          <w:rPr>
            <w:noProof/>
            <w:webHidden/>
          </w:rPr>
          <w:fldChar w:fldCharType="end"/>
        </w:r>
      </w:hyperlink>
    </w:p>
    <w:p w14:paraId="27431239" w14:textId="77777777" w:rsidR="00BA1E10" w:rsidRPr="00BE7AD9" w:rsidRDefault="000D069B">
      <w:pPr>
        <w:pStyle w:val="TOC2"/>
        <w:rPr>
          <w:rFonts w:ascii="Calibri" w:hAnsi="Calibri"/>
          <w:noProof/>
          <w:sz w:val="22"/>
          <w:szCs w:val="22"/>
          <w:lang w:val="nl-NL" w:eastAsia="nl-NL"/>
        </w:rPr>
      </w:pPr>
      <w:hyperlink w:anchor="_Toc392758749" w:history="1">
        <w:r w:rsidR="00BA1E10" w:rsidRPr="00906A70">
          <w:rPr>
            <w:rStyle w:val="Hyperlink"/>
            <w:rFonts w:cs="Arial"/>
            <w:noProof/>
          </w:rPr>
          <w:t>6.2</w:t>
        </w:r>
        <w:r w:rsidR="00BA1E10" w:rsidRPr="00BE7AD9">
          <w:rPr>
            <w:rFonts w:ascii="Calibri" w:hAnsi="Calibri"/>
            <w:noProof/>
            <w:sz w:val="22"/>
            <w:szCs w:val="22"/>
            <w:lang w:val="nl-NL" w:eastAsia="nl-NL"/>
          </w:rPr>
          <w:tab/>
        </w:r>
        <w:r w:rsidR="00BA1E10" w:rsidRPr="00906A70">
          <w:rPr>
            <w:rStyle w:val="Hyperlink"/>
            <w:rFonts w:cs="Arial"/>
            <w:noProof/>
          </w:rPr>
          <w:t>Legal standing and associations (Article 7(2) Directive 2000/43, Article 9(2) Directive 2000/78)</w:t>
        </w:r>
        <w:r w:rsidR="00BA1E10">
          <w:rPr>
            <w:noProof/>
            <w:webHidden/>
          </w:rPr>
          <w:tab/>
        </w:r>
        <w:r w:rsidR="00BA1E10">
          <w:rPr>
            <w:noProof/>
            <w:webHidden/>
          </w:rPr>
          <w:fldChar w:fldCharType="begin"/>
        </w:r>
        <w:r w:rsidR="00BA1E10">
          <w:rPr>
            <w:noProof/>
            <w:webHidden/>
          </w:rPr>
          <w:instrText xml:space="preserve"> PAGEREF _Toc392758749 \h </w:instrText>
        </w:r>
        <w:r w:rsidR="00BA1E10">
          <w:rPr>
            <w:noProof/>
            <w:webHidden/>
          </w:rPr>
        </w:r>
        <w:r w:rsidR="00BA1E10">
          <w:rPr>
            <w:noProof/>
            <w:webHidden/>
          </w:rPr>
          <w:fldChar w:fldCharType="separate"/>
        </w:r>
        <w:r w:rsidR="00DA0744">
          <w:rPr>
            <w:noProof/>
            <w:webHidden/>
          </w:rPr>
          <w:t>129</w:t>
        </w:r>
        <w:r w:rsidR="00BA1E10">
          <w:rPr>
            <w:noProof/>
            <w:webHidden/>
          </w:rPr>
          <w:fldChar w:fldCharType="end"/>
        </w:r>
      </w:hyperlink>
    </w:p>
    <w:p w14:paraId="531EDDC3" w14:textId="77777777" w:rsidR="00BA1E10" w:rsidRPr="00BE7AD9" w:rsidRDefault="000D069B">
      <w:pPr>
        <w:pStyle w:val="TOC2"/>
        <w:rPr>
          <w:rFonts w:ascii="Calibri" w:hAnsi="Calibri"/>
          <w:noProof/>
          <w:sz w:val="22"/>
          <w:szCs w:val="22"/>
          <w:lang w:val="nl-NL" w:eastAsia="nl-NL"/>
        </w:rPr>
      </w:pPr>
      <w:hyperlink w:anchor="_Toc392758750" w:history="1">
        <w:r w:rsidR="00BA1E10" w:rsidRPr="00906A70">
          <w:rPr>
            <w:rStyle w:val="Hyperlink"/>
            <w:rFonts w:cs="Arial"/>
            <w:noProof/>
          </w:rPr>
          <w:t>6.3</w:t>
        </w:r>
        <w:r w:rsidR="00BA1E10" w:rsidRPr="00BE7AD9">
          <w:rPr>
            <w:rFonts w:ascii="Calibri" w:hAnsi="Calibri"/>
            <w:noProof/>
            <w:sz w:val="22"/>
            <w:szCs w:val="22"/>
            <w:lang w:val="nl-NL" w:eastAsia="nl-NL"/>
          </w:rPr>
          <w:tab/>
        </w:r>
        <w:r w:rsidR="00BA1E10" w:rsidRPr="00906A70">
          <w:rPr>
            <w:rStyle w:val="Hyperlink"/>
            <w:rFonts w:cs="Arial"/>
            <w:noProof/>
          </w:rPr>
          <w:t>Burden of proof (Article 8 Directive 2000/43, Article 10 Directive 2000/78)</w:t>
        </w:r>
        <w:r w:rsidR="00BA1E10">
          <w:rPr>
            <w:noProof/>
            <w:webHidden/>
          </w:rPr>
          <w:tab/>
        </w:r>
        <w:r w:rsidR="00BA1E10">
          <w:rPr>
            <w:noProof/>
            <w:webHidden/>
          </w:rPr>
          <w:fldChar w:fldCharType="begin"/>
        </w:r>
        <w:r w:rsidR="00BA1E10">
          <w:rPr>
            <w:noProof/>
            <w:webHidden/>
          </w:rPr>
          <w:instrText xml:space="preserve"> PAGEREF _Toc392758750 \h </w:instrText>
        </w:r>
        <w:r w:rsidR="00BA1E10">
          <w:rPr>
            <w:noProof/>
            <w:webHidden/>
          </w:rPr>
        </w:r>
        <w:r w:rsidR="00BA1E10">
          <w:rPr>
            <w:noProof/>
            <w:webHidden/>
          </w:rPr>
          <w:fldChar w:fldCharType="separate"/>
        </w:r>
        <w:r w:rsidR="00DA0744">
          <w:rPr>
            <w:noProof/>
            <w:webHidden/>
          </w:rPr>
          <w:t>134</w:t>
        </w:r>
        <w:r w:rsidR="00BA1E10">
          <w:rPr>
            <w:noProof/>
            <w:webHidden/>
          </w:rPr>
          <w:fldChar w:fldCharType="end"/>
        </w:r>
      </w:hyperlink>
    </w:p>
    <w:p w14:paraId="622E5F80" w14:textId="77777777" w:rsidR="00BA1E10" w:rsidRPr="00BE7AD9" w:rsidRDefault="000D069B">
      <w:pPr>
        <w:pStyle w:val="TOC2"/>
        <w:rPr>
          <w:rFonts w:ascii="Calibri" w:hAnsi="Calibri"/>
          <w:noProof/>
          <w:sz w:val="22"/>
          <w:szCs w:val="22"/>
          <w:lang w:val="nl-NL" w:eastAsia="nl-NL"/>
        </w:rPr>
      </w:pPr>
      <w:hyperlink w:anchor="_Toc392758751" w:history="1">
        <w:r w:rsidR="00BA1E10" w:rsidRPr="00906A70">
          <w:rPr>
            <w:rStyle w:val="Hyperlink"/>
            <w:rFonts w:cs="Arial"/>
            <w:noProof/>
          </w:rPr>
          <w:t>6.4</w:t>
        </w:r>
        <w:r w:rsidR="00BA1E10" w:rsidRPr="00BE7AD9">
          <w:rPr>
            <w:rFonts w:ascii="Calibri" w:hAnsi="Calibri"/>
            <w:noProof/>
            <w:sz w:val="22"/>
            <w:szCs w:val="22"/>
            <w:lang w:val="nl-NL" w:eastAsia="nl-NL"/>
          </w:rPr>
          <w:tab/>
        </w:r>
        <w:r w:rsidR="00BA1E10" w:rsidRPr="00906A70">
          <w:rPr>
            <w:rStyle w:val="Hyperlink"/>
            <w:rFonts w:cs="Arial"/>
            <w:noProof/>
          </w:rPr>
          <w:t>Victimisation (Article 9 Directive 2000/43, Article 11 Directive 2000/78)</w:t>
        </w:r>
        <w:r w:rsidR="00BA1E10">
          <w:rPr>
            <w:noProof/>
            <w:webHidden/>
          </w:rPr>
          <w:tab/>
        </w:r>
        <w:r w:rsidR="00BA1E10">
          <w:rPr>
            <w:noProof/>
            <w:webHidden/>
          </w:rPr>
          <w:fldChar w:fldCharType="begin"/>
        </w:r>
        <w:r w:rsidR="00BA1E10">
          <w:rPr>
            <w:noProof/>
            <w:webHidden/>
          </w:rPr>
          <w:instrText xml:space="preserve"> PAGEREF _Toc392758751 \h </w:instrText>
        </w:r>
        <w:r w:rsidR="00BA1E10">
          <w:rPr>
            <w:noProof/>
            <w:webHidden/>
          </w:rPr>
        </w:r>
        <w:r w:rsidR="00BA1E10">
          <w:rPr>
            <w:noProof/>
            <w:webHidden/>
          </w:rPr>
          <w:fldChar w:fldCharType="separate"/>
        </w:r>
        <w:r w:rsidR="00DA0744">
          <w:rPr>
            <w:noProof/>
            <w:webHidden/>
          </w:rPr>
          <w:t>136</w:t>
        </w:r>
        <w:r w:rsidR="00BA1E10">
          <w:rPr>
            <w:noProof/>
            <w:webHidden/>
          </w:rPr>
          <w:fldChar w:fldCharType="end"/>
        </w:r>
      </w:hyperlink>
    </w:p>
    <w:p w14:paraId="28128D4A" w14:textId="77777777" w:rsidR="00BA1E10" w:rsidRPr="00BE7AD9" w:rsidRDefault="000D069B">
      <w:pPr>
        <w:pStyle w:val="TOC2"/>
        <w:rPr>
          <w:rFonts w:ascii="Calibri" w:hAnsi="Calibri"/>
          <w:noProof/>
          <w:sz w:val="22"/>
          <w:szCs w:val="22"/>
          <w:lang w:val="nl-NL" w:eastAsia="nl-NL"/>
        </w:rPr>
      </w:pPr>
      <w:hyperlink w:anchor="_Toc392758752" w:history="1">
        <w:r w:rsidR="00BA1E10" w:rsidRPr="00906A70">
          <w:rPr>
            <w:rStyle w:val="Hyperlink"/>
            <w:rFonts w:cs="Arial"/>
            <w:noProof/>
          </w:rPr>
          <w:t>6.5</w:t>
        </w:r>
        <w:r w:rsidR="00BA1E10" w:rsidRPr="00BE7AD9">
          <w:rPr>
            <w:rFonts w:ascii="Calibri" w:hAnsi="Calibri"/>
            <w:noProof/>
            <w:sz w:val="22"/>
            <w:szCs w:val="22"/>
            <w:lang w:val="nl-NL" w:eastAsia="nl-NL"/>
          </w:rPr>
          <w:tab/>
        </w:r>
        <w:r w:rsidR="00BA1E10" w:rsidRPr="00906A70">
          <w:rPr>
            <w:rStyle w:val="Hyperlink"/>
            <w:rFonts w:cs="Arial"/>
            <w:noProof/>
          </w:rPr>
          <w:t>Sanctions and remedies (Article 15 Directive 2000/43, Article 17 Directive 2000/78)</w:t>
        </w:r>
        <w:r w:rsidR="00BA1E10">
          <w:rPr>
            <w:noProof/>
            <w:webHidden/>
          </w:rPr>
          <w:tab/>
        </w:r>
        <w:r w:rsidR="00BA1E10">
          <w:rPr>
            <w:noProof/>
            <w:webHidden/>
          </w:rPr>
          <w:fldChar w:fldCharType="begin"/>
        </w:r>
        <w:r w:rsidR="00BA1E10">
          <w:rPr>
            <w:noProof/>
            <w:webHidden/>
          </w:rPr>
          <w:instrText xml:space="preserve"> PAGEREF _Toc392758752 \h </w:instrText>
        </w:r>
        <w:r w:rsidR="00BA1E10">
          <w:rPr>
            <w:noProof/>
            <w:webHidden/>
          </w:rPr>
        </w:r>
        <w:r w:rsidR="00BA1E10">
          <w:rPr>
            <w:noProof/>
            <w:webHidden/>
          </w:rPr>
          <w:fldChar w:fldCharType="separate"/>
        </w:r>
        <w:r w:rsidR="00DA0744">
          <w:rPr>
            <w:noProof/>
            <w:webHidden/>
          </w:rPr>
          <w:t>137</w:t>
        </w:r>
        <w:r w:rsidR="00BA1E10">
          <w:rPr>
            <w:noProof/>
            <w:webHidden/>
          </w:rPr>
          <w:fldChar w:fldCharType="end"/>
        </w:r>
      </w:hyperlink>
    </w:p>
    <w:p w14:paraId="6AC316EA" w14:textId="77777777" w:rsidR="00BA1E10" w:rsidRPr="00BE7AD9" w:rsidRDefault="000D069B">
      <w:pPr>
        <w:pStyle w:val="TOC1"/>
        <w:rPr>
          <w:rFonts w:ascii="Calibri" w:hAnsi="Calibri"/>
          <w:b w:val="0"/>
          <w:noProof/>
          <w:sz w:val="22"/>
          <w:szCs w:val="22"/>
          <w:lang w:val="nl-NL" w:eastAsia="nl-NL"/>
        </w:rPr>
      </w:pPr>
      <w:hyperlink w:anchor="_Toc392758753" w:history="1">
        <w:r w:rsidR="00BA1E10" w:rsidRPr="00906A70">
          <w:rPr>
            <w:rStyle w:val="Hyperlink"/>
            <w:rFonts w:cs="Arial"/>
            <w:noProof/>
          </w:rPr>
          <w:t>7</w:t>
        </w:r>
        <w:r w:rsidR="00BA1E10" w:rsidRPr="00BE7AD9">
          <w:rPr>
            <w:rFonts w:ascii="Calibri" w:hAnsi="Calibri"/>
            <w:b w:val="0"/>
            <w:noProof/>
            <w:sz w:val="22"/>
            <w:szCs w:val="22"/>
            <w:lang w:val="nl-NL" w:eastAsia="nl-NL"/>
          </w:rPr>
          <w:tab/>
        </w:r>
        <w:r w:rsidR="00BA1E10" w:rsidRPr="00906A70">
          <w:rPr>
            <w:rStyle w:val="Hyperlink"/>
            <w:rFonts w:cs="Arial"/>
            <w:noProof/>
          </w:rPr>
          <w:t>SPECIALISED BODIES, Body for the promotion of equal treatment (Article 13 Directive 2000/43)</w:t>
        </w:r>
        <w:r w:rsidR="00BA1E10">
          <w:rPr>
            <w:noProof/>
            <w:webHidden/>
          </w:rPr>
          <w:tab/>
        </w:r>
        <w:r w:rsidR="00BA1E10">
          <w:rPr>
            <w:noProof/>
            <w:webHidden/>
          </w:rPr>
          <w:fldChar w:fldCharType="begin"/>
        </w:r>
        <w:r w:rsidR="00BA1E10">
          <w:rPr>
            <w:noProof/>
            <w:webHidden/>
          </w:rPr>
          <w:instrText xml:space="preserve"> PAGEREF _Toc392758753 \h </w:instrText>
        </w:r>
        <w:r w:rsidR="00BA1E10">
          <w:rPr>
            <w:noProof/>
            <w:webHidden/>
          </w:rPr>
        </w:r>
        <w:r w:rsidR="00BA1E10">
          <w:rPr>
            <w:noProof/>
            <w:webHidden/>
          </w:rPr>
          <w:fldChar w:fldCharType="separate"/>
        </w:r>
        <w:r w:rsidR="00DA0744">
          <w:rPr>
            <w:noProof/>
            <w:webHidden/>
          </w:rPr>
          <w:t>142</w:t>
        </w:r>
        <w:r w:rsidR="00BA1E10">
          <w:rPr>
            <w:noProof/>
            <w:webHidden/>
          </w:rPr>
          <w:fldChar w:fldCharType="end"/>
        </w:r>
      </w:hyperlink>
    </w:p>
    <w:p w14:paraId="5952F057" w14:textId="77777777" w:rsidR="00BA1E10" w:rsidRPr="00BE7AD9" w:rsidRDefault="000D069B">
      <w:pPr>
        <w:pStyle w:val="TOC1"/>
        <w:rPr>
          <w:rFonts w:ascii="Calibri" w:hAnsi="Calibri"/>
          <w:b w:val="0"/>
          <w:noProof/>
          <w:sz w:val="22"/>
          <w:szCs w:val="22"/>
          <w:lang w:val="nl-NL" w:eastAsia="nl-NL"/>
        </w:rPr>
      </w:pPr>
      <w:hyperlink w:anchor="_Toc392758754" w:history="1">
        <w:r w:rsidR="00BA1E10" w:rsidRPr="00906A70">
          <w:rPr>
            <w:rStyle w:val="Hyperlink"/>
            <w:rFonts w:cs="Arial"/>
            <w:noProof/>
          </w:rPr>
          <w:t>8</w:t>
        </w:r>
        <w:r w:rsidR="00BA1E10" w:rsidRPr="00BE7AD9">
          <w:rPr>
            <w:rFonts w:ascii="Calibri" w:hAnsi="Calibri"/>
            <w:b w:val="0"/>
            <w:noProof/>
            <w:sz w:val="22"/>
            <w:szCs w:val="22"/>
            <w:lang w:val="nl-NL" w:eastAsia="nl-NL"/>
          </w:rPr>
          <w:tab/>
        </w:r>
        <w:r w:rsidR="00BA1E10" w:rsidRPr="00906A70">
          <w:rPr>
            <w:rStyle w:val="Hyperlink"/>
            <w:rFonts w:cs="Arial"/>
            <w:noProof/>
          </w:rPr>
          <w:t>IMPLEMENTATION ISSUES</w:t>
        </w:r>
        <w:r w:rsidR="00BA1E10">
          <w:rPr>
            <w:noProof/>
            <w:webHidden/>
          </w:rPr>
          <w:tab/>
        </w:r>
        <w:r w:rsidR="00BA1E10">
          <w:rPr>
            <w:noProof/>
            <w:webHidden/>
          </w:rPr>
          <w:fldChar w:fldCharType="begin"/>
        </w:r>
        <w:r w:rsidR="00BA1E10">
          <w:rPr>
            <w:noProof/>
            <w:webHidden/>
          </w:rPr>
          <w:instrText xml:space="preserve"> PAGEREF _Toc392758754 \h </w:instrText>
        </w:r>
        <w:r w:rsidR="00BA1E10">
          <w:rPr>
            <w:noProof/>
            <w:webHidden/>
          </w:rPr>
        </w:r>
        <w:r w:rsidR="00BA1E10">
          <w:rPr>
            <w:noProof/>
            <w:webHidden/>
          </w:rPr>
          <w:fldChar w:fldCharType="separate"/>
        </w:r>
        <w:r w:rsidR="00DA0744">
          <w:rPr>
            <w:noProof/>
            <w:webHidden/>
          </w:rPr>
          <w:t>152</w:t>
        </w:r>
        <w:r w:rsidR="00BA1E10">
          <w:rPr>
            <w:noProof/>
            <w:webHidden/>
          </w:rPr>
          <w:fldChar w:fldCharType="end"/>
        </w:r>
      </w:hyperlink>
    </w:p>
    <w:p w14:paraId="5DDB1192" w14:textId="77777777" w:rsidR="00BA1E10" w:rsidRPr="00BE7AD9" w:rsidRDefault="000D069B">
      <w:pPr>
        <w:pStyle w:val="TOC2"/>
        <w:rPr>
          <w:rFonts w:ascii="Calibri" w:hAnsi="Calibri"/>
          <w:noProof/>
          <w:sz w:val="22"/>
          <w:szCs w:val="22"/>
          <w:lang w:val="nl-NL" w:eastAsia="nl-NL"/>
        </w:rPr>
      </w:pPr>
      <w:hyperlink w:anchor="_Toc392758755" w:history="1">
        <w:r w:rsidR="00BA1E10" w:rsidRPr="00906A70">
          <w:rPr>
            <w:rStyle w:val="Hyperlink"/>
            <w:rFonts w:cs="Arial"/>
            <w:noProof/>
          </w:rPr>
          <w:t>8.1</w:t>
        </w:r>
        <w:r w:rsidR="00BA1E10" w:rsidRPr="00BE7AD9">
          <w:rPr>
            <w:rFonts w:ascii="Calibri" w:hAnsi="Calibri"/>
            <w:noProof/>
            <w:sz w:val="22"/>
            <w:szCs w:val="22"/>
            <w:lang w:val="nl-NL" w:eastAsia="nl-NL"/>
          </w:rPr>
          <w:tab/>
        </w:r>
        <w:r w:rsidR="00BA1E10" w:rsidRPr="00906A70">
          <w:rPr>
            <w:rStyle w:val="Hyperlink"/>
            <w:rFonts w:cs="Arial"/>
            <w:noProof/>
          </w:rPr>
          <w:t>Dissemination of information, dialogue with NGOs and between social partners</w:t>
        </w:r>
        <w:r w:rsidR="00BA1E10">
          <w:rPr>
            <w:noProof/>
            <w:webHidden/>
          </w:rPr>
          <w:tab/>
        </w:r>
        <w:r w:rsidR="00BA1E10">
          <w:rPr>
            <w:noProof/>
            <w:webHidden/>
          </w:rPr>
          <w:fldChar w:fldCharType="begin"/>
        </w:r>
        <w:r w:rsidR="00BA1E10">
          <w:rPr>
            <w:noProof/>
            <w:webHidden/>
          </w:rPr>
          <w:instrText xml:space="preserve"> PAGEREF _Toc392758755 \h </w:instrText>
        </w:r>
        <w:r w:rsidR="00BA1E10">
          <w:rPr>
            <w:noProof/>
            <w:webHidden/>
          </w:rPr>
        </w:r>
        <w:r w:rsidR="00BA1E10">
          <w:rPr>
            <w:noProof/>
            <w:webHidden/>
          </w:rPr>
          <w:fldChar w:fldCharType="separate"/>
        </w:r>
        <w:r w:rsidR="00DA0744">
          <w:rPr>
            <w:noProof/>
            <w:webHidden/>
          </w:rPr>
          <w:t>152</w:t>
        </w:r>
        <w:r w:rsidR="00BA1E10">
          <w:rPr>
            <w:noProof/>
            <w:webHidden/>
          </w:rPr>
          <w:fldChar w:fldCharType="end"/>
        </w:r>
      </w:hyperlink>
    </w:p>
    <w:p w14:paraId="383DF152" w14:textId="77777777" w:rsidR="00BA1E10" w:rsidRPr="00BE7AD9" w:rsidRDefault="000D069B">
      <w:pPr>
        <w:pStyle w:val="TOC2"/>
        <w:rPr>
          <w:rFonts w:ascii="Calibri" w:hAnsi="Calibri"/>
          <w:noProof/>
          <w:sz w:val="22"/>
          <w:szCs w:val="22"/>
          <w:lang w:val="nl-NL" w:eastAsia="nl-NL"/>
        </w:rPr>
      </w:pPr>
      <w:hyperlink w:anchor="_Toc392758756" w:history="1">
        <w:r w:rsidR="00BA1E10" w:rsidRPr="00906A70">
          <w:rPr>
            <w:rStyle w:val="Hyperlink"/>
            <w:rFonts w:cs="Arial"/>
            <w:noProof/>
          </w:rPr>
          <w:t>8.2</w:t>
        </w:r>
        <w:r w:rsidR="00BA1E10" w:rsidRPr="00BE7AD9">
          <w:rPr>
            <w:rFonts w:ascii="Calibri" w:hAnsi="Calibri"/>
            <w:noProof/>
            <w:sz w:val="22"/>
            <w:szCs w:val="22"/>
            <w:lang w:val="nl-NL" w:eastAsia="nl-NL"/>
          </w:rPr>
          <w:tab/>
        </w:r>
        <w:r w:rsidR="00BA1E10" w:rsidRPr="00906A70">
          <w:rPr>
            <w:rStyle w:val="Hyperlink"/>
            <w:rFonts w:cs="Arial"/>
            <w:noProof/>
          </w:rPr>
          <w:t>Compliance (Article 14 Directive 2000/43, Article 16 Directive 2000/78)</w:t>
        </w:r>
        <w:r w:rsidR="00BA1E10">
          <w:rPr>
            <w:noProof/>
            <w:webHidden/>
          </w:rPr>
          <w:tab/>
        </w:r>
        <w:r w:rsidR="00BA1E10">
          <w:rPr>
            <w:noProof/>
            <w:webHidden/>
          </w:rPr>
          <w:fldChar w:fldCharType="begin"/>
        </w:r>
        <w:r w:rsidR="00BA1E10">
          <w:rPr>
            <w:noProof/>
            <w:webHidden/>
          </w:rPr>
          <w:instrText xml:space="preserve"> PAGEREF _Toc392758756 \h </w:instrText>
        </w:r>
        <w:r w:rsidR="00BA1E10">
          <w:rPr>
            <w:noProof/>
            <w:webHidden/>
          </w:rPr>
        </w:r>
        <w:r w:rsidR="00BA1E10">
          <w:rPr>
            <w:noProof/>
            <w:webHidden/>
          </w:rPr>
          <w:fldChar w:fldCharType="separate"/>
        </w:r>
        <w:r w:rsidR="00DA0744">
          <w:rPr>
            <w:noProof/>
            <w:webHidden/>
          </w:rPr>
          <w:t>155</w:t>
        </w:r>
        <w:r w:rsidR="00BA1E10">
          <w:rPr>
            <w:noProof/>
            <w:webHidden/>
          </w:rPr>
          <w:fldChar w:fldCharType="end"/>
        </w:r>
      </w:hyperlink>
    </w:p>
    <w:p w14:paraId="3B5FA41E" w14:textId="77777777" w:rsidR="00BA1E10" w:rsidRPr="00BE7AD9" w:rsidRDefault="000D069B">
      <w:pPr>
        <w:pStyle w:val="TOC1"/>
        <w:rPr>
          <w:rFonts w:ascii="Calibri" w:hAnsi="Calibri"/>
          <w:b w:val="0"/>
          <w:noProof/>
          <w:sz w:val="22"/>
          <w:szCs w:val="22"/>
          <w:lang w:val="nl-NL" w:eastAsia="nl-NL"/>
        </w:rPr>
      </w:pPr>
      <w:hyperlink w:anchor="_Toc392758757" w:history="1">
        <w:r w:rsidR="00BA1E10" w:rsidRPr="00906A70">
          <w:rPr>
            <w:rStyle w:val="Hyperlink"/>
            <w:rFonts w:cs="Arial"/>
            <w:noProof/>
          </w:rPr>
          <w:t>9</w:t>
        </w:r>
        <w:r w:rsidR="00BA1E10" w:rsidRPr="00BE7AD9">
          <w:rPr>
            <w:rFonts w:ascii="Calibri" w:hAnsi="Calibri"/>
            <w:b w:val="0"/>
            <w:noProof/>
            <w:sz w:val="22"/>
            <w:szCs w:val="22"/>
            <w:lang w:val="nl-NL" w:eastAsia="nl-NL"/>
          </w:rPr>
          <w:tab/>
        </w:r>
        <w:r w:rsidR="00BA1E10" w:rsidRPr="00906A70">
          <w:rPr>
            <w:rStyle w:val="Hyperlink"/>
            <w:rFonts w:cs="Arial"/>
            <w:noProof/>
          </w:rPr>
          <w:t>CO-ORDINATION AT NATIONAL LEVEL</w:t>
        </w:r>
        <w:r w:rsidR="00BA1E10">
          <w:rPr>
            <w:noProof/>
            <w:webHidden/>
          </w:rPr>
          <w:tab/>
        </w:r>
        <w:r w:rsidR="00BA1E10">
          <w:rPr>
            <w:noProof/>
            <w:webHidden/>
          </w:rPr>
          <w:fldChar w:fldCharType="begin"/>
        </w:r>
        <w:r w:rsidR="00BA1E10">
          <w:rPr>
            <w:noProof/>
            <w:webHidden/>
          </w:rPr>
          <w:instrText xml:space="preserve"> PAGEREF _Toc392758757 \h </w:instrText>
        </w:r>
        <w:r w:rsidR="00BA1E10">
          <w:rPr>
            <w:noProof/>
            <w:webHidden/>
          </w:rPr>
        </w:r>
        <w:r w:rsidR="00BA1E10">
          <w:rPr>
            <w:noProof/>
            <w:webHidden/>
          </w:rPr>
          <w:fldChar w:fldCharType="separate"/>
        </w:r>
        <w:r w:rsidR="00DA0744">
          <w:rPr>
            <w:noProof/>
            <w:webHidden/>
          </w:rPr>
          <w:t>157</w:t>
        </w:r>
        <w:r w:rsidR="00BA1E10">
          <w:rPr>
            <w:noProof/>
            <w:webHidden/>
          </w:rPr>
          <w:fldChar w:fldCharType="end"/>
        </w:r>
      </w:hyperlink>
    </w:p>
    <w:p w14:paraId="5F27D7C2" w14:textId="77777777" w:rsidR="00BA1E10" w:rsidRPr="00BE7AD9" w:rsidRDefault="000D069B">
      <w:pPr>
        <w:pStyle w:val="TOC1"/>
        <w:rPr>
          <w:rFonts w:ascii="Calibri" w:hAnsi="Calibri"/>
          <w:b w:val="0"/>
          <w:noProof/>
          <w:sz w:val="22"/>
          <w:szCs w:val="22"/>
          <w:lang w:val="nl-NL" w:eastAsia="nl-NL"/>
        </w:rPr>
      </w:pPr>
      <w:hyperlink w:anchor="_Toc392758758" w:history="1">
        <w:r w:rsidR="00BA1E10" w:rsidRPr="00906A70">
          <w:rPr>
            <w:rStyle w:val="Hyperlink"/>
            <w:rFonts w:cs="Arial"/>
            <w:noProof/>
          </w:rPr>
          <w:t>ANNEX</w:t>
        </w:r>
        <w:r w:rsidR="00BA1E10">
          <w:rPr>
            <w:noProof/>
            <w:webHidden/>
          </w:rPr>
          <w:tab/>
        </w:r>
        <w:r w:rsidR="00BA1E10">
          <w:rPr>
            <w:noProof/>
            <w:webHidden/>
          </w:rPr>
          <w:fldChar w:fldCharType="begin"/>
        </w:r>
        <w:r w:rsidR="00BA1E10">
          <w:rPr>
            <w:noProof/>
            <w:webHidden/>
          </w:rPr>
          <w:instrText xml:space="preserve"> PAGEREF _Toc392758758 \h </w:instrText>
        </w:r>
        <w:r w:rsidR="00BA1E10">
          <w:rPr>
            <w:noProof/>
            <w:webHidden/>
          </w:rPr>
        </w:r>
        <w:r w:rsidR="00BA1E10">
          <w:rPr>
            <w:noProof/>
            <w:webHidden/>
          </w:rPr>
          <w:fldChar w:fldCharType="separate"/>
        </w:r>
        <w:r w:rsidR="00DA0744">
          <w:rPr>
            <w:noProof/>
            <w:webHidden/>
          </w:rPr>
          <w:t>158</w:t>
        </w:r>
        <w:r w:rsidR="00BA1E10">
          <w:rPr>
            <w:noProof/>
            <w:webHidden/>
          </w:rPr>
          <w:fldChar w:fldCharType="end"/>
        </w:r>
      </w:hyperlink>
    </w:p>
    <w:p w14:paraId="168D048C" w14:textId="77777777" w:rsidR="00BA1E10" w:rsidRPr="00BE7AD9" w:rsidRDefault="000D069B">
      <w:pPr>
        <w:pStyle w:val="TOC1"/>
        <w:rPr>
          <w:rFonts w:ascii="Calibri" w:hAnsi="Calibri"/>
          <w:b w:val="0"/>
          <w:noProof/>
          <w:sz w:val="22"/>
          <w:szCs w:val="22"/>
          <w:lang w:val="nl-NL" w:eastAsia="nl-NL"/>
        </w:rPr>
      </w:pPr>
      <w:hyperlink w:anchor="_Toc392758759" w:history="1">
        <w:r w:rsidR="00BA1E10" w:rsidRPr="00906A70">
          <w:rPr>
            <w:rStyle w:val="Hyperlink"/>
            <w:rFonts w:cs="Arial"/>
            <w:noProof/>
          </w:rPr>
          <w:t>ANNEX 1: TABLE OF KEY NATIONAL ANTI-DISCRIMINATION LEGISLATION</w:t>
        </w:r>
        <w:r w:rsidR="00BA1E10">
          <w:rPr>
            <w:noProof/>
            <w:webHidden/>
          </w:rPr>
          <w:tab/>
        </w:r>
        <w:r w:rsidR="00BA1E10">
          <w:rPr>
            <w:noProof/>
            <w:webHidden/>
          </w:rPr>
          <w:fldChar w:fldCharType="begin"/>
        </w:r>
        <w:r w:rsidR="00BA1E10">
          <w:rPr>
            <w:noProof/>
            <w:webHidden/>
          </w:rPr>
          <w:instrText xml:space="preserve"> PAGEREF _Toc392758759 \h </w:instrText>
        </w:r>
        <w:r w:rsidR="00BA1E10">
          <w:rPr>
            <w:noProof/>
            <w:webHidden/>
          </w:rPr>
        </w:r>
        <w:r w:rsidR="00BA1E10">
          <w:rPr>
            <w:noProof/>
            <w:webHidden/>
          </w:rPr>
          <w:fldChar w:fldCharType="separate"/>
        </w:r>
        <w:r w:rsidR="00DA0744">
          <w:rPr>
            <w:noProof/>
            <w:webHidden/>
          </w:rPr>
          <w:t>159</w:t>
        </w:r>
        <w:r w:rsidR="00BA1E10">
          <w:rPr>
            <w:noProof/>
            <w:webHidden/>
          </w:rPr>
          <w:fldChar w:fldCharType="end"/>
        </w:r>
      </w:hyperlink>
    </w:p>
    <w:p w14:paraId="3AF424E2" w14:textId="77777777" w:rsidR="00BA1E10" w:rsidRPr="00BE7AD9" w:rsidRDefault="000D069B">
      <w:pPr>
        <w:pStyle w:val="TOC1"/>
        <w:rPr>
          <w:rFonts w:ascii="Calibri" w:hAnsi="Calibri"/>
          <w:b w:val="0"/>
          <w:noProof/>
          <w:sz w:val="22"/>
          <w:szCs w:val="22"/>
          <w:lang w:val="nl-NL" w:eastAsia="nl-NL"/>
        </w:rPr>
      </w:pPr>
      <w:hyperlink w:anchor="_Toc392758760" w:history="1">
        <w:r w:rsidR="00BA1E10" w:rsidRPr="00906A70">
          <w:rPr>
            <w:rStyle w:val="Hyperlink"/>
            <w:rFonts w:cs="Arial"/>
            <w:noProof/>
          </w:rPr>
          <w:t>ANNEX 2: TABLE OF INTERNATIONAL INSTRUMENTS</w:t>
        </w:r>
        <w:r w:rsidR="00BA1E10">
          <w:rPr>
            <w:noProof/>
            <w:webHidden/>
          </w:rPr>
          <w:tab/>
        </w:r>
        <w:r w:rsidR="00BA1E10">
          <w:rPr>
            <w:noProof/>
            <w:webHidden/>
          </w:rPr>
          <w:fldChar w:fldCharType="begin"/>
        </w:r>
        <w:r w:rsidR="00BA1E10">
          <w:rPr>
            <w:noProof/>
            <w:webHidden/>
          </w:rPr>
          <w:instrText xml:space="preserve"> PAGEREF _Toc392758760 \h </w:instrText>
        </w:r>
        <w:r w:rsidR="00BA1E10">
          <w:rPr>
            <w:noProof/>
            <w:webHidden/>
          </w:rPr>
        </w:r>
        <w:r w:rsidR="00BA1E10">
          <w:rPr>
            <w:noProof/>
            <w:webHidden/>
          </w:rPr>
          <w:fldChar w:fldCharType="separate"/>
        </w:r>
        <w:r w:rsidR="00DA0744">
          <w:rPr>
            <w:noProof/>
            <w:webHidden/>
          </w:rPr>
          <w:t>165</w:t>
        </w:r>
        <w:r w:rsidR="00BA1E10">
          <w:rPr>
            <w:noProof/>
            <w:webHidden/>
          </w:rPr>
          <w:fldChar w:fldCharType="end"/>
        </w:r>
      </w:hyperlink>
    </w:p>
    <w:p w14:paraId="4337CA84" w14:textId="77777777" w:rsidR="00BA1E10" w:rsidRPr="00BE7AD9" w:rsidRDefault="000D069B">
      <w:pPr>
        <w:pStyle w:val="TOC1"/>
        <w:rPr>
          <w:rFonts w:ascii="Calibri" w:hAnsi="Calibri"/>
          <w:b w:val="0"/>
          <w:noProof/>
          <w:sz w:val="22"/>
          <w:szCs w:val="22"/>
          <w:lang w:val="nl-NL" w:eastAsia="nl-NL"/>
        </w:rPr>
      </w:pPr>
      <w:hyperlink w:anchor="_Toc392758761" w:history="1">
        <w:r w:rsidR="00BA1E10" w:rsidRPr="00906A70">
          <w:rPr>
            <w:rStyle w:val="Hyperlink"/>
            <w:rFonts w:cs="Arial"/>
            <w:noProof/>
          </w:rPr>
          <w:t>ANNEX 3: PREVIOUS CASE-LAW</w:t>
        </w:r>
        <w:r w:rsidR="00BA1E10">
          <w:rPr>
            <w:noProof/>
            <w:webHidden/>
          </w:rPr>
          <w:tab/>
        </w:r>
        <w:r w:rsidR="00BA1E10">
          <w:rPr>
            <w:noProof/>
            <w:webHidden/>
          </w:rPr>
          <w:fldChar w:fldCharType="begin"/>
        </w:r>
        <w:r w:rsidR="00BA1E10">
          <w:rPr>
            <w:noProof/>
            <w:webHidden/>
          </w:rPr>
          <w:instrText xml:space="preserve"> PAGEREF _Toc392758761 \h </w:instrText>
        </w:r>
        <w:r w:rsidR="00BA1E10">
          <w:rPr>
            <w:noProof/>
            <w:webHidden/>
          </w:rPr>
        </w:r>
        <w:r w:rsidR="00BA1E10">
          <w:rPr>
            <w:noProof/>
            <w:webHidden/>
          </w:rPr>
          <w:fldChar w:fldCharType="separate"/>
        </w:r>
        <w:r w:rsidR="00DA0744">
          <w:rPr>
            <w:noProof/>
            <w:webHidden/>
          </w:rPr>
          <w:t>168</w:t>
        </w:r>
        <w:r w:rsidR="00BA1E10">
          <w:rPr>
            <w:noProof/>
            <w:webHidden/>
          </w:rPr>
          <w:fldChar w:fldCharType="end"/>
        </w:r>
      </w:hyperlink>
    </w:p>
    <w:p w14:paraId="4E6110AE" w14:textId="77777777" w:rsidR="00E350D8" w:rsidRPr="00E34CF1" w:rsidRDefault="00E350D8" w:rsidP="00BB4E9F">
      <w:pPr>
        <w:pStyle w:val="Heading1"/>
        <w:numPr>
          <w:ilvl w:val="0"/>
          <w:numId w:val="0"/>
        </w:numPr>
        <w:ind w:left="432" w:hanging="432"/>
        <w:rPr>
          <w:b w:val="0"/>
        </w:rPr>
      </w:pPr>
      <w:r w:rsidRPr="00BB4E9F">
        <w:rPr>
          <w:b w:val="0"/>
          <w:lang w:val="en-GB"/>
        </w:rPr>
        <w:fldChar w:fldCharType="end"/>
      </w:r>
    </w:p>
    <w:p w14:paraId="7CC9BE2C" w14:textId="77777777" w:rsidR="002B5BCD" w:rsidRPr="00CD59CC" w:rsidRDefault="00E350D8" w:rsidP="00791157">
      <w:pPr>
        <w:pStyle w:val="Heading1"/>
        <w:numPr>
          <w:ilvl w:val="0"/>
          <w:numId w:val="0"/>
        </w:numPr>
        <w:ind w:left="432" w:hanging="432"/>
      </w:pPr>
      <w:bookmarkStart w:id="2" w:name="_Toc329163590"/>
      <w:r w:rsidRPr="00BB4E9F">
        <w:rPr>
          <w:b w:val="0"/>
          <w:lang w:val="en-GB"/>
        </w:rPr>
        <w:br w:type="page"/>
      </w:r>
      <w:bookmarkStart w:id="3" w:name="_Toc392758698"/>
      <w:bookmarkStart w:id="4" w:name="_Toc366846307"/>
      <w:r w:rsidR="002B5BCD" w:rsidRPr="00CD59CC">
        <w:lastRenderedPageBreak/>
        <w:t>INTRODUCTION</w:t>
      </w:r>
      <w:bookmarkEnd w:id="1"/>
      <w:bookmarkEnd w:id="2"/>
      <w:bookmarkEnd w:id="3"/>
      <w:bookmarkEnd w:id="4"/>
    </w:p>
    <w:p w14:paraId="62918B74" w14:textId="77777777" w:rsidR="002B5BCD" w:rsidRPr="00CD59CC" w:rsidRDefault="002B5BCD" w:rsidP="00CD59CC">
      <w:pPr>
        <w:rPr>
          <w:rFonts w:ascii="Arial" w:hAnsi="Arial" w:cs="Arial"/>
        </w:rPr>
      </w:pPr>
    </w:p>
    <w:p w14:paraId="049FC985" w14:textId="55146744" w:rsidR="002B5BCD" w:rsidRPr="00CD59CC" w:rsidRDefault="002B5BCD" w:rsidP="00CD59CC">
      <w:pPr>
        <w:pStyle w:val="Heading2"/>
        <w:rPr>
          <w:rFonts w:cs="Arial"/>
        </w:rPr>
      </w:pPr>
      <w:bookmarkStart w:id="5" w:name="_Toc220221129"/>
      <w:bookmarkStart w:id="6" w:name="_Toc392758699"/>
      <w:bookmarkStart w:id="7" w:name="_Toc329163591"/>
      <w:bookmarkStart w:id="8" w:name="_Toc366846308"/>
      <w:r w:rsidRPr="00CD59CC">
        <w:rPr>
          <w:rFonts w:cs="Arial"/>
        </w:rPr>
        <w:t>The national legal system</w:t>
      </w:r>
      <w:bookmarkEnd w:id="5"/>
      <w:bookmarkEnd w:id="6"/>
      <w:bookmarkEnd w:id="7"/>
      <w:bookmarkEnd w:id="8"/>
    </w:p>
    <w:p w14:paraId="0102A7C5" w14:textId="77777777" w:rsidR="002B5BCD" w:rsidRPr="00CD59CC" w:rsidRDefault="002B5BCD" w:rsidP="00CD59CC">
      <w:pPr>
        <w:rPr>
          <w:rFonts w:ascii="Arial" w:hAnsi="Arial" w:cs="Arial"/>
        </w:rPr>
      </w:pPr>
    </w:p>
    <w:p w14:paraId="5DEAE9BC" w14:textId="77777777" w:rsidR="002B5BCD" w:rsidRPr="00CD59CC" w:rsidRDefault="002B5BCD" w:rsidP="00CD59CC">
      <w:pPr>
        <w:rPr>
          <w:rFonts w:ascii="Arial" w:hAnsi="Arial" w:cs="Arial"/>
          <w:i/>
        </w:rPr>
      </w:pPr>
      <w:r w:rsidRPr="00CD59CC">
        <w:rPr>
          <w:rFonts w:ascii="Arial" w:hAnsi="Arial" w:cs="Arial"/>
          <w:i/>
        </w:rPr>
        <w:t xml:space="preserve">Explain briefly the key aspects of the national legal system that are </w:t>
      </w:r>
      <w:r w:rsidRPr="00CD59CC">
        <w:rPr>
          <w:rFonts w:ascii="Arial" w:hAnsi="Arial" w:cs="Arial"/>
          <w:i/>
          <w:u w:val="single"/>
        </w:rPr>
        <w:t>essential</w:t>
      </w:r>
      <w:r w:rsidRPr="00CD59CC">
        <w:rPr>
          <w:rFonts w:ascii="Arial" w:hAnsi="Arial" w:cs="Arial"/>
          <w:i/>
        </w:rPr>
        <w:t xml:space="preserve"> to understanding the legal framework on discrimination. For example, in federal systems, it would be necessary to outline how legal competence for anti-discrimination law is distributed among different levels of government.</w:t>
      </w:r>
    </w:p>
    <w:p w14:paraId="1815C1D8" w14:textId="77777777" w:rsidR="002B5BCD" w:rsidRPr="00CD59CC" w:rsidRDefault="002B5BCD" w:rsidP="00CD59CC">
      <w:pPr>
        <w:rPr>
          <w:rFonts w:ascii="Arial" w:hAnsi="Arial" w:cs="Arial"/>
        </w:rPr>
      </w:pPr>
    </w:p>
    <w:p w14:paraId="15BA33AB" w14:textId="77777777" w:rsidR="00F65FD9" w:rsidRPr="00CD59CC" w:rsidRDefault="00F65FD9" w:rsidP="00CD59CC">
      <w:pPr>
        <w:tabs>
          <w:tab w:val="left" w:pos="567"/>
        </w:tabs>
        <w:rPr>
          <w:rFonts w:ascii="Arial" w:hAnsi="Arial" w:cs="Arial"/>
          <w:iCs/>
        </w:rPr>
      </w:pPr>
      <w:r w:rsidRPr="00CD59CC">
        <w:rPr>
          <w:rFonts w:ascii="Arial" w:hAnsi="Arial" w:cs="Arial"/>
          <w:iCs/>
        </w:rPr>
        <w:t>The Hungarian legal system is a continental legal system following primarily German legal traditions. It is governed by a strict statutory hierarchy, in which lower level statutes shall not be in contradiction with higher ranking statutes.</w:t>
      </w:r>
    </w:p>
    <w:p w14:paraId="235CE371" w14:textId="77777777" w:rsidR="00F65FD9" w:rsidRPr="00CD59CC" w:rsidRDefault="00F65FD9" w:rsidP="00CD59CC">
      <w:pPr>
        <w:tabs>
          <w:tab w:val="left" w:pos="567"/>
        </w:tabs>
        <w:rPr>
          <w:rFonts w:ascii="Arial" w:hAnsi="Arial" w:cs="Arial"/>
          <w:iCs/>
        </w:rPr>
      </w:pPr>
    </w:p>
    <w:p w14:paraId="3D8E21FE" w14:textId="77777777" w:rsidR="00F65FD9" w:rsidRPr="00CD59CC" w:rsidRDefault="00F65FD9" w:rsidP="00CD59CC">
      <w:pPr>
        <w:tabs>
          <w:tab w:val="left" w:pos="567"/>
        </w:tabs>
        <w:rPr>
          <w:rFonts w:ascii="Arial" w:hAnsi="Arial" w:cs="Arial"/>
          <w:iCs/>
        </w:rPr>
      </w:pPr>
      <w:r w:rsidRPr="00CD59CC">
        <w:rPr>
          <w:rFonts w:ascii="Arial" w:hAnsi="Arial" w:cs="Arial"/>
          <w:iCs/>
        </w:rPr>
        <w:t>The most important principles are laid down by the Fundamental Law, the constitutional rules are expounded by laws, while detailed regulation is provided by government and ministerial decrees. The coherence of the system is guarded by the Constitutional Court (CC), which may annul any statute that is in contradiction with the Fundamental Law (with the exception of legislation relating to certain issues, such as the state budget).</w:t>
      </w:r>
    </w:p>
    <w:p w14:paraId="10BAF31B" w14:textId="77777777" w:rsidR="00F65FD9" w:rsidRPr="00CD59CC" w:rsidRDefault="00F65FD9" w:rsidP="00CD59CC">
      <w:pPr>
        <w:tabs>
          <w:tab w:val="left" w:pos="567"/>
        </w:tabs>
        <w:rPr>
          <w:rFonts w:ascii="Arial" w:hAnsi="Arial" w:cs="Arial"/>
          <w:iCs/>
        </w:rPr>
      </w:pPr>
    </w:p>
    <w:p w14:paraId="6F0D0083" w14:textId="77777777" w:rsidR="00F65FD9" w:rsidRPr="00CD59CC" w:rsidRDefault="00F65FD9" w:rsidP="00CD59CC">
      <w:pPr>
        <w:tabs>
          <w:tab w:val="left" w:pos="567"/>
        </w:tabs>
        <w:rPr>
          <w:rFonts w:ascii="Arial" w:hAnsi="Arial" w:cs="Arial"/>
          <w:iCs/>
        </w:rPr>
      </w:pPr>
      <w:r w:rsidRPr="00CD59CC">
        <w:rPr>
          <w:rFonts w:ascii="Arial" w:hAnsi="Arial" w:cs="Arial"/>
          <w:iCs/>
        </w:rPr>
        <w:t xml:space="preserve">The system is structured into legal fields (criminal law, civil law, labour law, administrative law and so on) with most fields having their own procedural codes. </w:t>
      </w:r>
    </w:p>
    <w:p w14:paraId="60D99A26" w14:textId="77777777" w:rsidR="00F65FD9" w:rsidRPr="00CD59CC" w:rsidRDefault="00F65FD9" w:rsidP="00CD59CC">
      <w:pPr>
        <w:tabs>
          <w:tab w:val="left" w:pos="567"/>
        </w:tabs>
        <w:rPr>
          <w:rFonts w:ascii="Arial" w:hAnsi="Arial" w:cs="Arial"/>
          <w:iCs/>
        </w:rPr>
      </w:pPr>
    </w:p>
    <w:p w14:paraId="16FB87B0" w14:textId="77777777" w:rsidR="00F65FD9" w:rsidRPr="00CD59CC" w:rsidRDefault="00F65FD9" w:rsidP="00CD59CC">
      <w:pPr>
        <w:rPr>
          <w:rFonts w:ascii="Arial" w:hAnsi="Arial" w:cs="Arial"/>
        </w:rPr>
      </w:pPr>
      <w:r w:rsidRPr="00CD59CC">
        <w:rPr>
          <w:rFonts w:ascii="Arial" w:hAnsi="Arial" w:cs="Arial"/>
        </w:rPr>
        <w:t>The judicial system has two levels (first instance and appeal level), however extraordinary remedies (such as review by the Curia, Hungary’s supreme court) are also available. (In criminal proceedings, in certain cases an ordinary third instance appeal is also available). The judicial review of administrative decisions is possible.</w:t>
      </w:r>
    </w:p>
    <w:p w14:paraId="4A912349" w14:textId="77777777" w:rsidR="00F65FD9" w:rsidRPr="00CD59CC" w:rsidRDefault="00F65FD9" w:rsidP="00CD59CC">
      <w:pPr>
        <w:rPr>
          <w:rFonts w:ascii="Arial" w:hAnsi="Arial" w:cs="Arial"/>
        </w:rPr>
      </w:pPr>
    </w:p>
    <w:p w14:paraId="3D0371C6" w14:textId="77777777" w:rsidR="00F65FD9" w:rsidRPr="00CD59CC" w:rsidRDefault="00F65FD9" w:rsidP="00CD59CC">
      <w:pPr>
        <w:rPr>
          <w:rFonts w:ascii="Arial" w:hAnsi="Arial" w:cs="Arial"/>
        </w:rPr>
      </w:pPr>
      <w:r w:rsidRPr="00CD59CC">
        <w:rPr>
          <w:rFonts w:ascii="Arial" w:hAnsi="Arial" w:cs="Arial"/>
        </w:rPr>
        <w:t>While international human rights treaties are integrated into the domestic legal system through their promulgation in the form of Acts of Parliament, courts as a rule refuse to apply them directly. They are at times applied as points of reference if concurring interpretation of domestic law is possible.</w:t>
      </w:r>
    </w:p>
    <w:p w14:paraId="483092FE" w14:textId="77777777" w:rsidR="00F65FD9" w:rsidRPr="00CD59CC" w:rsidRDefault="00F65FD9" w:rsidP="00CD59CC">
      <w:pPr>
        <w:rPr>
          <w:rFonts w:ascii="Arial" w:hAnsi="Arial" w:cs="Arial"/>
        </w:rPr>
      </w:pPr>
    </w:p>
    <w:p w14:paraId="0A8400DB" w14:textId="0ACA776B" w:rsidR="002B5BCD" w:rsidRPr="00CD59CC" w:rsidRDefault="002B5BCD" w:rsidP="00CD59CC">
      <w:pPr>
        <w:pStyle w:val="Heading2"/>
        <w:rPr>
          <w:rFonts w:cs="Arial"/>
        </w:rPr>
      </w:pPr>
      <w:bookmarkStart w:id="9" w:name="_Toc220221130"/>
      <w:bookmarkStart w:id="10" w:name="_Toc392758700"/>
      <w:bookmarkStart w:id="11" w:name="_Toc329163592"/>
      <w:bookmarkStart w:id="12" w:name="_Toc366846309"/>
      <w:r w:rsidRPr="00CD59CC">
        <w:rPr>
          <w:rFonts w:cs="Arial"/>
        </w:rPr>
        <w:t>Overview/State of implementation</w:t>
      </w:r>
      <w:bookmarkEnd w:id="9"/>
      <w:bookmarkEnd w:id="10"/>
      <w:bookmarkEnd w:id="11"/>
      <w:bookmarkEnd w:id="12"/>
    </w:p>
    <w:p w14:paraId="0521783A" w14:textId="77777777" w:rsidR="002B5BCD" w:rsidRPr="00CD59CC" w:rsidRDefault="002B5BCD" w:rsidP="00CD59CC">
      <w:pPr>
        <w:rPr>
          <w:rFonts w:ascii="Arial" w:hAnsi="Arial" w:cs="Arial"/>
        </w:rPr>
      </w:pPr>
    </w:p>
    <w:p w14:paraId="700DF20E" w14:textId="145403F0" w:rsidR="002B5BCD" w:rsidRPr="00CD59CC" w:rsidRDefault="002B5BCD" w:rsidP="00CD59CC">
      <w:pPr>
        <w:rPr>
          <w:rFonts w:ascii="Arial" w:hAnsi="Arial" w:cs="Arial"/>
          <w:i/>
        </w:rPr>
      </w:pPr>
      <w:r w:rsidRPr="00CD59CC">
        <w:rPr>
          <w:rFonts w:ascii="Arial" w:hAnsi="Arial" w:cs="Arial"/>
          <w:i/>
        </w:rPr>
        <w:t>List below the points where national law is in breach of the Directives</w:t>
      </w:r>
      <w:r w:rsidR="00E666A1" w:rsidRPr="00CD59CC">
        <w:rPr>
          <w:rFonts w:ascii="Arial" w:hAnsi="Arial" w:cs="Arial"/>
          <w:i/>
        </w:rPr>
        <w:t xml:space="preserve"> or whether there are gaps in the transposition/implementation process, including issues where uncertainty remains and/or judicial interpretation is required</w:t>
      </w:r>
      <w:r w:rsidRPr="00CD59CC">
        <w:rPr>
          <w:rFonts w:ascii="Arial" w:hAnsi="Arial" w:cs="Arial"/>
          <w:i/>
        </w:rPr>
        <w:t xml:space="preserve">. This paragraph should provide a concise summary, which may take the form of a bullet point list. Further explanation of the reasons supporting your analysis can be provided later in the report. </w:t>
      </w:r>
    </w:p>
    <w:p w14:paraId="620BEAA3" w14:textId="77777777" w:rsidR="002B5BCD" w:rsidRPr="00CD59CC" w:rsidRDefault="002B5BCD" w:rsidP="00CD59CC">
      <w:pPr>
        <w:rPr>
          <w:rFonts w:ascii="Arial" w:hAnsi="Arial" w:cs="Arial"/>
          <w:i/>
        </w:rPr>
      </w:pPr>
    </w:p>
    <w:p w14:paraId="7E354A40" w14:textId="77777777" w:rsidR="002B5BCD" w:rsidRPr="00CD59CC" w:rsidRDefault="002B5BCD" w:rsidP="00CD59CC">
      <w:pPr>
        <w:rPr>
          <w:rFonts w:ascii="Arial" w:hAnsi="Arial" w:cs="Arial"/>
          <w:i/>
        </w:rPr>
      </w:pPr>
      <w:r w:rsidRPr="00CD59CC">
        <w:rPr>
          <w:rFonts w:ascii="Arial" w:hAnsi="Arial" w:cs="Arial"/>
          <w:i/>
        </w:rPr>
        <w:t xml:space="preserve">This section is also an opportunity to raise any important considerations regarding the implementation and enforcement of the Directives that have not been mentioned elsewhere in the report. </w:t>
      </w:r>
    </w:p>
    <w:p w14:paraId="5D6E6DB0" w14:textId="7627CD46" w:rsidR="002B5BCD" w:rsidRPr="00CD59CC" w:rsidRDefault="002B5BCD" w:rsidP="00CD59CC">
      <w:pPr>
        <w:pStyle w:val="BodyText3"/>
        <w:spacing w:after="0"/>
        <w:jc w:val="left"/>
        <w:rPr>
          <w:rFonts w:ascii="Arial" w:hAnsi="Arial" w:cs="Arial"/>
          <w:lang w:val="en-GB" w:eastAsia="en-US"/>
        </w:rPr>
      </w:pPr>
      <w:r w:rsidRPr="00CD59CC">
        <w:rPr>
          <w:rFonts w:ascii="Arial" w:hAnsi="Arial" w:cs="Arial"/>
          <w:lang w:val="en-GB" w:eastAsia="en-US"/>
        </w:rPr>
        <w:lastRenderedPageBreak/>
        <w:t>This could also be used to give an overview o</w:t>
      </w:r>
      <w:r w:rsidR="005F5B15" w:rsidRPr="00CD59CC">
        <w:rPr>
          <w:rFonts w:ascii="Arial" w:hAnsi="Arial" w:cs="Arial"/>
          <w:lang w:val="en-GB" w:eastAsia="en-US"/>
        </w:rPr>
        <w:t>f</w:t>
      </w:r>
      <w:r w:rsidRPr="00CD59CC">
        <w:rPr>
          <w:rFonts w:ascii="Arial" w:hAnsi="Arial" w:cs="Arial"/>
          <w:lang w:val="en-GB" w:eastAsia="en-US"/>
        </w:rPr>
        <w:t xml:space="preserve"> the way (if at all) national law has given rise to complaints or changes, including possibly a reference to the number of complaints, whether instances of indirect discrimination have been found by judges, and if so, for which grounds, etc.</w:t>
      </w:r>
    </w:p>
    <w:p w14:paraId="7072DD44" w14:textId="77777777" w:rsidR="002B5BCD" w:rsidRPr="00CD59CC" w:rsidRDefault="002B5BCD" w:rsidP="00CD59CC">
      <w:pPr>
        <w:rPr>
          <w:rFonts w:ascii="Arial" w:hAnsi="Arial" w:cs="Arial"/>
          <w:i/>
        </w:rPr>
      </w:pPr>
    </w:p>
    <w:p w14:paraId="019F5BDD" w14:textId="77777777" w:rsidR="002B5BCD" w:rsidRPr="00CD59CC" w:rsidRDefault="002B5BCD" w:rsidP="00CD59CC">
      <w:pPr>
        <w:pStyle w:val="BodyText3"/>
        <w:spacing w:after="0"/>
        <w:jc w:val="left"/>
        <w:rPr>
          <w:rFonts w:ascii="Arial" w:hAnsi="Arial" w:cs="Arial"/>
          <w:lang w:val="en-GB" w:eastAsia="en-US"/>
        </w:rPr>
      </w:pPr>
      <w:r w:rsidRPr="00CD59CC">
        <w:rPr>
          <w:rFonts w:ascii="Arial" w:hAnsi="Arial" w:cs="Arial"/>
          <w:lang w:val="en-GB" w:eastAsia="en-US"/>
        </w:rPr>
        <w:t xml:space="preserve">Please bear in mind that this report is focused on issues closely related to the implementation of the Directives. General information on discrimination in the domestic society (such as immigration law issues) are not appropriate for inclusion in this report. </w:t>
      </w:r>
    </w:p>
    <w:p w14:paraId="5993DEF6" w14:textId="77777777" w:rsidR="002B5BCD" w:rsidRPr="00CD59CC" w:rsidRDefault="002B5BCD" w:rsidP="00CD59CC">
      <w:pPr>
        <w:rPr>
          <w:rFonts w:ascii="Arial" w:hAnsi="Arial" w:cs="Arial"/>
          <w:i/>
        </w:rPr>
      </w:pPr>
    </w:p>
    <w:p w14:paraId="18DD6D9F" w14:textId="77777777" w:rsidR="002B5BCD" w:rsidRPr="00CD59CC" w:rsidRDefault="002B5BCD" w:rsidP="00CD59CC">
      <w:pPr>
        <w:rPr>
          <w:rFonts w:ascii="Arial" w:hAnsi="Arial" w:cs="Arial"/>
          <w:i/>
        </w:rPr>
      </w:pPr>
      <w:r w:rsidRPr="00CD59CC">
        <w:rPr>
          <w:rFonts w:ascii="Arial" w:hAnsi="Arial" w:cs="Arial"/>
          <w:i/>
        </w:rPr>
        <w:t>Please ensure that you review the existing text and remove items where national law has changed and is no longer in breach.</w:t>
      </w:r>
    </w:p>
    <w:p w14:paraId="01C31B12" w14:textId="77777777" w:rsidR="002B5BCD" w:rsidRPr="00CD59CC" w:rsidRDefault="002B5BCD" w:rsidP="00CD59CC">
      <w:pPr>
        <w:rPr>
          <w:rFonts w:ascii="Arial" w:hAnsi="Arial" w:cs="Arial"/>
        </w:rPr>
      </w:pPr>
    </w:p>
    <w:p w14:paraId="34F23EC2" w14:textId="77777777" w:rsidR="00345681" w:rsidRPr="00CD59CC" w:rsidRDefault="00345681" w:rsidP="007B4138">
      <w:pPr>
        <w:numPr>
          <w:ilvl w:val="1"/>
          <w:numId w:val="36"/>
        </w:numPr>
        <w:suppressAutoHyphens/>
        <w:rPr>
          <w:rFonts w:ascii="Arial" w:hAnsi="Arial" w:cs="Arial"/>
          <w:iCs/>
        </w:rPr>
      </w:pPr>
      <w:r w:rsidRPr="00CD59CC">
        <w:rPr>
          <w:rFonts w:ascii="Arial" w:hAnsi="Arial" w:cs="Arial"/>
          <w:iCs/>
        </w:rPr>
        <w:t>The corner stone of the regulation is the general anti-discrimination clause, Article XV of the Fundamental Law of Hungary;</w:t>
      </w:r>
    </w:p>
    <w:p w14:paraId="4C5E5B51" w14:textId="77777777" w:rsidR="00345681" w:rsidRPr="00CD59CC" w:rsidRDefault="00345681" w:rsidP="007B4138">
      <w:pPr>
        <w:numPr>
          <w:ilvl w:val="1"/>
          <w:numId w:val="36"/>
        </w:numPr>
        <w:suppressAutoHyphens/>
        <w:rPr>
          <w:rFonts w:ascii="Arial" w:hAnsi="Arial" w:cs="Arial"/>
          <w:iCs/>
        </w:rPr>
      </w:pPr>
      <w:r w:rsidRPr="00CD59CC">
        <w:rPr>
          <w:rFonts w:ascii="Arial" w:hAnsi="Arial" w:cs="Arial"/>
          <w:iCs/>
        </w:rPr>
        <w:t>A comprehensive anti-discrimination code came into force on 27 January 2004. This is Act CXXV of 2003 on Equal Treatment and the Promotion on Equal Opportunities (ETA);</w:t>
      </w:r>
    </w:p>
    <w:p w14:paraId="5AE1FDCD" w14:textId="77777777" w:rsidR="00345681" w:rsidRPr="00CD59CC" w:rsidRDefault="00345681" w:rsidP="007B4138">
      <w:pPr>
        <w:numPr>
          <w:ilvl w:val="1"/>
          <w:numId w:val="36"/>
        </w:numPr>
        <w:suppressAutoHyphens/>
        <w:rPr>
          <w:rFonts w:ascii="Arial" w:hAnsi="Arial" w:cs="Arial"/>
          <w:iCs/>
        </w:rPr>
      </w:pPr>
      <w:r w:rsidRPr="00CD59CC">
        <w:rPr>
          <w:rFonts w:ascii="Arial" w:hAnsi="Arial" w:cs="Arial"/>
          <w:iCs/>
        </w:rPr>
        <w:t>The provisions of Act IV of 1959 on the Civil Code (Civil Code) on the protection of inherent personal rights (including the ban on discrimination) remain an important tool in the combat against discrimination in areas not covered by the ETA due to the restrictions of the law’s personal scope;</w:t>
      </w:r>
    </w:p>
    <w:p w14:paraId="2AD29756" w14:textId="77777777" w:rsidR="00345681" w:rsidRPr="00CD59CC" w:rsidRDefault="00345681" w:rsidP="007B4138">
      <w:pPr>
        <w:numPr>
          <w:ilvl w:val="1"/>
          <w:numId w:val="36"/>
        </w:numPr>
        <w:suppressAutoHyphens/>
        <w:rPr>
          <w:rFonts w:ascii="Arial" w:hAnsi="Arial" w:cs="Arial"/>
          <w:iCs/>
        </w:rPr>
      </w:pPr>
      <w:r w:rsidRPr="00CD59CC">
        <w:rPr>
          <w:rFonts w:ascii="Arial" w:hAnsi="Arial" w:cs="Arial"/>
          <w:iCs/>
        </w:rPr>
        <w:t>The protection provided by the ETA is amplified by sectoral laws reinforcing the ban on discrimination and containing regulation on different bodies with a role in combating discrimination and specific rules related to the issue of non-discrimination.</w:t>
      </w:r>
    </w:p>
    <w:p w14:paraId="6C048D5D" w14:textId="77777777" w:rsidR="00345681" w:rsidRPr="00CD59CC" w:rsidRDefault="00345681" w:rsidP="00CD59CC">
      <w:pPr>
        <w:rPr>
          <w:rFonts w:ascii="Arial" w:hAnsi="Arial" w:cs="Arial"/>
          <w:iCs/>
        </w:rPr>
      </w:pPr>
    </w:p>
    <w:p w14:paraId="05B021CC" w14:textId="77777777" w:rsidR="00345681" w:rsidRPr="00CD59CC" w:rsidRDefault="00345681" w:rsidP="00CD59CC">
      <w:pPr>
        <w:rPr>
          <w:rFonts w:ascii="Arial" w:hAnsi="Arial" w:cs="Arial"/>
          <w:b/>
          <w:iCs/>
        </w:rPr>
      </w:pPr>
      <w:r w:rsidRPr="00CD59CC">
        <w:rPr>
          <w:rFonts w:ascii="Arial" w:hAnsi="Arial" w:cs="Arial"/>
          <w:b/>
          <w:iCs/>
        </w:rPr>
        <w:t>Protected grounds</w:t>
      </w:r>
    </w:p>
    <w:p w14:paraId="510D5012" w14:textId="77777777" w:rsidR="00345681" w:rsidRPr="00CD59CC" w:rsidRDefault="00345681" w:rsidP="00CD59CC">
      <w:pPr>
        <w:rPr>
          <w:rFonts w:ascii="Arial" w:hAnsi="Arial" w:cs="Arial"/>
          <w:i/>
          <w:iCs/>
        </w:rPr>
      </w:pPr>
    </w:p>
    <w:p w14:paraId="06C5AEE4" w14:textId="77777777" w:rsidR="00345681" w:rsidRPr="00CD59CC" w:rsidRDefault="00345681" w:rsidP="00CD59CC">
      <w:pPr>
        <w:rPr>
          <w:rFonts w:ascii="Arial" w:hAnsi="Arial" w:cs="Arial"/>
          <w:iCs/>
        </w:rPr>
      </w:pPr>
      <w:r w:rsidRPr="00CD59CC">
        <w:rPr>
          <w:rFonts w:ascii="Arial" w:hAnsi="Arial" w:cs="Arial"/>
          <w:iCs/>
        </w:rPr>
        <w:t xml:space="preserve">Discrimination on all of the grounds listed in Article 19 TFEU is expressly prohibited but Hungarian national law covers other grounds of discrimination as well. The ETA sets forth an open ended enumeration of protected grounds. The 19-item list includes – among others – sex, racial origin, colour, nationality, national or ethnic origin, mother tongue, disability, state of health, religious or other similar philosophical conviction, political or other opinion, sexual orientation, sexual identity and age. The last item is “any other status, attribute or characteristic”, which means that the list is non-exhaustive, so grounds not explicitly identified are also covered. </w:t>
      </w:r>
    </w:p>
    <w:p w14:paraId="68D306F7" w14:textId="77777777" w:rsidR="00345681" w:rsidRPr="00CD59CC" w:rsidRDefault="00345681" w:rsidP="00CD59CC">
      <w:pPr>
        <w:rPr>
          <w:rFonts w:ascii="Arial" w:hAnsi="Arial" w:cs="Arial"/>
          <w:iCs/>
        </w:rPr>
      </w:pPr>
    </w:p>
    <w:p w14:paraId="02BF1D08" w14:textId="77777777" w:rsidR="00345681" w:rsidRPr="00CD59CC" w:rsidRDefault="00345681" w:rsidP="00CD59CC">
      <w:pPr>
        <w:rPr>
          <w:rFonts w:ascii="Arial" w:hAnsi="Arial" w:cs="Arial"/>
          <w:b/>
          <w:iCs/>
        </w:rPr>
      </w:pPr>
      <w:r w:rsidRPr="00CD59CC">
        <w:rPr>
          <w:rFonts w:ascii="Arial" w:hAnsi="Arial" w:cs="Arial"/>
          <w:b/>
          <w:iCs/>
        </w:rPr>
        <w:t>Scope of protection</w:t>
      </w:r>
    </w:p>
    <w:p w14:paraId="78C97393" w14:textId="77777777" w:rsidR="00345681" w:rsidRPr="00CD59CC" w:rsidRDefault="00345681" w:rsidP="00CD59CC">
      <w:pPr>
        <w:rPr>
          <w:rFonts w:ascii="Arial" w:hAnsi="Arial" w:cs="Arial"/>
          <w:i/>
          <w:iCs/>
        </w:rPr>
      </w:pPr>
    </w:p>
    <w:p w14:paraId="6363CD08" w14:textId="77777777" w:rsidR="00345681" w:rsidRPr="00CD59CC" w:rsidRDefault="00345681" w:rsidP="00CD59CC">
      <w:pPr>
        <w:rPr>
          <w:rFonts w:ascii="Arial" w:hAnsi="Arial" w:cs="Arial"/>
          <w:iCs/>
        </w:rPr>
      </w:pPr>
      <w:r w:rsidRPr="00CD59CC">
        <w:rPr>
          <w:rFonts w:ascii="Arial" w:hAnsi="Arial" w:cs="Arial"/>
          <w:iCs/>
        </w:rPr>
        <w:t xml:space="preserve">The ETA prohibits any discrimination in the public sector, so with regard to this sector the statute's scope is broader than that of the equality directives. The same cannot be said with regard to the private sector, where only four groups of actors fall under the ETA's scope: (i) those who make a public proposal for contracting (e.g. for renting out an apartment) or call for an open tender; (ii) those who provide services or sell goods at premises open to customers; (iii) self-employed persons, legal entities and </w:t>
      </w:r>
      <w:r w:rsidRPr="00CD59CC">
        <w:rPr>
          <w:rFonts w:ascii="Arial" w:hAnsi="Arial" w:cs="Arial"/>
          <w:iCs/>
        </w:rPr>
        <w:lastRenderedPageBreak/>
        <w:t xml:space="preserve">organisations without a legal entity receiving state funding in respect of their legal relations established in relation to the usage of the funding; and (iv) employers with respect to employment (interpreted broadly). </w:t>
      </w:r>
    </w:p>
    <w:p w14:paraId="06BD9BC7" w14:textId="77777777" w:rsidR="00345681" w:rsidRPr="00CD59CC" w:rsidRDefault="00345681" w:rsidP="00CD59CC">
      <w:pPr>
        <w:rPr>
          <w:rFonts w:ascii="Arial" w:hAnsi="Arial" w:cs="Arial"/>
          <w:iCs/>
        </w:rPr>
      </w:pPr>
    </w:p>
    <w:p w14:paraId="330DDC0A" w14:textId="77777777" w:rsidR="00345681" w:rsidRPr="00CD59CC" w:rsidRDefault="00345681" w:rsidP="00CD59CC">
      <w:pPr>
        <w:rPr>
          <w:rFonts w:ascii="Arial" w:hAnsi="Arial" w:cs="Arial"/>
          <w:b/>
          <w:iCs/>
        </w:rPr>
      </w:pPr>
      <w:r w:rsidRPr="00CD59CC">
        <w:rPr>
          <w:rFonts w:ascii="Arial" w:hAnsi="Arial" w:cs="Arial"/>
          <w:b/>
          <w:iCs/>
        </w:rPr>
        <w:t>Definitions</w:t>
      </w:r>
    </w:p>
    <w:p w14:paraId="35BF2EB2" w14:textId="77777777" w:rsidR="00345681" w:rsidRPr="00CD59CC" w:rsidRDefault="00345681" w:rsidP="00CD59CC">
      <w:pPr>
        <w:rPr>
          <w:rFonts w:ascii="Arial" w:hAnsi="Arial" w:cs="Arial"/>
          <w:i/>
          <w:iCs/>
        </w:rPr>
      </w:pPr>
    </w:p>
    <w:p w14:paraId="026F2BF3" w14:textId="77777777" w:rsidR="00345681" w:rsidRPr="00CD59CC" w:rsidRDefault="00345681" w:rsidP="00CD59CC">
      <w:pPr>
        <w:rPr>
          <w:rFonts w:ascii="Arial" w:hAnsi="Arial" w:cs="Arial"/>
          <w:iCs/>
        </w:rPr>
      </w:pPr>
      <w:r w:rsidRPr="00CD59CC">
        <w:rPr>
          <w:rFonts w:ascii="Arial" w:hAnsi="Arial" w:cs="Arial"/>
          <w:iCs/>
        </w:rPr>
        <w:t xml:space="preserve">The ETA introduced the following definitions: direct discrimination; indirect discrimination; segregation; harassment; and victimization. The definitions are largely based on the concepts used by the equality directives. </w:t>
      </w:r>
    </w:p>
    <w:p w14:paraId="7DF5AF1D" w14:textId="77777777" w:rsidR="00345681" w:rsidRPr="00CD59CC" w:rsidRDefault="00345681" w:rsidP="00CD59CC">
      <w:pPr>
        <w:rPr>
          <w:rFonts w:ascii="Arial" w:hAnsi="Arial" w:cs="Arial"/>
          <w:iCs/>
        </w:rPr>
      </w:pPr>
    </w:p>
    <w:p w14:paraId="554BE153" w14:textId="77777777" w:rsidR="00345681" w:rsidRPr="00CD59CC" w:rsidRDefault="00345681" w:rsidP="00CD59CC">
      <w:pPr>
        <w:rPr>
          <w:rFonts w:ascii="Arial" w:hAnsi="Arial" w:cs="Arial"/>
          <w:b/>
          <w:iCs/>
        </w:rPr>
      </w:pPr>
      <w:r w:rsidRPr="00CD59CC">
        <w:rPr>
          <w:rFonts w:ascii="Arial" w:hAnsi="Arial" w:cs="Arial"/>
          <w:b/>
          <w:iCs/>
        </w:rPr>
        <w:t>Exceptions</w:t>
      </w:r>
    </w:p>
    <w:p w14:paraId="5B100C63" w14:textId="77777777" w:rsidR="00345681" w:rsidRPr="00CD59CC" w:rsidRDefault="00345681" w:rsidP="00CD59CC">
      <w:pPr>
        <w:rPr>
          <w:rFonts w:ascii="Arial" w:hAnsi="Arial" w:cs="Arial"/>
          <w:i/>
          <w:iCs/>
        </w:rPr>
      </w:pPr>
    </w:p>
    <w:p w14:paraId="11B806A3" w14:textId="77777777" w:rsidR="00345681" w:rsidRPr="00CD59CC" w:rsidRDefault="00345681" w:rsidP="00CD59CC">
      <w:pPr>
        <w:rPr>
          <w:rFonts w:ascii="Arial" w:hAnsi="Arial" w:cs="Arial"/>
          <w:iCs/>
        </w:rPr>
      </w:pPr>
      <w:r w:rsidRPr="00CD59CC">
        <w:rPr>
          <w:rFonts w:ascii="Arial" w:hAnsi="Arial" w:cs="Arial"/>
          <w:iCs/>
        </w:rPr>
        <w:t xml:space="preserve">The ETA distinguishes between three types of exceptions: (i) a general exception; (ii) special exceptions; and (iii) positive action. After the December 2006 amendment of the ETA, the general exempting provision has become quite complex: </w:t>
      </w:r>
      <w:r w:rsidRPr="00CD59CC">
        <w:rPr>
          <w:rFonts w:ascii="Arial" w:hAnsi="Arial" w:cs="Arial"/>
        </w:rPr>
        <w:t xml:space="preserve">when a differentiation concerns a fundamental right, it may only be exempted if its legitimate aim is the enforcement of another fundamental right, provided that the restriction caused by the differentiation is absolutely necessary, suitable for achieving the aim and proportionate with the aim. If no such right is restricted by the differentiation, it </w:t>
      </w:r>
      <w:r w:rsidRPr="00CD59CC">
        <w:rPr>
          <w:rFonts w:ascii="Arial" w:hAnsi="Arial" w:cs="Arial"/>
          <w:iCs/>
        </w:rPr>
        <w:t xml:space="preserve">does not constitute a breach of the ban on discrimination, provided that it is </w:t>
      </w:r>
      <w:r w:rsidRPr="00CD59CC">
        <w:rPr>
          <w:rFonts w:ascii="Arial" w:hAnsi="Arial" w:cs="Arial"/>
        </w:rPr>
        <w:t>found by objective consideration to have a reasonable ground directly related to the relevant legal relation</w:t>
      </w:r>
      <w:r w:rsidRPr="00CD59CC">
        <w:rPr>
          <w:rFonts w:ascii="Arial" w:hAnsi="Arial" w:cs="Arial"/>
          <w:iCs/>
        </w:rPr>
        <w:t xml:space="preserve">. Neither of the two exemptions may be applied in cases of differentiation based on racial or ethnic origin. This general exemption is paralleled by special exempting rules related to different sectors, such as employment (a version of the GOR rule) or education (e.g. a provision making it possible to set up separate classes for boys and girls). The third “exception” from the requirement of equal treatment is positive action. </w:t>
      </w:r>
    </w:p>
    <w:p w14:paraId="5BE3586E" w14:textId="77777777" w:rsidR="00345681" w:rsidRPr="00CD59CC" w:rsidRDefault="00345681" w:rsidP="00CD59CC">
      <w:pPr>
        <w:rPr>
          <w:rFonts w:ascii="Arial" w:hAnsi="Arial" w:cs="Arial"/>
          <w:iCs/>
        </w:rPr>
      </w:pPr>
    </w:p>
    <w:p w14:paraId="3BC45D29" w14:textId="77777777" w:rsidR="00345681" w:rsidRPr="00CD59CC" w:rsidRDefault="00345681" w:rsidP="00CD59CC">
      <w:pPr>
        <w:rPr>
          <w:rFonts w:ascii="Arial" w:hAnsi="Arial" w:cs="Arial"/>
          <w:b/>
          <w:iCs/>
        </w:rPr>
      </w:pPr>
      <w:r w:rsidRPr="00CD59CC">
        <w:rPr>
          <w:rFonts w:ascii="Arial" w:hAnsi="Arial" w:cs="Arial"/>
          <w:b/>
          <w:iCs/>
        </w:rPr>
        <w:t>Institutional framework</w:t>
      </w:r>
    </w:p>
    <w:p w14:paraId="7736C8A1" w14:textId="77777777" w:rsidR="00345681" w:rsidRPr="00CD59CC" w:rsidRDefault="00345681" w:rsidP="00CD59CC">
      <w:pPr>
        <w:rPr>
          <w:rFonts w:ascii="Arial" w:hAnsi="Arial" w:cs="Arial"/>
          <w:i/>
          <w:iCs/>
        </w:rPr>
      </w:pPr>
    </w:p>
    <w:p w14:paraId="0BBBC76C" w14:textId="77777777" w:rsidR="00345681" w:rsidRPr="00CD59CC" w:rsidRDefault="00345681" w:rsidP="00CD59CC">
      <w:pPr>
        <w:rPr>
          <w:rFonts w:ascii="Arial" w:hAnsi="Arial" w:cs="Arial"/>
          <w:iCs/>
        </w:rPr>
      </w:pPr>
      <w:r w:rsidRPr="00CD59CC">
        <w:rPr>
          <w:rFonts w:ascii="Arial" w:hAnsi="Arial" w:cs="Arial"/>
          <w:iCs/>
        </w:rPr>
        <w:t>The Equal Treatment Authority is the Hungarian equality body with a very wide scope of authority. The Authority is an administrative authority functioning under the supervision of the Government with a competence to act against any discriminatory act irrespective of the ground of discrimination (sex, race, age, etc.) or the field concerned (employment, education, access to goods, etc.). Besides the competencies required by the Racial Equality Directive, the body is vested with the right to impose severe sanctions on persons and entities violating the ban on discrimination.</w:t>
      </w:r>
    </w:p>
    <w:p w14:paraId="3DDE2252" w14:textId="77777777" w:rsidR="00345681" w:rsidRPr="00CD59CC" w:rsidRDefault="00345681" w:rsidP="00CD59CC">
      <w:pPr>
        <w:rPr>
          <w:rFonts w:ascii="Arial" w:hAnsi="Arial" w:cs="Arial"/>
          <w:iCs/>
        </w:rPr>
      </w:pPr>
    </w:p>
    <w:p w14:paraId="0DD78473" w14:textId="77777777" w:rsidR="00345681" w:rsidRPr="00CD59CC" w:rsidRDefault="00345681" w:rsidP="00CD59CC">
      <w:pPr>
        <w:rPr>
          <w:rFonts w:ascii="Arial" w:hAnsi="Arial" w:cs="Arial"/>
          <w:iCs/>
        </w:rPr>
      </w:pPr>
      <w:r w:rsidRPr="00CD59CC">
        <w:rPr>
          <w:rFonts w:ascii="Arial" w:hAnsi="Arial" w:cs="Arial"/>
          <w:iCs/>
        </w:rPr>
        <w:t>Parallel to the operation of the Authority, organs that played a role in combating discrimination already before its establishment, continue to act in the field. Court procedures continue to be available for victims. Victims are provided with the possibility to decide whether they seek remedy with the Authority, or other administrative organs with a mandate. The Commissioner for Fundamental Rights</w:t>
      </w:r>
      <w:r w:rsidR="003E7DC7" w:rsidRPr="00CD59CC">
        <w:rPr>
          <w:rFonts w:ascii="Arial" w:hAnsi="Arial" w:cs="Arial"/>
          <w:iCs/>
        </w:rPr>
        <w:t xml:space="preserve"> (Hungary’s Ombudsman)</w:t>
      </w:r>
      <w:r w:rsidRPr="00CD59CC">
        <w:rPr>
          <w:rFonts w:ascii="Arial" w:hAnsi="Arial" w:cs="Arial"/>
          <w:iCs/>
        </w:rPr>
        <w:t xml:space="preserve"> also remains authorised to investigate cases of discrimination.</w:t>
      </w:r>
    </w:p>
    <w:p w14:paraId="5EECB155" w14:textId="77777777" w:rsidR="00345681" w:rsidRPr="00CD59CC" w:rsidRDefault="00345681" w:rsidP="00CD59CC">
      <w:pPr>
        <w:rPr>
          <w:rFonts w:ascii="Arial" w:hAnsi="Arial" w:cs="Arial"/>
          <w:iCs/>
        </w:rPr>
      </w:pPr>
      <w:r w:rsidRPr="00CD59CC">
        <w:rPr>
          <w:rFonts w:ascii="Arial" w:hAnsi="Arial" w:cs="Arial"/>
          <w:iCs/>
        </w:rPr>
        <w:lastRenderedPageBreak/>
        <w:t>The focus of anti-discrimination proceedings has mainly shifted to the Authority, however, court procedures have remained very important, as this is the only forum where victims themselves can receive a monetary compensation and the scope of protection under civil law is wider than under the ETA.</w:t>
      </w:r>
    </w:p>
    <w:p w14:paraId="395BFA32" w14:textId="77777777" w:rsidR="00345681" w:rsidRPr="00CD59CC" w:rsidRDefault="00345681" w:rsidP="00CD59CC">
      <w:pPr>
        <w:rPr>
          <w:rFonts w:ascii="Arial" w:hAnsi="Arial" w:cs="Arial"/>
          <w:iCs/>
        </w:rPr>
      </w:pPr>
    </w:p>
    <w:p w14:paraId="189A34B8" w14:textId="77777777" w:rsidR="00345681" w:rsidRPr="00CD59CC" w:rsidRDefault="00345681" w:rsidP="00CD59CC">
      <w:pPr>
        <w:pStyle w:val="Szvegtrzs32"/>
        <w:spacing w:after="0"/>
        <w:jc w:val="left"/>
        <w:rPr>
          <w:rFonts w:ascii="Arial" w:hAnsi="Arial" w:cs="Arial"/>
          <w:b/>
          <w:i w:val="0"/>
          <w:lang w:val="en-GB"/>
        </w:rPr>
      </w:pPr>
      <w:r w:rsidRPr="00CD59CC">
        <w:rPr>
          <w:rFonts w:ascii="Arial" w:hAnsi="Arial" w:cs="Arial"/>
          <w:b/>
          <w:i w:val="0"/>
          <w:lang w:val="en-GB"/>
        </w:rPr>
        <w:t>Overall trends</w:t>
      </w:r>
    </w:p>
    <w:p w14:paraId="6EE5478A" w14:textId="77777777" w:rsidR="00345681" w:rsidRPr="00CD59CC" w:rsidRDefault="00345681" w:rsidP="00CD59CC">
      <w:pPr>
        <w:pStyle w:val="Szvegtrzs32"/>
        <w:spacing w:after="0"/>
        <w:jc w:val="left"/>
        <w:rPr>
          <w:rFonts w:ascii="Arial" w:hAnsi="Arial" w:cs="Arial"/>
          <w:lang w:val="en-GB"/>
        </w:rPr>
      </w:pPr>
    </w:p>
    <w:p w14:paraId="6CF66B05" w14:textId="77777777" w:rsidR="00345681" w:rsidRPr="00CD59CC" w:rsidRDefault="00345681" w:rsidP="00CD59CC">
      <w:pPr>
        <w:pStyle w:val="Szvegtrzs32"/>
        <w:spacing w:after="0"/>
        <w:jc w:val="left"/>
        <w:rPr>
          <w:rFonts w:ascii="Arial" w:hAnsi="Arial" w:cs="Arial"/>
          <w:i w:val="0"/>
          <w:lang w:val="en-GB"/>
        </w:rPr>
      </w:pPr>
      <w:r w:rsidRPr="00CD59CC">
        <w:rPr>
          <w:rFonts w:ascii="Arial" w:hAnsi="Arial" w:cs="Arial"/>
          <w:i w:val="0"/>
          <w:lang w:val="en-GB"/>
        </w:rPr>
        <w:t>Although (in spite of the significant improvement that was achieved through the December 2006 amendment of the ETA) the legislative framework is still not in complete harmony with the Directives, it can be said that the coming into force of the ETA and the Authority’s operation gave an impetus to the fight against discrimination.</w:t>
      </w:r>
    </w:p>
    <w:p w14:paraId="4474A29E" w14:textId="77777777" w:rsidR="00345681" w:rsidRPr="00CD59CC" w:rsidRDefault="00345681" w:rsidP="00CD59CC">
      <w:pPr>
        <w:pStyle w:val="Szvegtrzs32"/>
        <w:spacing w:after="0"/>
        <w:jc w:val="left"/>
        <w:rPr>
          <w:rFonts w:ascii="Arial" w:hAnsi="Arial" w:cs="Arial"/>
          <w:i w:val="0"/>
          <w:lang w:val="en-GB"/>
        </w:rPr>
      </w:pPr>
    </w:p>
    <w:p w14:paraId="498F4E5B" w14:textId="056C53FC" w:rsidR="00345681" w:rsidRPr="00CD59CC" w:rsidRDefault="00345681" w:rsidP="00CD59CC">
      <w:pPr>
        <w:pStyle w:val="Szvegtrzs32"/>
        <w:spacing w:after="0"/>
        <w:jc w:val="left"/>
        <w:rPr>
          <w:rFonts w:ascii="Arial" w:hAnsi="Arial" w:cs="Arial"/>
          <w:i w:val="0"/>
        </w:rPr>
      </w:pPr>
      <w:r w:rsidRPr="00CD59CC">
        <w:rPr>
          <w:rFonts w:ascii="Arial" w:hAnsi="Arial" w:cs="Arial"/>
          <w:i w:val="0"/>
          <w:lang w:val="en-GB"/>
        </w:rPr>
        <w:t xml:space="preserve">However, in the past few years the legislative developments concerning the area have been characterised by a certain lack of coherence and prudency. An example is provided by the provisions regulating the Equal Treatment Authority’s proceeding, which in 2011 were moved from the ETA into </w:t>
      </w:r>
      <w:r w:rsidRPr="00CD59CC">
        <w:rPr>
          <w:rFonts w:ascii="Arial" w:hAnsi="Arial" w:cs="Arial"/>
          <w:i w:val="0"/>
        </w:rPr>
        <w:t xml:space="preserve">Act CXL of 2004 on the General Rules of the Proceedings and Services of Public Administrative Authorities (GPSA) as from February 2012, while </w:t>
      </w:r>
      <w:r w:rsidR="004C5C73" w:rsidRPr="00CD59CC">
        <w:rPr>
          <w:rFonts w:ascii="Arial" w:hAnsi="Arial" w:cs="Arial"/>
          <w:i w:val="0"/>
        </w:rPr>
        <w:t>as from July 2013, all the relevant provisions were moved back into the ETA</w:t>
      </w:r>
      <w:r w:rsidR="004C5C73" w:rsidRPr="00CD59CC">
        <w:rPr>
          <w:rStyle w:val="FootnoteReference"/>
          <w:rFonts w:ascii="Arial" w:hAnsi="Arial" w:cs="Arial"/>
          <w:i w:val="0"/>
        </w:rPr>
        <w:footnoteReference w:id="2"/>
      </w:r>
      <w:r w:rsidR="004C5C73" w:rsidRPr="00CD59CC">
        <w:rPr>
          <w:rFonts w:ascii="Arial" w:hAnsi="Arial" w:cs="Arial"/>
          <w:i w:val="0"/>
        </w:rPr>
        <w:t xml:space="preserve"> </w:t>
      </w:r>
      <w:r w:rsidRPr="00CD59CC">
        <w:rPr>
          <w:rFonts w:ascii="Arial" w:hAnsi="Arial" w:cs="Arial"/>
          <w:i w:val="0"/>
        </w:rPr>
        <w:t>“in order to guarantee the unity of the legal system and the transparency of the legal framework”.</w:t>
      </w:r>
      <w:r w:rsidRPr="00CD59CC">
        <w:rPr>
          <w:rStyle w:val="FootnoteReference"/>
          <w:rFonts w:ascii="Arial" w:hAnsi="Arial" w:cs="Arial"/>
          <w:i w:val="0"/>
        </w:rPr>
        <w:footnoteReference w:id="3"/>
      </w:r>
    </w:p>
    <w:p w14:paraId="19BDD36D" w14:textId="77777777" w:rsidR="00345681" w:rsidRPr="00CD59CC" w:rsidRDefault="00345681" w:rsidP="00CD59CC">
      <w:pPr>
        <w:pStyle w:val="Szvegtrzs32"/>
        <w:spacing w:after="0"/>
        <w:jc w:val="left"/>
        <w:rPr>
          <w:rFonts w:ascii="Arial" w:hAnsi="Arial" w:cs="Arial"/>
          <w:i w:val="0"/>
        </w:rPr>
      </w:pPr>
    </w:p>
    <w:p w14:paraId="564E3B83" w14:textId="4C104353" w:rsidR="00345681" w:rsidRPr="00CD59CC" w:rsidRDefault="00345681" w:rsidP="00CD59CC">
      <w:pPr>
        <w:pStyle w:val="Szvegtrzs32"/>
        <w:spacing w:after="0"/>
        <w:jc w:val="left"/>
        <w:rPr>
          <w:rFonts w:ascii="Arial" w:hAnsi="Arial" w:cs="Arial"/>
          <w:i w:val="0"/>
          <w:lang w:val="en-GB"/>
        </w:rPr>
      </w:pPr>
      <w:r w:rsidRPr="00CD59CC">
        <w:rPr>
          <w:rFonts w:ascii="Arial" w:hAnsi="Arial" w:cs="Arial"/>
          <w:i w:val="0"/>
          <w:lang w:val="en-GB"/>
        </w:rPr>
        <w:t>Public awareness of the issue has increased, more and more victims come forward with their complaints, and the levels of sanctions have also become higher than before: the Authority’s workload had been increasing steadily until 2010, while after some decrease in 2011 there was a rise in 2012</w:t>
      </w:r>
      <w:r w:rsidR="005A5F6B" w:rsidRPr="00CD59CC">
        <w:rPr>
          <w:rFonts w:ascii="Arial" w:hAnsi="Arial" w:cs="Arial"/>
          <w:i w:val="0"/>
          <w:lang w:val="en-GB"/>
        </w:rPr>
        <w:t xml:space="preserve"> and in 2013</w:t>
      </w:r>
      <w:r w:rsidR="00466A48" w:rsidRPr="00CD59CC">
        <w:rPr>
          <w:rFonts w:ascii="Arial" w:hAnsi="Arial" w:cs="Arial"/>
          <w:i w:val="0"/>
          <w:lang w:val="en-GB"/>
        </w:rPr>
        <w:t xml:space="preserve"> the number of complaints remained </w:t>
      </w:r>
      <w:r w:rsidR="00E44EED" w:rsidRPr="00CD59CC">
        <w:rPr>
          <w:rFonts w:ascii="Arial" w:hAnsi="Arial" w:cs="Arial"/>
          <w:i w:val="0"/>
          <w:lang w:val="en-GB"/>
        </w:rPr>
        <w:t>at a higher level than in the years preceding 2012</w:t>
      </w:r>
      <w:r w:rsidRPr="00CD59CC">
        <w:rPr>
          <w:rFonts w:ascii="Arial" w:hAnsi="Arial" w:cs="Arial"/>
          <w:i w:val="0"/>
          <w:lang w:val="en-GB"/>
        </w:rPr>
        <w:t>.</w:t>
      </w:r>
      <w:r w:rsidRPr="00CD59CC">
        <w:rPr>
          <w:rStyle w:val="FootnoteReference"/>
          <w:rFonts w:ascii="Arial" w:hAnsi="Arial" w:cs="Arial"/>
          <w:i w:val="0"/>
          <w:lang w:val="en-GB"/>
        </w:rPr>
        <w:footnoteReference w:id="4"/>
      </w:r>
      <w:r w:rsidRPr="00CD59CC">
        <w:rPr>
          <w:rFonts w:ascii="Arial" w:hAnsi="Arial" w:cs="Arial"/>
          <w:i w:val="0"/>
          <w:lang w:val="en-GB"/>
        </w:rPr>
        <w:t xml:space="preserve"> </w:t>
      </w:r>
    </w:p>
    <w:p w14:paraId="124DEA0F" w14:textId="77777777" w:rsidR="00345681" w:rsidRPr="00CD59CC" w:rsidRDefault="00345681" w:rsidP="00CD59CC">
      <w:pPr>
        <w:pStyle w:val="Szvegtrzs32"/>
        <w:spacing w:after="0"/>
        <w:jc w:val="left"/>
        <w:rPr>
          <w:rFonts w:ascii="Arial" w:hAnsi="Arial" w:cs="Arial"/>
          <w:i w:val="0"/>
          <w:lang w:val="en-GB"/>
        </w:rPr>
      </w:pPr>
    </w:p>
    <w:p w14:paraId="5218F047" w14:textId="77777777" w:rsidR="00345681" w:rsidRPr="00CD59CC" w:rsidRDefault="00345681" w:rsidP="00CD59CC">
      <w:pPr>
        <w:rPr>
          <w:rFonts w:ascii="Arial" w:hAnsi="Arial" w:cs="Arial"/>
          <w:b/>
        </w:rPr>
      </w:pPr>
      <w:r w:rsidRPr="00CD59CC">
        <w:rPr>
          <w:rFonts w:ascii="Arial" w:hAnsi="Arial" w:cs="Arial"/>
          <w:b/>
        </w:rPr>
        <w:t>State of implementation</w:t>
      </w:r>
    </w:p>
    <w:p w14:paraId="21C6C1CA" w14:textId="77777777" w:rsidR="00345681" w:rsidRPr="00CD59CC" w:rsidRDefault="00345681" w:rsidP="00CD59CC">
      <w:pPr>
        <w:rPr>
          <w:rFonts w:ascii="Arial" w:hAnsi="Arial" w:cs="Arial"/>
          <w:u w:val="single"/>
        </w:rPr>
      </w:pPr>
    </w:p>
    <w:p w14:paraId="61052EBC" w14:textId="26F39D19" w:rsidR="00345681" w:rsidRPr="00CD59CC" w:rsidRDefault="00345681" w:rsidP="00CD59CC">
      <w:pPr>
        <w:rPr>
          <w:rFonts w:ascii="Arial" w:hAnsi="Arial" w:cs="Arial"/>
        </w:rPr>
      </w:pPr>
      <w:r w:rsidRPr="00CD59CC">
        <w:rPr>
          <w:rFonts w:ascii="Arial" w:hAnsi="Arial" w:cs="Arial"/>
        </w:rPr>
        <w:t xml:space="preserve">Whereas the Commission has closed the infringement procedures against Hungary under Directives 2000/43 and 2000/78, and has found that the Hungarian legislation is in accordance with the Directives, in the author’s view in some areas’ full </w:t>
      </w:r>
      <w:r w:rsidR="005A5F6B" w:rsidRPr="00CD59CC">
        <w:rPr>
          <w:rFonts w:ascii="Arial" w:hAnsi="Arial" w:cs="Arial"/>
        </w:rPr>
        <w:t>compliance</w:t>
      </w:r>
      <w:r w:rsidRPr="00CD59CC">
        <w:rPr>
          <w:rFonts w:ascii="Arial" w:hAnsi="Arial" w:cs="Arial"/>
        </w:rPr>
        <w:t xml:space="preserve"> is uncertain and is highly dependent on the judicial interpretation of the regulations in question. The areas in which possible breaches may occur are summarised below.</w:t>
      </w:r>
    </w:p>
    <w:p w14:paraId="1EDEBFA9" w14:textId="77777777" w:rsidR="00345681" w:rsidRPr="00CD59CC" w:rsidRDefault="00345681" w:rsidP="00CD59CC">
      <w:pPr>
        <w:rPr>
          <w:rFonts w:ascii="Arial" w:hAnsi="Arial" w:cs="Arial"/>
          <w:u w:val="single"/>
        </w:rPr>
      </w:pPr>
    </w:p>
    <w:p w14:paraId="626B764E" w14:textId="77777777" w:rsidR="00345681" w:rsidRPr="00CD59CC" w:rsidRDefault="00345681" w:rsidP="007B4138">
      <w:pPr>
        <w:numPr>
          <w:ilvl w:val="0"/>
          <w:numId w:val="37"/>
        </w:numPr>
        <w:suppressAutoHyphens/>
        <w:rPr>
          <w:rFonts w:ascii="Arial" w:hAnsi="Arial" w:cs="Arial"/>
        </w:rPr>
      </w:pPr>
      <w:r w:rsidRPr="00CD59CC">
        <w:rPr>
          <w:rFonts w:ascii="Arial" w:hAnsi="Arial" w:cs="Arial"/>
        </w:rPr>
        <w:t>Due to the comprehensive material scope of the ETA, the requirement of equal treatment as set forth by the ETA applies only to a restricted circle of private actors. Therefore, with regard to the sectors falling under the material scope of the Directives, the Hungarian law may be in breach of the acquis, as it does not impose on all persons of the private sector the obligation of non-discrimination. (For a detailed explanation see Section 3.2.).</w:t>
      </w:r>
    </w:p>
    <w:p w14:paraId="4FA68C37" w14:textId="77777777" w:rsidR="00345681" w:rsidRPr="00CD59CC" w:rsidRDefault="00345681" w:rsidP="007B4138">
      <w:pPr>
        <w:numPr>
          <w:ilvl w:val="0"/>
          <w:numId w:val="37"/>
        </w:numPr>
        <w:suppressAutoHyphens/>
        <w:rPr>
          <w:rFonts w:ascii="Arial" w:hAnsi="Arial" w:cs="Arial"/>
        </w:rPr>
      </w:pPr>
      <w:r w:rsidRPr="00CD59CC">
        <w:rPr>
          <w:rFonts w:ascii="Arial" w:hAnsi="Arial" w:cs="Arial"/>
        </w:rPr>
        <w:lastRenderedPageBreak/>
        <w:t>Article 7 Paragraph (2) of the ETA allows for objective justification in certain cases of direct discrimination, depending on the ground for discrimination and on the nature of the right concerned (fundamental right or not). For a detailed explanation see Section 2.2.</w:t>
      </w:r>
    </w:p>
    <w:p w14:paraId="435DF9D0" w14:textId="77777777" w:rsidR="00345681" w:rsidRPr="00CD59CC" w:rsidRDefault="00345681" w:rsidP="007B4138">
      <w:pPr>
        <w:numPr>
          <w:ilvl w:val="0"/>
          <w:numId w:val="38"/>
        </w:numPr>
        <w:tabs>
          <w:tab w:val="left" w:pos="567"/>
        </w:tabs>
        <w:suppressAutoHyphens/>
        <w:ind w:hanging="567"/>
        <w:rPr>
          <w:rFonts w:ascii="Arial" w:hAnsi="Arial" w:cs="Arial"/>
        </w:rPr>
      </w:pPr>
      <w:r w:rsidRPr="00CD59CC">
        <w:rPr>
          <w:rFonts w:ascii="Arial" w:hAnsi="Arial" w:cs="Arial"/>
        </w:rPr>
        <w:t>The rules for the justification of indirect discrimination are also not fully in line with the Directives. (For a detailed explanation see Section 2.3).</w:t>
      </w:r>
    </w:p>
    <w:p w14:paraId="0745869E" w14:textId="77777777" w:rsidR="00345681" w:rsidRPr="00CD59CC" w:rsidRDefault="00345681" w:rsidP="007B4138">
      <w:pPr>
        <w:numPr>
          <w:ilvl w:val="0"/>
          <w:numId w:val="37"/>
        </w:numPr>
        <w:suppressAutoHyphens/>
        <w:rPr>
          <w:rFonts w:ascii="Arial" w:hAnsi="Arial" w:cs="Arial"/>
        </w:rPr>
      </w:pPr>
      <w:r w:rsidRPr="00CD59CC">
        <w:rPr>
          <w:rFonts w:ascii="Arial" w:hAnsi="Arial" w:cs="Arial"/>
        </w:rPr>
        <w:t>The so-called special exempting clauses also contain certain inconsistencies, unjustified distinctions between certain grounds and wider possibilities for exemption than allowed by the Directives (see for example Section 4.1 on the equal pay for equal work principle and Section 4.2 on employers with an ethos based on religion or belief). Depending on judicial interpretation, some provisions of the new law on churches and religion and the new law on public education may cause a contradiction between domestic and EU law in relation to organisations with a religious ethos. (For a detailed explanation see Section 4.2.).</w:t>
      </w:r>
    </w:p>
    <w:p w14:paraId="114A1E03" w14:textId="6ADE88AB" w:rsidR="00345681" w:rsidRPr="00CD59CC" w:rsidRDefault="00E44EED" w:rsidP="007B4138">
      <w:pPr>
        <w:numPr>
          <w:ilvl w:val="0"/>
          <w:numId w:val="37"/>
        </w:numPr>
        <w:suppressAutoHyphens/>
        <w:rPr>
          <w:rFonts w:ascii="Arial" w:hAnsi="Arial" w:cs="Arial"/>
        </w:rPr>
      </w:pPr>
      <w:r w:rsidRPr="00CD59CC">
        <w:rPr>
          <w:rFonts w:ascii="Arial" w:hAnsi="Arial" w:cs="Arial"/>
        </w:rPr>
        <w:t>T</w:t>
      </w:r>
      <w:r w:rsidR="00345681" w:rsidRPr="00CD59CC">
        <w:rPr>
          <w:rFonts w:ascii="Arial" w:hAnsi="Arial" w:cs="Arial"/>
        </w:rPr>
        <w:t>he exclusion of workers of the pensionable age from a severance payment may be in violation of the relevant CJEU jurisprudence. (For a detailed analysis see Section 4.7.).</w:t>
      </w:r>
    </w:p>
    <w:p w14:paraId="636E1EEC" w14:textId="77777777" w:rsidR="00345681" w:rsidRPr="00CD59CC" w:rsidRDefault="00345681" w:rsidP="007B4138">
      <w:pPr>
        <w:numPr>
          <w:ilvl w:val="0"/>
          <w:numId w:val="37"/>
        </w:numPr>
        <w:suppressAutoHyphens/>
        <w:rPr>
          <w:rFonts w:ascii="Arial" w:hAnsi="Arial" w:cs="Arial"/>
        </w:rPr>
      </w:pPr>
      <w:r w:rsidRPr="00CD59CC">
        <w:rPr>
          <w:rFonts w:ascii="Arial" w:hAnsi="Arial" w:cs="Arial"/>
        </w:rPr>
        <w:t>The obligation of reasonable accommodation has not been unambiguously transposed into the Hungarian law. The problem is especially acute with regard to employing people with disabilities, in spite of an amendment to Act XXVI of 1998 on the Rights of Persons with Disabilities and the Guaranteeing of their Equal Opportunities (hereinafter: RPD Act), which – if interpreted from a strict grammatical point of view – only guarantees the requirement of reasonable accommodation in relation to the recruitment procedure (i.e. primarily the job interview), but does not prescribe that reasonable efforts shall be made to adapt the workplace to the special needs of persons with disabilities to promote their actual employment. (The situation in this regard is rather complex – for details, see Section 2.6.).</w:t>
      </w:r>
    </w:p>
    <w:p w14:paraId="12A528AA" w14:textId="77777777" w:rsidR="00345681" w:rsidRPr="00CD59CC" w:rsidRDefault="00345681" w:rsidP="00CD59CC">
      <w:pPr>
        <w:rPr>
          <w:rFonts w:ascii="Arial" w:hAnsi="Arial" w:cs="Arial"/>
        </w:rPr>
      </w:pPr>
    </w:p>
    <w:p w14:paraId="6515CEEF" w14:textId="762DF7FC" w:rsidR="002B5BCD" w:rsidRPr="00CD59CC" w:rsidRDefault="002B5BCD" w:rsidP="00CD59CC">
      <w:pPr>
        <w:pStyle w:val="Heading2"/>
        <w:rPr>
          <w:rFonts w:cs="Arial"/>
        </w:rPr>
      </w:pPr>
      <w:bookmarkStart w:id="13" w:name="_Toc220221131"/>
      <w:bookmarkStart w:id="14" w:name="_Toc392758701"/>
      <w:bookmarkStart w:id="15" w:name="_Toc329163593"/>
      <w:bookmarkStart w:id="16" w:name="_Toc366846310"/>
      <w:r w:rsidRPr="00CD59CC">
        <w:rPr>
          <w:rFonts w:cs="Arial"/>
        </w:rPr>
        <w:t>Case-law</w:t>
      </w:r>
      <w:bookmarkEnd w:id="13"/>
      <w:bookmarkEnd w:id="14"/>
      <w:bookmarkEnd w:id="15"/>
      <w:bookmarkEnd w:id="16"/>
    </w:p>
    <w:p w14:paraId="10B0841D" w14:textId="77777777" w:rsidR="002B5BCD" w:rsidRPr="00CD59CC" w:rsidRDefault="002B5BCD" w:rsidP="00CD59CC">
      <w:pPr>
        <w:rPr>
          <w:rFonts w:ascii="Arial" w:hAnsi="Arial" w:cs="Arial"/>
        </w:rPr>
      </w:pPr>
    </w:p>
    <w:p w14:paraId="5EC9057B" w14:textId="5C8F8617" w:rsidR="002B5BCD" w:rsidRPr="00CD59CC" w:rsidRDefault="002B5BCD" w:rsidP="00CD59CC">
      <w:pPr>
        <w:rPr>
          <w:rFonts w:ascii="Arial" w:hAnsi="Arial" w:cs="Arial"/>
          <w:i/>
        </w:rPr>
      </w:pPr>
      <w:r w:rsidRPr="00CD59CC">
        <w:rPr>
          <w:rFonts w:ascii="Arial" w:hAnsi="Arial" w:cs="Arial"/>
          <w:i/>
        </w:rPr>
        <w:t xml:space="preserve">Provide a list of any </w:t>
      </w:r>
      <w:r w:rsidRPr="00CD59CC">
        <w:rPr>
          <w:rFonts w:ascii="Arial" w:hAnsi="Arial" w:cs="Arial"/>
          <w:i/>
          <w:u w:val="single"/>
        </w:rPr>
        <w:t>important</w:t>
      </w:r>
      <w:r w:rsidRPr="00CD59CC">
        <w:rPr>
          <w:rFonts w:ascii="Arial" w:hAnsi="Arial" w:cs="Arial"/>
          <w:i/>
        </w:rPr>
        <w:t xml:space="preserve"> case-law in </w:t>
      </w:r>
      <w:r w:rsidRPr="00CD59CC">
        <w:rPr>
          <w:rFonts w:ascii="Arial" w:hAnsi="Arial" w:cs="Arial"/>
          <w:b/>
          <w:i/>
        </w:rPr>
        <w:t>201</w:t>
      </w:r>
      <w:r w:rsidR="005A5F6B" w:rsidRPr="00CD59CC">
        <w:rPr>
          <w:rFonts w:ascii="Arial" w:hAnsi="Arial" w:cs="Arial"/>
          <w:b/>
          <w:i/>
        </w:rPr>
        <w:t>3</w:t>
      </w:r>
      <w:r w:rsidRPr="00CD59CC">
        <w:rPr>
          <w:rFonts w:ascii="Arial" w:hAnsi="Arial" w:cs="Arial"/>
          <w:i/>
        </w:rPr>
        <w:t xml:space="preserve"> within the national legal system relating to the application and interpretation of the Directives. (The </w:t>
      </w:r>
      <w:r w:rsidRPr="00CD59CC">
        <w:rPr>
          <w:rFonts w:ascii="Arial" w:hAnsi="Arial" w:cs="Arial"/>
          <w:b/>
          <w:i/>
        </w:rPr>
        <w:t>older case-law mentioned in the previous report should be moved to Annex 3)</w:t>
      </w:r>
      <w:r w:rsidRPr="00CD59CC">
        <w:rPr>
          <w:rFonts w:ascii="Arial" w:hAnsi="Arial" w:cs="Arial"/>
          <w:i/>
        </w:rPr>
        <w:t xml:space="preserve">. </w:t>
      </w:r>
      <w:r w:rsidR="00416B77" w:rsidRPr="00CD59CC">
        <w:rPr>
          <w:rFonts w:ascii="Arial" w:hAnsi="Arial" w:cs="Arial"/>
          <w:i/>
        </w:rPr>
        <w:t xml:space="preserve">Please </w:t>
      </w:r>
      <w:r w:rsidR="0004084E" w:rsidRPr="00CD59CC">
        <w:rPr>
          <w:rFonts w:ascii="Arial" w:hAnsi="Arial" w:cs="Arial"/>
          <w:i/>
        </w:rPr>
        <w:t>ensure a follow</w:t>
      </w:r>
      <w:r w:rsidR="00416B77" w:rsidRPr="00CD59CC">
        <w:rPr>
          <w:rFonts w:ascii="Arial" w:hAnsi="Arial" w:cs="Arial"/>
          <w:i/>
        </w:rPr>
        <w:t xml:space="preserve">-up </w:t>
      </w:r>
      <w:r w:rsidR="0004084E" w:rsidRPr="00CD59CC">
        <w:rPr>
          <w:rFonts w:ascii="Arial" w:hAnsi="Arial" w:cs="Arial"/>
          <w:i/>
        </w:rPr>
        <w:t>of previous cases if these</w:t>
      </w:r>
      <w:r w:rsidR="00416B77" w:rsidRPr="00CD59CC">
        <w:rPr>
          <w:rFonts w:ascii="Arial" w:hAnsi="Arial" w:cs="Arial"/>
          <w:i/>
        </w:rPr>
        <w:t xml:space="preserve"> are going to higher courts. </w:t>
      </w:r>
      <w:r w:rsidRPr="00CD59CC">
        <w:rPr>
          <w:rFonts w:ascii="Arial" w:hAnsi="Arial" w:cs="Arial"/>
          <w:i/>
        </w:rPr>
        <w:t>This should take the following format:</w:t>
      </w:r>
    </w:p>
    <w:p w14:paraId="60E41B52" w14:textId="77777777" w:rsidR="002B5BCD" w:rsidRPr="00CD59CC" w:rsidRDefault="002B5BCD" w:rsidP="00CD59CC">
      <w:pPr>
        <w:rPr>
          <w:rFonts w:ascii="Arial" w:hAnsi="Arial" w:cs="Arial"/>
          <w:iCs/>
        </w:rPr>
      </w:pPr>
    </w:p>
    <w:p w14:paraId="29F8F840" w14:textId="77777777" w:rsidR="002B5BCD" w:rsidRPr="00CD59CC" w:rsidRDefault="002B5BCD" w:rsidP="00CD59CC">
      <w:pPr>
        <w:rPr>
          <w:rFonts w:ascii="Arial" w:hAnsi="Arial" w:cs="Arial"/>
          <w:iCs/>
        </w:rPr>
      </w:pPr>
      <w:r w:rsidRPr="00CD59CC">
        <w:rPr>
          <w:rFonts w:ascii="Arial" w:hAnsi="Arial" w:cs="Arial"/>
          <w:b/>
          <w:iCs/>
        </w:rPr>
        <w:t>Name of the court</w:t>
      </w:r>
      <w:r w:rsidR="005A5F6B" w:rsidRPr="00FC01BB">
        <w:rPr>
          <w:rFonts w:ascii="Arial" w:hAnsi="Arial" w:cs="Arial"/>
          <w:b/>
          <w:iCs/>
        </w:rPr>
        <w:t>:</w:t>
      </w:r>
      <w:r w:rsidR="005A5F6B" w:rsidRPr="00CD59CC">
        <w:rPr>
          <w:rFonts w:ascii="Arial" w:hAnsi="Arial" w:cs="Arial"/>
          <w:b/>
          <w:iCs/>
        </w:rPr>
        <w:t xml:space="preserve"> </w:t>
      </w:r>
      <w:r w:rsidR="007D248D" w:rsidRPr="00CD59CC">
        <w:rPr>
          <w:rFonts w:ascii="Arial" w:hAnsi="Arial" w:cs="Arial"/>
          <w:iCs/>
        </w:rPr>
        <w:t>Constitutional Court</w:t>
      </w:r>
    </w:p>
    <w:p w14:paraId="4F587276" w14:textId="77777777" w:rsidR="002B5BCD" w:rsidRPr="00BB4E9F" w:rsidRDefault="002B5BCD" w:rsidP="00CD59CC">
      <w:pPr>
        <w:pStyle w:val="BodyTextIndent"/>
        <w:rPr>
          <w:rFonts w:ascii="Arial" w:hAnsi="Arial"/>
          <w:i/>
        </w:rPr>
      </w:pPr>
      <w:r w:rsidRPr="00CD59CC">
        <w:rPr>
          <w:rFonts w:ascii="Arial" w:hAnsi="Arial" w:cs="Arial"/>
          <w:b/>
          <w:szCs w:val="24"/>
        </w:rPr>
        <w:t>Date of decis</w:t>
      </w:r>
      <w:r w:rsidR="007D248D" w:rsidRPr="00CD59CC">
        <w:rPr>
          <w:rFonts w:ascii="Arial" w:hAnsi="Arial" w:cs="Arial"/>
          <w:b/>
          <w:szCs w:val="24"/>
        </w:rPr>
        <w:t xml:space="preserve">ion: </w:t>
      </w:r>
      <w:r w:rsidR="007D248D" w:rsidRPr="00CD59CC">
        <w:rPr>
          <w:rFonts w:ascii="Arial" w:hAnsi="Arial" w:cs="Arial"/>
          <w:szCs w:val="24"/>
        </w:rPr>
        <w:t>17 June 2013</w:t>
      </w:r>
    </w:p>
    <w:p w14:paraId="0F2BF016" w14:textId="77777777" w:rsidR="002B5BCD" w:rsidRPr="00BB4E9F" w:rsidRDefault="002B5BCD" w:rsidP="00CD59CC">
      <w:pPr>
        <w:rPr>
          <w:rFonts w:ascii="Arial" w:hAnsi="Arial"/>
        </w:rPr>
      </w:pPr>
      <w:r w:rsidRPr="00CD59CC">
        <w:rPr>
          <w:rFonts w:ascii="Arial" w:hAnsi="Arial" w:cs="Arial"/>
          <w:b/>
          <w:iCs/>
        </w:rPr>
        <w:t>Name of the parties</w:t>
      </w:r>
      <w:r w:rsidR="007D248D" w:rsidRPr="00FC01BB">
        <w:rPr>
          <w:rFonts w:ascii="Arial" w:hAnsi="Arial" w:cs="Arial"/>
          <w:b/>
          <w:iCs/>
        </w:rPr>
        <w:t>:</w:t>
      </w:r>
      <w:r w:rsidR="007D248D" w:rsidRPr="00CD59CC">
        <w:rPr>
          <w:rFonts w:ascii="Arial" w:hAnsi="Arial" w:cs="Arial"/>
          <w:b/>
          <w:iCs/>
        </w:rPr>
        <w:t xml:space="preserve"> </w:t>
      </w:r>
      <w:r w:rsidR="00F7103B" w:rsidRPr="00CD59CC">
        <w:rPr>
          <w:rFonts w:ascii="Arial" w:hAnsi="Arial" w:cs="Arial"/>
          <w:iCs/>
        </w:rPr>
        <w:t>Chance for Children Foundation v. Local Council of Győr</w:t>
      </w:r>
    </w:p>
    <w:p w14:paraId="23A63FF4" w14:textId="091810D4" w:rsidR="002B5BCD" w:rsidRPr="00CD59CC" w:rsidRDefault="002B5BCD" w:rsidP="00CD59CC">
      <w:pPr>
        <w:pStyle w:val="BodyTextIndent"/>
        <w:ind w:left="0" w:firstLine="0"/>
        <w:rPr>
          <w:rFonts w:ascii="Arial" w:hAnsi="Arial" w:cs="Arial"/>
          <w:szCs w:val="24"/>
        </w:rPr>
      </w:pPr>
      <w:r w:rsidRPr="00CD59CC">
        <w:rPr>
          <w:rFonts w:ascii="Arial" w:hAnsi="Arial" w:cs="Arial"/>
          <w:b/>
          <w:szCs w:val="24"/>
        </w:rPr>
        <w:t>Reference number</w:t>
      </w:r>
      <w:r w:rsidR="007D248D" w:rsidRPr="00FC01BB">
        <w:rPr>
          <w:rFonts w:ascii="Arial" w:hAnsi="Arial" w:cs="Arial"/>
          <w:b/>
          <w:szCs w:val="24"/>
        </w:rPr>
        <w:t>:</w:t>
      </w:r>
      <w:r w:rsidR="007D248D" w:rsidRPr="00CD59CC">
        <w:rPr>
          <w:rFonts w:ascii="Arial" w:hAnsi="Arial" w:cs="Arial"/>
          <w:szCs w:val="24"/>
        </w:rPr>
        <w:t xml:space="preserve"> IV/03311/2012</w:t>
      </w:r>
    </w:p>
    <w:p w14:paraId="3BF043D1" w14:textId="4965AE30" w:rsidR="002B5BCD" w:rsidRPr="00CD59CC" w:rsidRDefault="002B5BCD" w:rsidP="00CD59CC">
      <w:pPr>
        <w:pStyle w:val="BodyTextIndent"/>
        <w:ind w:left="0" w:firstLine="0"/>
        <w:rPr>
          <w:rFonts w:ascii="Arial" w:hAnsi="Arial" w:cs="Arial"/>
          <w:szCs w:val="24"/>
        </w:rPr>
      </w:pPr>
      <w:r w:rsidRPr="00CD59CC">
        <w:rPr>
          <w:rFonts w:ascii="Arial" w:hAnsi="Arial" w:cs="Arial"/>
          <w:b/>
          <w:szCs w:val="24"/>
        </w:rPr>
        <w:t>Address of the webpage</w:t>
      </w:r>
      <w:r w:rsidR="007D248D" w:rsidRPr="00FC01BB">
        <w:rPr>
          <w:rFonts w:ascii="Arial" w:hAnsi="Arial" w:cs="Arial"/>
          <w:b/>
          <w:szCs w:val="24"/>
        </w:rPr>
        <w:t>:</w:t>
      </w:r>
      <w:r w:rsidR="007D248D" w:rsidRPr="00CD59CC">
        <w:rPr>
          <w:rFonts w:ascii="Arial" w:hAnsi="Arial" w:cs="Arial"/>
          <w:szCs w:val="24"/>
        </w:rPr>
        <w:t xml:space="preserve"> </w:t>
      </w:r>
      <w:hyperlink r:id="rId16" w:history="1">
        <w:r w:rsidR="007D248D" w:rsidRPr="00FC01BB">
          <w:rPr>
            <w:rStyle w:val="Hyperlink"/>
            <w:rFonts w:ascii="Arial" w:hAnsi="Arial" w:cs="Arial"/>
            <w:szCs w:val="24"/>
          </w:rPr>
          <w:t>http://public.mkab.hu/dev/dontesek.nsf/0/BA380DEF33986232C1257ADA0052495E?OpenDocument</w:t>
        </w:r>
      </w:hyperlink>
      <w:r w:rsidR="00FC01BB">
        <w:rPr>
          <w:rFonts w:ascii="Arial" w:hAnsi="Arial" w:cs="Arial"/>
          <w:szCs w:val="24"/>
        </w:rPr>
        <w:t>.</w:t>
      </w:r>
    </w:p>
    <w:p w14:paraId="0B666A0B" w14:textId="77777777" w:rsidR="00F7103B" w:rsidRPr="00CD59CC" w:rsidRDefault="002B5BCD" w:rsidP="00CD59CC">
      <w:pPr>
        <w:rPr>
          <w:rFonts w:ascii="Arial" w:hAnsi="Arial" w:cs="Arial"/>
          <w:iCs/>
        </w:rPr>
      </w:pPr>
      <w:r w:rsidRPr="00CD59CC">
        <w:rPr>
          <w:rFonts w:ascii="Arial" w:hAnsi="Arial" w:cs="Arial"/>
          <w:b/>
          <w:iCs/>
        </w:rPr>
        <w:lastRenderedPageBreak/>
        <w:t>Brief summary</w:t>
      </w:r>
      <w:r w:rsidR="00F7103B" w:rsidRPr="00FC01BB">
        <w:rPr>
          <w:rFonts w:ascii="Arial" w:hAnsi="Arial" w:cs="Arial"/>
          <w:b/>
          <w:iCs/>
        </w:rPr>
        <w:t>:</w:t>
      </w:r>
      <w:r w:rsidR="00F7103B" w:rsidRPr="00CD59CC">
        <w:rPr>
          <w:rFonts w:ascii="Arial" w:hAnsi="Arial" w:cs="Arial"/>
          <w:iCs/>
        </w:rPr>
        <w:t xml:space="preserve"> </w:t>
      </w:r>
      <w:r w:rsidR="00412D30" w:rsidRPr="00CD59CC">
        <w:rPr>
          <w:rFonts w:ascii="Arial" w:hAnsi="Arial" w:cs="Arial"/>
          <w:iCs/>
        </w:rPr>
        <w:t xml:space="preserve">The Chance for Children Foundation (CFCF) </w:t>
      </w:r>
      <w:r w:rsidR="00F7103B" w:rsidRPr="00CD59CC">
        <w:rPr>
          <w:rFonts w:ascii="Arial" w:hAnsi="Arial" w:cs="Arial"/>
          <w:iCs/>
        </w:rPr>
        <w:t xml:space="preserve">initiated an actio popularis claim against a local school where Roma pupils were educated in a segregated manner. After a series of appeals the case reached the Curia (Hungary’s supreme court), which established that although segregation had indeed taken place it was not in the courts’ power to order that the segregation be ended, as it might eventually make it impossible for the school to continue to operate, and it was not possible to deliver a judicial order in a civil lawsuit which effectively means the closing of a school. The </w:t>
      </w:r>
      <w:r w:rsidR="00412D30" w:rsidRPr="00CD59CC">
        <w:rPr>
          <w:rFonts w:ascii="Arial" w:hAnsi="Arial" w:cs="Arial"/>
          <w:iCs/>
        </w:rPr>
        <w:t>CFCF</w:t>
      </w:r>
      <w:r w:rsidR="00F7103B" w:rsidRPr="00CD59CC">
        <w:rPr>
          <w:rFonts w:ascii="Arial" w:hAnsi="Arial" w:cs="Arial"/>
          <w:iCs/>
        </w:rPr>
        <w:t xml:space="preserve"> filed a complaint with the Constitutional Court, claiming that the Curia’s decision had violated the pupils’ constitutional rights to human dignity, non-discrimination and adequate moral and intellectual development, as well as their right to an effective remedy and access to court. (In terms of the pertaining regulation, the Constitutional Court may quash the decision of any ordinary court, if it applies a legal norm in an unconstitutional manner.)</w:t>
      </w:r>
    </w:p>
    <w:p w14:paraId="72FED58D" w14:textId="77777777" w:rsidR="00F7103B" w:rsidRPr="00CD59CC" w:rsidRDefault="00F7103B" w:rsidP="00CD59CC">
      <w:pPr>
        <w:rPr>
          <w:rFonts w:ascii="Arial" w:hAnsi="Arial" w:cs="Arial"/>
          <w:iCs/>
        </w:rPr>
      </w:pPr>
    </w:p>
    <w:p w14:paraId="35536CD9" w14:textId="77777777" w:rsidR="002B5BCD" w:rsidRPr="00CD59CC" w:rsidRDefault="00F7103B" w:rsidP="00CD59CC">
      <w:pPr>
        <w:rPr>
          <w:rFonts w:ascii="Arial" w:hAnsi="Arial" w:cs="Arial"/>
          <w:iCs/>
        </w:rPr>
      </w:pPr>
      <w:r w:rsidRPr="00CD59CC">
        <w:rPr>
          <w:rFonts w:ascii="Arial" w:hAnsi="Arial" w:cs="Arial"/>
          <w:iCs/>
        </w:rPr>
        <w:t>In its decision the Constitutional Court declared the complaint inadmissible on the basis that only natural and legal persons concerned by the actual individual case may file a constitutional complaint against a court decision. Since it is not the NGO that is actually concerned by the segregating practice, (i.e. the Curia’s decision concerns the constitutional rights of persons other than the NGO – i.e. the pupils) it does not have a standing before the Constitutional Court. Two judges (out of 15) had a dissenting opinion, emphasising that the possibility of actio popularis claims has been introduced into the Hungarian legal system exactly on the basis that members of the most marginalised groups are usually not in the position to take action against widespread discriminative practices. If the rules guiding the submission of constitutional complaints are interpreted in a way that excludes NGO’s from turning to the Constitutional Court after an actio popularis case has been decided by the ordinary courts, it renders the constitutional protection against discriminative practices void. Therefore, according to the dissenting judges, the term “concerned” should be interpreted as to enable associations, organisations or other legal entities, which have a legitimate interest in ensuring respect for the principle of non-discrimination to file constitutional complaints.</w:t>
      </w:r>
    </w:p>
    <w:p w14:paraId="5C838697" w14:textId="77777777" w:rsidR="00412D30" w:rsidRPr="00CD59CC" w:rsidRDefault="00412D30" w:rsidP="00CD59CC">
      <w:pPr>
        <w:rPr>
          <w:rFonts w:ascii="Arial" w:hAnsi="Arial" w:cs="Arial"/>
          <w:iCs/>
        </w:rPr>
      </w:pPr>
    </w:p>
    <w:p w14:paraId="2AA26B51" w14:textId="54D92A42" w:rsidR="00C8622C" w:rsidRPr="00CD59CC" w:rsidRDefault="00412D30" w:rsidP="00CD59CC">
      <w:pPr>
        <w:rPr>
          <w:rFonts w:ascii="Arial" w:hAnsi="Arial" w:cs="Arial"/>
          <w:iCs/>
        </w:rPr>
      </w:pPr>
      <w:r w:rsidRPr="00CD59CC">
        <w:rPr>
          <w:rFonts w:ascii="Arial" w:hAnsi="Arial" w:cs="Arial"/>
        </w:rPr>
        <w:t xml:space="preserve">The </w:t>
      </w:r>
      <w:r w:rsidRPr="00CD59CC">
        <w:rPr>
          <w:rFonts w:ascii="Arial" w:hAnsi="Arial" w:cs="Arial"/>
          <w:iCs/>
        </w:rPr>
        <w:t>CFCF made an application to the ECtHR claiming that the exclusion of its standing before the Constitutional Court constitutes a violation of its rights under Article 6 of the European Convention of Human Rights</w:t>
      </w:r>
      <w:r w:rsidR="003D226A" w:rsidRPr="00CD59CC">
        <w:rPr>
          <w:rFonts w:ascii="Arial" w:hAnsi="Arial" w:cs="Arial"/>
          <w:iCs/>
        </w:rPr>
        <w:t>, however, the application (no. 784/14) was rejected. The ECtHR has found that its own rule on victim status tallies with that of the Constitutional Court, and it chose not to address the discrepancy between the legal standing of NGOs in ordinary Hungarian courts and the Constitutional Court.</w:t>
      </w:r>
    </w:p>
    <w:p w14:paraId="33FBB9CD" w14:textId="77777777" w:rsidR="003D226A" w:rsidRPr="00CD59CC" w:rsidRDefault="003D226A" w:rsidP="00CD59CC">
      <w:pPr>
        <w:rPr>
          <w:rFonts w:ascii="Arial" w:hAnsi="Arial" w:cs="Arial"/>
          <w:iCs/>
        </w:rPr>
      </w:pPr>
    </w:p>
    <w:p w14:paraId="5B13A9DD" w14:textId="1BF23BBD" w:rsidR="00C8622C" w:rsidRPr="00CD59CC" w:rsidRDefault="00C8622C" w:rsidP="00CD59CC">
      <w:pPr>
        <w:rPr>
          <w:rFonts w:ascii="Arial" w:hAnsi="Arial" w:cs="Arial"/>
          <w:iCs/>
        </w:rPr>
      </w:pPr>
      <w:r w:rsidRPr="00CD59CC">
        <w:rPr>
          <w:rFonts w:ascii="Arial" w:hAnsi="Arial" w:cs="Arial"/>
          <w:b/>
          <w:iCs/>
        </w:rPr>
        <w:t>Name of the court</w:t>
      </w:r>
      <w:r w:rsidRPr="00FC01BB">
        <w:rPr>
          <w:rFonts w:ascii="Arial" w:hAnsi="Arial" w:cs="Arial"/>
          <w:b/>
          <w:iCs/>
        </w:rPr>
        <w:t>:</w:t>
      </w:r>
      <w:r w:rsidRPr="00CD59CC">
        <w:rPr>
          <w:rFonts w:ascii="Arial" w:hAnsi="Arial" w:cs="Arial"/>
          <w:b/>
          <w:iCs/>
        </w:rPr>
        <w:t xml:space="preserve"> </w:t>
      </w:r>
      <w:r w:rsidRPr="00CD59CC">
        <w:rPr>
          <w:rFonts w:ascii="Arial" w:hAnsi="Arial" w:cs="Arial"/>
          <w:iCs/>
        </w:rPr>
        <w:t>Curia (supreme court)</w:t>
      </w:r>
    </w:p>
    <w:p w14:paraId="1C686C90" w14:textId="36EA73CA" w:rsidR="00C8622C" w:rsidRPr="00BB4E9F" w:rsidRDefault="00C8622C" w:rsidP="00CD59CC">
      <w:pPr>
        <w:pStyle w:val="BodyTextIndent"/>
        <w:rPr>
          <w:rFonts w:ascii="Arial" w:hAnsi="Arial"/>
          <w:i/>
        </w:rPr>
      </w:pPr>
      <w:r w:rsidRPr="00CD59CC">
        <w:rPr>
          <w:rFonts w:ascii="Arial" w:hAnsi="Arial" w:cs="Arial"/>
          <w:b/>
          <w:szCs w:val="24"/>
        </w:rPr>
        <w:t xml:space="preserve">Date of decision: </w:t>
      </w:r>
      <w:r w:rsidR="004214C3" w:rsidRPr="00CD59CC">
        <w:rPr>
          <w:rFonts w:ascii="Arial" w:hAnsi="Arial" w:cs="Arial"/>
          <w:szCs w:val="24"/>
        </w:rPr>
        <w:t>19 June 2013</w:t>
      </w:r>
    </w:p>
    <w:p w14:paraId="6D198BA7" w14:textId="77777777" w:rsidR="00C8622C" w:rsidRPr="00CD59CC" w:rsidRDefault="00C8622C" w:rsidP="00CD59CC">
      <w:pPr>
        <w:rPr>
          <w:rFonts w:ascii="Arial" w:hAnsi="Arial" w:cs="Arial"/>
          <w:iCs/>
        </w:rPr>
      </w:pPr>
      <w:r w:rsidRPr="00CD59CC">
        <w:rPr>
          <w:rFonts w:ascii="Arial" w:hAnsi="Arial" w:cs="Arial"/>
          <w:b/>
          <w:iCs/>
        </w:rPr>
        <w:t>Name of the parties</w:t>
      </w:r>
      <w:r w:rsidRPr="00FC01BB">
        <w:rPr>
          <w:rFonts w:ascii="Arial" w:hAnsi="Arial" w:cs="Arial"/>
          <w:b/>
          <w:iCs/>
        </w:rPr>
        <w:t>:</w:t>
      </w:r>
      <w:r w:rsidRPr="00CD59CC">
        <w:rPr>
          <w:rFonts w:ascii="Arial" w:hAnsi="Arial" w:cs="Arial"/>
          <w:b/>
          <w:iCs/>
        </w:rPr>
        <w:t xml:space="preserve"> </w:t>
      </w:r>
      <w:r w:rsidR="004214C3" w:rsidRPr="00CD59CC">
        <w:rPr>
          <w:rFonts w:ascii="Arial" w:hAnsi="Arial" w:cs="Arial"/>
          <w:iCs/>
        </w:rPr>
        <w:t>X v. Volánbusz Zrt.</w:t>
      </w:r>
    </w:p>
    <w:p w14:paraId="080F807B" w14:textId="77777777" w:rsidR="00C8622C" w:rsidRPr="00CD59CC" w:rsidRDefault="00C8622C" w:rsidP="00CD59CC">
      <w:pPr>
        <w:pStyle w:val="BodyTextIndent"/>
        <w:ind w:left="0" w:firstLine="0"/>
        <w:rPr>
          <w:rFonts w:ascii="Arial" w:hAnsi="Arial" w:cs="Arial"/>
          <w:szCs w:val="24"/>
        </w:rPr>
      </w:pPr>
      <w:r w:rsidRPr="00CD59CC">
        <w:rPr>
          <w:rFonts w:ascii="Arial" w:hAnsi="Arial" w:cs="Arial"/>
          <w:b/>
          <w:szCs w:val="24"/>
        </w:rPr>
        <w:t>Reference number</w:t>
      </w:r>
      <w:r w:rsidRPr="00FC01BB">
        <w:rPr>
          <w:rFonts w:ascii="Arial" w:hAnsi="Arial" w:cs="Arial"/>
          <w:b/>
          <w:szCs w:val="24"/>
        </w:rPr>
        <w:t>:</w:t>
      </w:r>
      <w:r w:rsidRPr="00CD59CC">
        <w:rPr>
          <w:rFonts w:ascii="Arial" w:hAnsi="Arial" w:cs="Arial"/>
          <w:szCs w:val="24"/>
        </w:rPr>
        <w:t xml:space="preserve"> </w:t>
      </w:r>
      <w:r w:rsidR="004214C3" w:rsidRPr="00CD59CC">
        <w:rPr>
          <w:rFonts w:ascii="Arial" w:hAnsi="Arial" w:cs="Arial"/>
          <w:szCs w:val="24"/>
        </w:rPr>
        <w:t>Pfv.IV.20.104/2013/4</w:t>
      </w:r>
    </w:p>
    <w:p w14:paraId="55C09712" w14:textId="77777777" w:rsidR="00C8622C" w:rsidRPr="00FC01BB" w:rsidRDefault="00C8622C" w:rsidP="00FC01BB">
      <w:pPr>
        <w:pStyle w:val="BodyTextIndent"/>
        <w:ind w:left="0" w:firstLine="0"/>
        <w:rPr>
          <w:rFonts w:ascii="Arial" w:hAnsi="Arial" w:cs="Arial"/>
          <w:szCs w:val="24"/>
        </w:rPr>
      </w:pPr>
      <w:r w:rsidRPr="00CD59CC">
        <w:rPr>
          <w:rFonts w:ascii="Arial" w:hAnsi="Arial" w:cs="Arial"/>
          <w:b/>
          <w:szCs w:val="24"/>
        </w:rPr>
        <w:t>Address of the webpage</w:t>
      </w:r>
      <w:r w:rsidR="00FC01BB" w:rsidRPr="00FC01BB">
        <w:rPr>
          <w:rFonts w:ascii="Arial" w:hAnsi="Arial" w:cs="Arial"/>
          <w:b/>
          <w:szCs w:val="24"/>
        </w:rPr>
        <w:t>:</w:t>
      </w:r>
      <w:r w:rsidR="00FC01BB">
        <w:rPr>
          <w:rFonts w:ascii="Arial" w:hAnsi="Arial" w:cs="Arial"/>
          <w:szCs w:val="24"/>
        </w:rPr>
        <w:t xml:space="preserve"> ---</w:t>
      </w:r>
    </w:p>
    <w:p w14:paraId="587063B5" w14:textId="77777777" w:rsidR="004214C3" w:rsidRPr="00CD59CC" w:rsidRDefault="00384160" w:rsidP="00CD59CC">
      <w:pPr>
        <w:rPr>
          <w:rFonts w:ascii="Arial" w:hAnsi="Arial" w:cs="Arial"/>
        </w:rPr>
      </w:pPr>
      <w:r w:rsidRPr="00384160">
        <w:rPr>
          <w:rFonts w:ascii="Arial" w:hAnsi="Arial" w:cs="Arial"/>
          <w:b/>
        </w:rPr>
        <w:lastRenderedPageBreak/>
        <w:t>Brief summary:</w:t>
      </w:r>
      <w:r>
        <w:rPr>
          <w:rFonts w:ascii="Arial" w:hAnsi="Arial" w:cs="Arial"/>
        </w:rPr>
        <w:t xml:space="preserve"> </w:t>
      </w:r>
      <w:r w:rsidR="004214C3" w:rsidRPr="00CD59CC">
        <w:rPr>
          <w:rFonts w:ascii="Arial" w:hAnsi="Arial" w:cs="Arial"/>
        </w:rPr>
        <w:t>T</w:t>
      </w:r>
      <w:r w:rsidR="00C8622C" w:rsidRPr="00CD59CC">
        <w:rPr>
          <w:rFonts w:ascii="Arial" w:hAnsi="Arial" w:cs="Arial"/>
        </w:rPr>
        <w:t xml:space="preserve">he blind plaintiff initiated a lawsuit against a transportation company because the bus terminal it operated was not accessible for persons with visual impairments. Although the construction permission for the old bus terminal’s reconstruction was issued in March 1999 (i.e. after the coming into force of </w:t>
      </w:r>
      <w:r w:rsidR="004214C3" w:rsidRPr="00CD59CC">
        <w:rPr>
          <w:rFonts w:ascii="Arial" w:hAnsi="Arial" w:cs="Arial"/>
        </w:rPr>
        <w:t>a law that prescribes that permission may only be issued for accessible buildings</w:t>
      </w:r>
      <w:r w:rsidR="00C8622C" w:rsidRPr="00CD59CC">
        <w:rPr>
          <w:rFonts w:ascii="Arial" w:hAnsi="Arial" w:cs="Arial"/>
        </w:rPr>
        <w:t xml:space="preserve">) and the reconstruction was completed in March 2003 (i.e. at a time when there were no </w:t>
      </w:r>
      <w:r w:rsidR="004214C3" w:rsidRPr="00CD59CC">
        <w:rPr>
          <w:rFonts w:ascii="Arial" w:hAnsi="Arial" w:cs="Arial"/>
        </w:rPr>
        <w:t xml:space="preserve">temporary </w:t>
      </w:r>
      <w:r w:rsidR="00C8622C" w:rsidRPr="00CD59CC">
        <w:rPr>
          <w:rFonts w:ascii="Arial" w:hAnsi="Arial" w:cs="Arial"/>
        </w:rPr>
        <w:t xml:space="preserve">limitations on the duty to provide accessibility), the new bus terminal was designed and built in a manner that while it was accessible for wheelchair users, </w:t>
      </w:r>
      <w:r w:rsidR="004214C3" w:rsidRPr="00CD59CC">
        <w:rPr>
          <w:rFonts w:ascii="Arial" w:hAnsi="Arial" w:cs="Arial"/>
        </w:rPr>
        <w:t xml:space="preserve">however, </w:t>
      </w:r>
      <w:r w:rsidR="00C8622C" w:rsidRPr="00CD59CC">
        <w:rPr>
          <w:rFonts w:ascii="Arial" w:hAnsi="Arial" w:cs="Arial"/>
        </w:rPr>
        <w:t xml:space="preserve">persons with visual impairments could not use it without assistance (the fact that the terminal was not accessible for persons with visual impairments was fully confirmed by the expert appointed in the court procedure). </w:t>
      </w:r>
    </w:p>
    <w:p w14:paraId="6AADEC3F" w14:textId="77777777" w:rsidR="004214C3" w:rsidRPr="00CD59CC" w:rsidRDefault="004214C3" w:rsidP="00CD59CC">
      <w:pPr>
        <w:rPr>
          <w:rFonts w:ascii="Arial" w:hAnsi="Arial" w:cs="Arial"/>
        </w:rPr>
      </w:pPr>
    </w:p>
    <w:p w14:paraId="2D4D1065" w14:textId="77777777" w:rsidR="004214C3" w:rsidRPr="00CD59CC" w:rsidRDefault="004214C3" w:rsidP="00CD59CC">
      <w:pPr>
        <w:rPr>
          <w:rFonts w:ascii="Arial" w:hAnsi="Arial" w:cs="Arial"/>
        </w:rPr>
      </w:pPr>
      <w:r w:rsidRPr="00CD59CC">
        <w:rPr>
          <w:rFonts w:ascii="Arial" w:hAnsi="Arial" w:cs="Arial"/>
        </w:rPr>
        <w:t xml:space="preserve">The plaintiff requested that the violation be declared, the company be obliged to make the terminal accessible and pay to the plaintiff damages in the amount of HUF 500,000 (EUR </w:t>
      </w:r>
      <w:r w:rsidR="00716608" w:rsidRPr="00CD59CC">
        <w:rPr>
          <w:rFonts w:ascii="Arial" w:hAnsi="Arial" w:cs="Arial"/>
        </w:rPr>
        <w:t>1,670). B</w:t>
      </w:r>
      <w:r w:rsidRPr="00CD59CC">
        <w:rPr>
          <w:rFonts w:ascii="Arial" w:hAnsi="Arial" w:cs="Arial"/>
        </w:rPr>
        <w:t xml:space="preserve">oth </w:t>
      </w:r>
      <w:r w:rsidR="00716608" w:rsidRPr="00CD59CC">
        <w:rPr>
          <w:rFonts w:ascii="Arial" w:hAnsi="Arial" w:cs="Arial"/>
        </w:rPr>
        <w:t xml:space="preserve">the </w:t>
      </w:r>
      <w:r w:rsidRPr="00CD59CC">
        <w:rPr>
          <w:rFonts w:ascii="Arial" w:hAnsi="Arial" w:cs="Arial"/>
        </w:rPr>
        <w:t xml:space="preserve">first and </w:t>
      </w:r>
      <w:r w:rsidR="00716608" w:rsidRPr="00CD59CC">
        <w:rPr>
          <w:rFonts w:ascii="Arial" w:hAnsi="Arial" w:cs="Arial"/>
        </w:rPr>
        <w:t xml:space="preserve">the </w:t>
      </w:r>
      <w:r w:rsidRPr="00CD59CC">
        <w:rPr>
          <w:rFonts w:ascii="Arial" w:hAnsi="Arial" w:cs="Arial"/>
        </w:rPr>
        <w:t>second instance</w:t>
      </w:r>
      <w:r w:rsidR="00716608" w:rsidRPr="00CD59CC">
        <w:rPr>
          <w:rFonts w:ascii="Arial" w:hAnsi="Arial" w:cs="Arial"/>
        </w:rPr>
        <w:t xml:space="preserve"> court rejected his claim</w:t>
      </w:r>
      <w:r w:rsidRPr="00CD59CC">
        <w:rPr>
          <w:rFonts w:ascii="Arial" w:hAnsi="Arial" w:cs="Arial"/>
        </w:rPr>
        <w:t>, after which he filed a motion with the Curia for the review of the final decision.</w:t>
      </w:r>
    </w:p>
    <w:p w14:paraId="007AAE90" w14:textId="77777777" w:rsidR="00C8622C" w:rsidRPr="00CD59CC" w:rsidRDefault="00C8622C" w:rsidP="00CD59CC">
      <w:pPr>
        <w:rPr>
          <w:rFonts w:ascii="Arial" w:hAnsi="Arial" w:cs="Arial"/>
        </w:rPr>
      </w:pPr>
    </w:p>
    <w:p w14:paraId="7D8782CE" w14:textId="77777777" w:rsidR="00C8622C" w:rsidRPr="00CD59CC" w:rsidRDefault="00C8622C" w:rsidP="00CD59CC">
      <w:pPr>
        <w:rPr>
          <w:rFonts w:ascii="Arial" w:hAnsi="Arial" w:cs="Arial"/>
          <w:iCs/>
        </w:rPr>
      </w:pPr>
      <w:r w:rsidRPr="00CD59CC">
        <w:rPr>
          <w:rFonts w:ascii="Arial" w:hAnsi="Arial" w:cs="Arial"/>
        </w:rPr>
        <w:t xml:space="preserve">In its </w:t>
      </w:r>
      <w:r w:rsidR="004214C3" w:rsidRPr="00CD59CC">
        <w:rPr>
          <w:rFonts w:ascii="Arial" w:hAnsi="Arial" w:cs="Arial"/>
        </w:rPr>
        <w:t>verdict</w:t>
      </w:r>
      <w:r w:rsidRPr="00CD59CC">
        <w:rPr>
          <w:rFonts w:ascii="Arial" w:hAnsi="Arial" w:cs="Arial"/>
        </w:rPr>
        <w:t xml:space="preserve"> no. Pfv.IV.20.104/2013/4 the Curia established that “there is no statutory provision prescribing that discrimination caused by the failure to guarantee accessibility may not be exempted under any circumstances”, and that although the deadline for ensuring accessibility had indeed expired on 1 January 2010 in relation to the bus terminal, “it is common knowledge that the reconstruction of all the buildings and external units of a bus terminal with such a heavy traffic with the aim of providing accessibility requires significant investment and time. Taking all this into account, it can be established that the fact the defendant has not solved all the problems raised by the plaintiff, can be regarded to have a reasonable economic ground directly related to the relevant legal relation.”</w:t>
      </w:r>
      <w:r w:rsidR="004214C3" w:rsidRPr="00CD59CC">
        <w:rPr>
          <w:rFonts w:ascii="Arial" w:hAnsi="Arial" w:cs="Arial"/>
        </w:rPr>
        <w:t xml:space="preserve"> On this basis, the Curia rejected the plaintiff’s claim.</w:t>
      </w:r>
    </w:p>
    <w:p w14:paraId="52B21764" w14:textId="77777777" w:rsidR="00F7103B" w:rsidRPr="00CD59CC" w:rsidRDefault="00F7103B" w:rsidP="00CD59CC">
      <w:pPr>
        <w:rPr>
          <w:rFonts w:ascii="Arial" w:hAnsi="Arial" w:cs="Arial"/>
          <w:iCs/>
        </w:rPr>
      </w:pPr>
    </w:p>
    <w:p w14:paraId="153834C4" w14:textId="77777777" w:rsidR="00F7103B" w:rsidRPr="00CD59CC" w:rsidRDefault="00F7103B" w:rsidP="00CD59CC">
      <w:pPr>
        <w:rPr>
          <w:rFonts w:ascii="Arial" w:hAnsi="Arial" w:cs="Arial"/>
          <w:iCs/>
        </w:rPr>
      </w:pPr>
      <w:r w:rsidRPr="00CD59CC">
        <w:rPr>
          <w:rFonts w:ascii="Arial" w:hAnsi="Arial" w:cs="Arial"/>
          <w:b/>
          <w:iCs/>
        </w:rPr>
        <w:t>Name of the court</w:t>
      </w:r>
      <w:r w:rsidRPr="00FC01BB">
        <w:rPr>
          <w:rFonts w:ascii="Arial" w:hAnsi="Arial" w:cs="Arial"/>
          <w:b/>
          <w:iCs/>
        </w:rPr>
        <w:t>:</w:t>
      </w:r>
      <w:r w:rsidRPr="00CD59CC">
        <w:rPr>
          <w:rFonts w:ascii="Arial" w:hAnsi="Arial" w:cs="Arial"/>
          <w:b/>
          <w:iCs/>
        </w:rPr>
        <w:t xml:space="preserve"> </w:t>
      </w:r>
      <w:r w:rsidRPr="00CD59CC">
        <w:rPr>
          <w:rFonts w:ascii="Arial" w:hAnsi="Arial" w:cs="Arial"/>
          <w:iCs/>
        </w:rPr>
        <w:t>Curia (supreme court)</w:t>
      </w:r>
    </w:p>
    <w:p w14:paraId="284D0A16" w14:textId="77777777" w:rsidR="00F7103B" w:rsidRPr="00CD59CC" w:rsidRDefault="00F7103B" w:rsidP="00CD59CC">
      <w:pPr>
        <w:pStyle w:val="BodyTextIndent"/>
        <w:rPr>
          <w:rFonts w:ascii="Arial" w:hAnsi="Arial" w:cs="Arial"/>
          <w:i/>
          <w:szCs w:val="24"/>
        </w:rPr>
      </w:pPr>
      <w:r w:rsidRPr="00CD59CC">
        <w:rPr>
          <w:rFonts w:ascii="Arial" w:hAnsi="Arial" w:cs="Arial"/>
          <w:b/>
          <w:szCs w:val="24"/>
        </w:rPr>
        <w:t xml:space="preserve">Date of decision: </w:t>
      </w:r>
      <w:r w:rsidRPr="00CD59CC">
        <w:rPr>
          <w:rFonts w:ascii="Arial" w:hAnsi="Arial" w:cs="Arial"/>
          <w:szCs w:val="24"/>
        </w:rPr>
        <w:t>15 October 2013</w:t>
      </w:r>
    </w:p>
    <w:p w14:paraId="2E88C164" w14:textId="5F8EEA52" w:rsidR="00F7103B" w:rsidRPr="00CD59CC" w:rsidRDefault="00F7103B" w:rsidP="00CD59CC">
      <w:pPr>
        <w:rPr>
          <w:rFonts w:ascii="Arial" w:hAnsi="Arial" w:cs="Arial"/>
          <w:iCs/>
        </w:rPr>
      </w:pPr>
      <w:r w:rsidRPr="00CD59CC">
        <w:rPr>
          <w:rFonts w:ascii="Arial" w:hAnsi="Arial" w:cs="Arial"/>
          <w:b/>
          <w:iCs/>
        </w:rPr>
        <w:t>Name of the parties</w:t>
      </w:r>
      <w:r w:rsidRPr="00FC01BB">
        <w:rPr>
          <w:rFonts w:ascii="Arial" w:hAnsi="Arial" w:cs="Arial"/>
          <w:b/>
          <w:iCs/>
        </w:rPr>
        <w:t>:</w:t>
      </w:r>
      <w:r w:rsidRPr="00CD59CC">
        <w:rPr>
          <w:rFonts w:ascii="Arial" w:hAnsi="Arial" w:cs="Arial"/>
          <w:b/>
          <w:iCs/>
        </w:rPr>
        <w:t xml:space="preserve"> </w:t>
      </w:r>
      <w:r w:rsidR="00811A58" w:rsidRPr="00CD59CC">
        <w:rPr>
          <w:rFonts w:ascii="Arial" w:hAnsi="Arial" w:cs="Arial"/>
          <w:iCs/>
        </w:rPr>
        <w:t>Hungarian Helsinki Committee</w:t>
      </w:r>
      <w:r w:rsidRPr="00CD59CC">
        <w:rPr>
          <w:rFonts w:ascii="Arial" w:hAnsi="Arial" w:cs="Arial"/>
          <w:iCs/>
        </w:rPr>
        <w:t xml:space="preserve"> v the Mayor of Kiskunlacháza</w:t>
      </w:r>
    </w:p>
    <w:p w14:paraId="4F6FD32C" w14:textId="516FE0A1" w:rsidR="00F7103B" w:rsidRPr="00CD59CC" w:rsidRDefault="00F7103B" w:rsidP="00CD59CC">
      <w:pPr>
        <w:pStyle w:val="BodyTextIndent"/>
        <w:ind w:left="0" w:firstLine="0"/>
        <w:rPr>
          <w:rFonts w:ascii="Arial" w:hAnsi="Arial" w:cs="Arial"/>
          <w:szCs w:val="24"/>
        </w:rPr>
      </w:pPr>
      <w:r w:rsidRPr="00CD59CC">
        <w:rPr>
          <w:rFonts w:ascii="Arial" w:hAnsi="Arial" w:cs="Arial"/>
          <w:b/>
          <w:szCs w:val="24"/>
        </w:rPr>
        <w:t>Reference number</w:t>
      </w:r>
      <w:r w:rsidRPr="00FC01BB">
        <w:rPr>
          <w:rFonts w:ascii="Arial" w:hAnsi="Arial" w:cs="Arial"/>
          <w:b/>
          <w:szCs w:val="24"/>
        </w:rPr>
        <w:t>:</w:t>
      </w:r>
      <w:r w:rsidRPr="00BB4E9F">
        <w:rPr>
          <w:rFonts w:ascii="Arial" w:hAnsi="Arial"/>
        </w:rPr>
        <w:t xml:space="preserve"> </w:t>
      </w:r>
      <w:r w:rsidRPr="00CD59CC">
        <w:rPr>
          <w:rFonts w:ascii="Arial" w:hAnsi="Arial" w:cs="Arial"/>
          <w:szCs w:val="24"/>
        </w:rPr>
        <w:t>Kfv.III.37.773.2012/6.</w:t>
      </w:r>
    </w:p>
    <w:p w14:paraId="10052185" w14:textId="4C096617" w:rsidR="00F7103B" w:rsidRPr="00CD59CC" w:rsidRDefault="00F7103B" w:rsidP="00CD59CC">
      <w:pPr>
        <w:pStyle w:val="BodyTextIndent"/>
        <w:ind w:left="0" w:firstLine="0"/>
        <w:rPr>
          <w:rFonts w:ascii="Arial" w:hAnsi="Arial" w:cs="Arial"/>
          <w:szCs w:val="24"/>
        </w:rPr>
      </w:pPr>
      <w:r w:rsidRPr="00CD59CC">
        <w:rPr>
          <w:rFonts w:ascii="Arial" w:hAnsi="Arial" w:cs="Arial"/>
          <w:b/>
          <w:szCs w:val="24"/>
        </w:rPr>
        <w:t>Address of the webpage</w:t>
      </w:r>
      <w:r w:rsidR="00FC01BB" w:rsidRPr="00BB4E9F">
        <w:rPr>
          <w:rFonts w:ascii="Arial" w:hAnsi="Arial"/>
          <w:b/>
        </w:rPr>
        <w:t>:</w:t>
      </w:r>
      <w:r w:rsidR="00FC01BB">
        <w:rPr>
          <w:rFonts w:ascii="Arial" w:hAnsi="Arial" w:cs="Arial"/>
          <w:szCs w:val="24"/>
        </w:rPr>
        <w:t xml:space="preserve"> ---</w:t>
      </w:r>
    </w:p>
    <w:p w14:paraId="2FE39953" w14:textId="77777777" w:rsidR="00811A58" w:rsidRPr="00CD59CC" w:rsidRDefault="00F7103B" w:rsidP="00CD59CC">
      <w:pPr>
        <w:rPr>
          <w:rFonts w:ascii="Arial" w:hAnsi="Arial" w:cs="Arial"/>
        </w:rPr>
      </w:pPr>
      <w:r w:rsidRPr="00CD59CC">
        <w:rPr>
          <w:rFonts w:ascii="Arial" w:hAnsi="Arial" w:cs="Arial"/>
          <w:b/>
          <w:iCs/>
        </w:rPr>
        <w:t>Brief summary</w:t>
      </w:r>
      <w:r w:rsidRPr="00FC01BB">
        <w:rPr>
          <w:rFonts w:ascii="Arial" w:hAnsi="Arial" w:cs="Arial"/>
          <w:b/>
          <w:iCs/>
        </w:rPr>
        <w:t>:</w:t>
      </w:r>
      <w:r w:rsidR="00811A58" w:rsidRPr="00BB4E9F">
        <w:rPr>
          <w:rFonts w:ascii="Arial" w:hAnsi="Arial"/>
        </w:rPr>
        <w:t xml:space="preserve"> </w:t>
      </w:r>
      <w:r w:rsidR="00811A58" w:rsidRPr="00CD59CC">
        <w:rPr>
          <w:rFonts w:ascii="Arial" w:hAnsi="Arial" w:cs="Arial"/>
        </w:rPr>
        <w:t xml:space="preserve">In 2009, the mayor of Kiskunlacháza (Middle-Hungary Region) in relation to a murder of a young girl (with regard to which a non-Roma person was indicted finally) spoke at a public demonstration about the settlement’s population having had enough of ‘Roma aggression’ and made other statements – in the local newspaper and also in a national newspaper – giving the impression that in his view the murder had been committed by Roma people. Based on an </w:t>
      </w:r>
      <w:r w:rsidR="00811A58" w:rsidRPr="00CD59CC">
        <w:rPr>
          <w:rFonts w:ascii="Arial" w:hAnsi="Arial" w:cs="Arial"/>
          <w:i/>
        </w:rPr>
        <w:t>actio popularis</w:t>
      </w:r>
      <w:r w:rsidR="00811A58" w:rsidRPr="00CD59CC">
        <w:rPr>
          <w:rFonts w:ascii="Arial" w:hAnsi="Arial" w:cs="Arial"/>
        </w:rPr>
        <w:t xml:space="preserve"> claim by the Hungarian Helsinki Committee, on 19 January 2010, the Equal Treatment Authority established that harassment had been committed, forbade the continuation of the violation and ordered that the decision be made public. </w:t>
      </w:r>
    </w:p>
    <w:p w14:paraId="497DCCDC" w14:textId="77777777" w:rsidR="00811A58" w:rsidRPr="00CD59CC" w:rsidRDefault="00811A58" w:rsidP="00CD59CC">
      <w:pPr>
        <w:pStyle w:val="BodyText2"/>
        <w:jc w:val="left"/>
        <w:rPr>
          <w:rFonts w:ascii="Arial" w:hAnsi="Arial" w:cs="Arial"/>
        </w:rPr>
      </w:pPr>
    </w:p>
    <w:p w14:paraId="7A28E73D" w14:textId="1F9E65E3" w:rsidR="00811A58" w:rsidRPr="00CD59CC" w:rsidRDefault="00811A58" w:rsidP="00CD59CC">
      <w:pPr>
        <w:pStyle w:val="BodyText2"/>
        <w:jc w:val="left"/>
        <w:rPr>
          <w:rFonts w:ascii="Arial" w:hAnsi="Arial" w:cs="Arial"/>
        </w:rPr>
      </w:pPr>
      <w:r w:rsidRPr="00CD59CC">
        <w:rPr>
          <w:rFonts w:ascii="Arial" w:hAnsi="Arial" w:cs="Arial"/>
        </w:rPr>
        <w:t xml:space="preserve">The mayor filed a request for judicial review of the decision. On 4 October 2010, the Metropolitan Court quashed the Authority's decision and ordered a new procedure. </w:t>
      </w:r>
      <w:r w:rsidRPr="00CD59CC">
        <w:rPr>
          <w:rFonts w:ascii="Arial" w:hAnsi="Arial" w:cs="Arial"/>
        </w:rPr>
        <w:lastRenderedPageBreak/>
        <w:t>The court decision claimed that although the mayor had spoken and published using his official title of mayor, and although the demonstration was organized by the local council, the mayor's statements were not made in an official capacity. Furthermore, the Metropolitan Court stated the following: Article 4 of the ETA prescribes that the mayor shall be obliged to observe the requirement of equal treatment in his legal relations, and in the course of his proceedings and measures, but statements made at a rally or in newspapers may not be regarded as belonging to either of these three categories. Therefore, the mayor was not bound by the ETA in relation to his statements, so he cannot be held liable for harassment. The Authority and the Hungarian Helsinki Committee requested the Supreme Court to review the court's decision.</w:t>
      </w:r>
      <w:r w:rsidR="007B7640" w:rsidRPr="00CD59CC">
        <w:rPr>
          <w:rFonts w:ascii="Arial" w:hAnsi="Arial" w:cs="Arial"/>
        </w:rPr>
        <w:t xml:space="preserve"> </w:t>
      </w:r>
    </w:p>
    <w:p w14:paraId="0E3C0EC4" w14:textId="77777777" w:rsidR="00811A58" w:rsidRPr="00CD59CC" w:rsidRDefault="00811A58" w:rsidP="00CD59CC">
      <w:pPr>
        <w:pStyle w:val="BodyText2"/>
        <w:jc w:val="left"/>
        <w:rPr>
          <w:rFonts w:ascii="Arial" w:hAnsi="Arial" w:cs="Arial"/>
        </w:rPr>
      </w:pPr>
    </w:p>
    <w:p w14:paraId="310F3591" w14:textId="09F6CF14" w:rsidR="00811A58" w:rsidRPr="00CD59CC" w:rsidRDefault="00811A58" w:rsidP="00CD59CC">
      <w:pPr>
        <w:pStyle w:val="BodyText2"/>
        <w:jc w:val="left"/>
        <w:rPr>
          <w:rFonts w:ascii="Arial" w:hAnsi="Arial" w:cs="Arial"/>
        </w:rPr>
      </w:pPr>
      <w:r w:rsidRPr="00CD59CC">
        <w:rPr>
          <w:rFonts w:ascii="Arial" w:hAnsi="Arial" w:cs="Arial"/>
        </w:rPr>
        <w:t>In its decision dated 18 October 2011, the Supreme Court upheld the Metropolitan Court 's decision with amended reasoning. The Supreme Court established that the mayor had unquestionably made the statements in an official capacity. On the issue whether the making of such statements falls under any of the categories (legal relations, proceeding or measure) with regard to which the mayor shall respect the principle of equal treatment, the Supreme Court put forth that only those actions may be regarded as the proceedings or measures of the mayor (and/or the local council) that fall under their scope of competence in terms of the relevant laws. Therefore, in the repeated procedure, the Equal Treatment Authority shall examine and determine whether the making of public statements can be regarded as falling under any of the statutorily defined tasks/competences of the mayor and whether the making of such statements can be regarded as external acts that create “legally regulated social relations” between the members of the concerned group and the mayor. Furthermore, the Supreme Court instructed the Equal Treatment Authority to examine in the repeated procedure whether harassment can be committed against a group, and expressed its doubts about the issue pointing out that while the definition of all other forms of discrimination contains reference to “groups”, the definition of harassment only mentions “person”.</w:t>
      </w:r>
    </w:p>
    <w:p w14:paraId="2F86D6A4" w14:textId="77777777" w:rsidR="00811A58" w:rsidRPr="00CD59CC" w:rsidRDefault="00811A58" w:rsidP="00CD59CC">
      <w:pPr>
        <w:pStyle w:val="BodyText2"/>
        <w:jc w:val="left"/>
        <w:rPr>
          <w:rFonts w:ascii="Arial" w:hAnsi="Arial" w:cs="Arial"/>
        </w:rPr>
      </w:pPr>
    </w:p>
    <w:p w14:paraId="62E518AF" w14:textId="77777777" w:rsidR="00811A58" w:rsidRPr="00CD59CC" w:rsidRDefault="00811A58" w:rsidP="00CD59CC">
      <w:pPr>
        <w:pStyle w:val="BodyText2"/>
        <w:jc w:val="left"/>
        <w:rPr>
          <w:rFonts w:ascii="Arial" w:hAnsi="Arial" w:cs="Arial"/>
        </w:rPr>
      </w:pPr>
      <w:r w:rsidRPr="00CD59CC">
        <w:rPr>
          <w:rFonts w:ascii="Arial" w:hAnsi="Arial" w:cs="Arial"/>
        </w:rPr>
        <w:t xml:space="preserve">In the repeated procedure the Authority maintained its earlier decision and established on 20 April 2012 that the mayor’s statements had amounted to the harassment of the local Roma community. Reacting to the guidance of the Supreme Court, the Authority pointed out that under Article 8 of the Local Councils Act, local councils are responsible for ensuring the exercise of the rights of national and ethnic minorities, which include the right to live in peace in the given settlement. Furthermore, the Authority referred to Decision 961/B/1993 of the Constitutional Court, which declared that mayors fulfil a certain representative role (at different events, ceremonies, they represent the population of their constituency), which is part of their obligations under public law. Consequently, there are statutory functions which the mayor of Kiskunlacháza performed when speaking at a public demonstration, therefore, he falls under the ETA’s scope in relation to his statements. In addition, the Authority stated that not only direct and indirect discrimination, but also harassment can be committed against groups (and not only individuals). The Authority based this stance on the Reasons attached to the ETA’s Preamble and on </w:t>
      </w:r>
      <w:r w:rsidRPr="00CD59CC">
        <w:rPr>
          <w:rFonts w:ascii="Arial" w:hAnsi="Arial" w:cs="Arial"/>
        </w:rPr>
        <w:lastRenderedPageBreak/>
        <w:t xml:space="preserve">the fact that </w:t>
      </w:r>
      <w:r w:rsidRPr="00CD59CC">
        <w:rPr>
          <w:rFonts w:ascii="Arial" w:hAnsi="Arial" w:cs="Arial"/>
          <w:i/>
        </w:rPr>
        <w:t>actio popularis</w:t>
      </w:r>
      <w:r w:rsidRPr="00CD59CC">
        <w:rPr>
          <w:rFonts w:ascii="Arial" w:hAnsi="Arial" w:cs="Arial"/>
        </w:rPr>
        <w:t xml:space="preserve"> claims (that necessarily concern groups) are not excluded in relation to harassment. Based on the above, the Authority concluded that since (i) the ETA can be applied to the mayor’s statements, (ii) harassment can be committed against groups, and (iii) the mayor’s statements were definitely capable of creating a humiliating, threatening environment for the local Roma community, the mayor had committed harassment.</w:t>
      </w:r>
    </w:p>
    <w:p w14:paraId="09F0D9E1" w14:textId="77777777" w:rsidR="00811A58" w:rsidRPr="00CD59CC" w:rsidRDefault="00811A58" w:rsidP="00CD59CC">
      <w:pPr>
        <w:pStyle w:val="BodyText2"/>
        <w:jc w:val="left"/>
        <w:rPr>
          <w:rFonts w:ascii="Arial" w:hAnsi="Arial" w:cs="Arial"/>
        </w:rPr>
      </w:pPr>
    </w:p>
    <w:p w14:paraId="77E33A37" w14:textId="5C72EE35" w:rsidR="00F7103B" w:rsidRPr="00CD59CC" w:rsidRDefault="00811A58" w:rsidP="00CD59CC">
      <w:pPr>
        <w:pStyle w:val="BodyText2"/>
        <w:jc w:val="left"/>
        <w:rPr>
          <w:rFonts w:ascii="Arial" w:hAnsi="Arial" w:cs="Arial"/>
        </w:rPr>
      </w:pPr>
      <w:r w:rsidRPr="00CD59CC">
        <w:rPr>
          <w:rFonts w:ascii="Arial" w:hAnsi="Arial" w:cs="Arial"/>
        </w:rPr>
        <w:t xml:space="preserve">In its decision of 20 September 2012, the Metropolitan Court again quashed the Authority’s decision in a summary resolution claiming that the Authority had failed to follow the Supreme Court’s guidance in the repeated proceeding and that the court </w:t>
      </w:r>
      <w:r w:rsidR="00E820BA" w:rsidRPr="00CD59CC">
        <w:rPr>
          <w:rFonts w:ascii="Arial" w:hAnsi="Arial" w:cs="Arial"/>
        </w:rPr>
        <w:t>“</w:t>
      </w:r>
      <w:r w:rsidRPr="00CD59CC">
        <w:rPr>
          <w:rFonts w:ascii="Arial" w:hAnsi="Arial" w:cs="Arial"/>
        </w:rPr>
        <w:t>was not convinced</w:t>
      </w:r>
      <w:r w:rsidR="00E820BA" w:rsidRPr="00CD59CC">
        <w:rPr>
          <w:rFonts w:ascii="Arial" w:hAnsi="Arial" w:cs="Arial"/>
        </w:rPr>
        <w:t>”</w:t>
      </w:r>
      <w:r w:rsidRPr="00CD59CC">
        <w:rPr>
          <w:rFonts w:ascii="Arial" w:hAnsi="Arial" w:cs="Arial"/>
        </w:rPr>
        <w:t xml:space="preserve"> that harassment can be committed against a group of persons. </w:t>
      </w:r>
    </w:p>
    <w:p w14:paraId="633D59FF" w14:textId="77777777" w:rsidR="00811A58" w:rsidRPr="00CD59CC" w:rsidRDefault="00811A58" w:rsidP="00CD59CC">
      <w:pPr>
        <w:pStyle w:val="BodyText2"/>
        <w:jc w:val="left"/>
        <w:rPr>
          <w:rFonts w:ascii="Arial" w:hAnsi="Arial" w:cs="Arial"/>
        </w:rPr>
      </w:pPr>
    </w:p>
    <w:p w14:paraId="2E55566A" w14:textId="55BBE05D" w:rsidR="00E820BA" w:rsidRPr="00CD59CC" w:rsidRDefault="00811A58" w:rsidP="00CD59CC">
      <w:pPr>
        <w:pStyle w:val="BodyText2"/>
        <w:jc w:val="left"/>
        <w:rPr>
          <w:rFonts w:ascii="Arial" w:hAnsi="Arial" w:cs="Arial"/>
          <w:iCs/>
        </w:rPr>
      </w:pPr>
      <w:r w:rsidRPr="00CD59CC">
        <w:rPr>
          <w:rFonts w:ascii="Arial" w:hAnsi="Arial" w:cs="Arial"/>
        </w:rPr>
        <w:t xml:space="preserve">On 15 October 2013 however the Curia (successor of the Supreme Court) </w:t>
      </w:r>
      <w:r w:rsidR="00E820BA" w:rsidRPr="00CD59CC">
        <w:rPr>
          <w:rFonts w:ascii="Arial" w:hAnsi="Arial" w:cs="Arial"/>
        </w:rPr>
        <w:t>quashed the Metropolitan Court’s decision, and ordered that the court procedure be restarted. The Curia based its decision on the fact that the reasoning provided by the Metropolitan Court was so insufficient and lacked the details to such extent that it was not possible for the Curia to review the case.</w:t>
      </w:r>
      <w:r w:rsidR="00466A48" w:rsidRPr="00CD59CC">
        <w:rPr>
          <w:rFonts w:ascii="Arial" w:hAnsi="Arial" w:cs="Arial"/>
        </w:rPr>
        <w:t xml:space="preserve"> The repeated proceedings are </w:t>
      </w:r>
      <w:r w:rsidR="00E820BA" w:rsidRPr="00CD59CC">
        <w:rPr>
          <w:rFonts w:ascii="Arial" w:hAnsi="Arial" w:cs="Arial"/>
        </w:rPr>
        <w:t>pending before the Metropolitan Labour and Administrative Court (successor of the Metropolitan Court).</w:t>
      </w:r>
    </w:p>
    <w:p w14:paraId="1AE0FE65" w14:textId="77777777" w:rsidR="00F7103B" w:rsidRPr="00CD59CC" w:rsidRDefault="00F7103B" w:rsidP="00CD59CC">
      <w:pPr>
        <w:rPr>
          <w:rFonts w:ascii="Arial" w:hAnsi="Arial" w:cs="Arial"/>
          <w:iCs/>
        </w:rPr>
      </w:pPr>
    </w:p>
    <w:p w14:paraId="448C3305" w14:textId="77777777" w:rsidR="00466A48" w:rsidRPr="00CD59CC" w:rsidRDefault="00466A48" w:rsidP="00CD59CC">
      <w:pPr>
        <w:rPr>
          <w:rFonts w:ascii="Arial" w:hAnsi="Arial" w:cs="Arial"/>
          <w:iCs/>
        </w:rPr>
      </w:pPr>
      <w:r w:rsidRPr="00CD59CC">
        <w:rPr>
          <w:rFonts w:ascii="Arial" w:hAnsi="Arial" w:cs="Arial"/>
          <w:b/>
          <w:iCs/>
        </w:rPr>
        <w:t>Name of the court</w:t>
      </w:r>
      <w:r w:rsidRPr="00FC01BB">
        <w:rPr>
          <w:rFonts w:ascii="Arial" w:hAnsi="Arial" w:cs="Arial"/>
          <w:b/>
          <w:iCs/>
        </w:rPr>
        <w:t>:</w:t>
      </w:r>
      <w:r w:rsidRPr="00CD59CC">
        <w:rPr>
          <w:rFonts w:ascii="Arial" w:hAnsi="Arial" w:cs="Arial"/>
          <w:b/>
          <w:iCs/>
        </w:rPr>
        <w:t xml:space="preserve"> </w:t>
      </w:r>
      <w:r w:rsidRPr="00CD59CC">
        <w:rPr>
          <w:rFonts w:ascii="Arial" w:hAnsi="Arial" w:cs="Arial"/>
          <w:iCs/>
        </w:rPr>
        <w:t>Equal Treatment Authority</w:t>
      </w:r>
    </w:p>
    <w:p w14:paraId="518E27D9" w14:textId="77777777" w:rsidR="00466A48" w:rsidRPr="00CD59CC" w:rsidRDefault="00466A48" w:rsidP="00CD59CC">
      <w:pPr>
        <w:pStyle w:val="BodyTextIndent"/>
        <w:rPr>
          <w:rFonts w:ascii="Arial" w:hAnsi="Arial" w:cs="Arial"/>
          <w:i/>
          <w:szCs w:val="24"/>
        </w:rPr>
      </w:pPr>
      <w:r w:rsidRPr="00CD59CC">
        <w:rPr>
          <w:rFonts w:ascii="Arial" w:hAnsi="Arial" w:cs="Arial"/>
          <w:b/>
          <w:szCs w:val="24"/>
        </w:rPr>
        <w:t xml:space="preserve">Date of decision: </w:t>
      </w:r>
      <w:r w:rsidRPr="00CD59CC">
        <w:rPr>
          <w:rFonts w:ascii="Arial" w:hAnsi="Arial" w:cs="Arial"/>
          <w:szCs w:val="24"/>
        </w:rPr>
        <w:t>--</w:t>
      </w:r>
    </w:p>
    <w:p w14:paraId="559B9249" w14:textId="77777777" w:rsidR="00466A48" w:rsidRPr="00CD59CC" w:rsidRDefault="00466A48" w:rsidP="00CD59CC">
      <w:pPr>
        <w:rPr>
          <w:rFonts w:ascii="Arial" w:hAnsi="Arial" w:cs="Arial"/>
          <w:iCs/>
        </w:rPr>
      </w:pPr>
      <w:r w:rsidRPr="00CD59CC">
        <w:rPr>
          <w:rFonts w:ascii="Arial" w:hAnsi="Arial" w:cs="Arial"/>
          <w:b/>
          <w:iCs/>
        </w:rPr>
        <w:t>Name of the parties</w:t>
      </w:r>
      <w:r w:rsidRPr="00FC01BB">
        <w:rPr>
          <w:rFonts w:ascii="Arial" w:hAnsi="Arial" w:cs="Arial"/>
          <w:b/>
          <w:iCs/>
        </w:rPr>
        <w:t>:</w:t>
      </w:r>
      <w:r w:rsidRPr="00CD59CC">
        <w:rPr>
          <w:rFonts w:ascii="Arial" w:hAnsi="Arial" w:cs="Arial"/>
          <w:b/>
          <w:iCs/>
        </w:rPr>
        <w:t xml:space="preserve"> </w:t>
      </w:r>
      <w:r w:rsidRPr="00CD59CC">
        <w:rPr>
          <w:rFonts w:ascii="Arial" w:hAnsi="Arial" w:cs="Arial"/>
          <w:iCs/>
        </w:rPr>
        <w:t>--</w:t>
      </w:r>
    </w:p>
    <w:p w14:paraId="4C47EE49" w14:textId="77777777" w:rsidR="00466A48" w:rsidRPr="00CD59CC" w:rsidRDefault="00466A48" w:rsidP="00CD59CC">
      <w:pPr>
        <w:pStyle w:val="BodyTextIndent"/>
        <w:ind w:left="0" w:firstLine="0"/>
        <w:rPr>
          <w:rFonts w:ascii="Arial" w:hAnsi="Arial" w:cs="Arial"/>
          <w:szCs w:val="24"/>
        </w:rPr>
      </w:pPr>
      <w:r w:rsidRPr="00CD59CC">
        <w:rPr>
          <w:rFonts w:ascii="Arial" w:hAnsi="Arial" w:cs="Arial"/>
          <w:b/>
          <w:szCs w:val="24"/>
        </w:rPr>
        <w:t>Reference number</w:t>
      </w:r>
      <w:r w:rsidRPr="00FC01BB">
        <w:rPr>
          <w:rFonts w:ascii="Arial" w:hAnsi="Arial" w:cs="Arial"/>
          <w:b/>
          <w:szCs w:val="24"/>
        </w:rPr>
        <w:t>:</w:t>
      </w:r>
      <w:r w:rsidRPr="00CD59CC">
        <w:rPr>
          <w:rFonts w:ascii="Arial" w:hAnsi="Arial" w:cs="Arial"/>
          <w:szCs w:val="24"/>
        </w:rPr>
        <w:t xml:space="preserve"> EBH 165/2013</w:t>
      </w:r>
    </w:p>
    <w:p w14:paraId="7E8D3258" w14:textId="5CD83B6E" w:rsidR="00466A48" w:rsidRPr="00CD59CC" w:rsidRDefault="00466A48" w:rsidP="00CD59CC">
      <w:pPr>
        <w:pStyle w:val="BodyTextIndent"/>
        <w:ind w:left="0" w:firstLine="0"/>
        <w:rPr>
          <w:rFonts w:ascii="Arial" w:hAnsi="Arial" w:cs="Arial"/>
          <w:szCs w:val="24"/>
        </w:rPr>
      </w:pPr>
      <w:r w:rsidRPr="00CD59CC">
        <w:rPr>
          <w:rFonts w:ascii="Arial" w:hAnsi="Arial" w:cs="Arial"/>
          <w:b/>
          <w:szCs w:val="24"/>
        </w:rPr>
        <w:t>Address of the webpage</w:t>
      </w:r>
      <w:r w:rsidRPr="00FC01BB">
        <w:rPr>
          <w:rFonts w:ascii="Arial" w:hAnsi="Arial" w:cs="Arial"/>
          <w:b/>
          <w:szCs w:val="24"/>
        </w:rPr>
        <w:t>:</w:t>
      </w:r>
      <w:r w:rsidRPr="00CD59CC">
        <w:rPr>
          <w:rFonts w:ascii="Arial" w:hAnsi="Arial" w:cs="Arial"/>
          <w:szCs w:val="24"/>
        </w:rPr>
        <w:t xml:space="preserve"> </w:t>
      </w:r>
      <w:hyperlink r:id="rId17" w:history="1">
        <w:r w:rsidRPr="00FC01BB">
          <w:rPr>
            <w:rStyle w:val="Hyperlink"/>
            <w:rFonts w:ascii="Arial" w:hAnsi="Arial" w:cs="Arial"/>
            <w:szCs w:val="24"/>
          </w:rPr>
          <w:t>http://www.egyenlobanasmod.hu/jogesetek/hu/165-2013.pdf</w:t>
        </w:r>
      </w:hyperlink>
    </w:p>
    <w:p w14:paraId="09D15348" w14:textId="77777777" w:rsidR="00466A48" w:rsidRPr="00CD59CC" w:rsidRDefault="00466A48" w:rsidP="00CD59CC">
      <w:pPr>
        <w:rPr>
          <w:rFonts w:ascii="Arial" w:hAnsi="Arial" w:cs="Arial"/>
          <w:iCs/>
        </w:rPr>
      </w:pPr>
      <w:r w:rsidRPr="00CD59CC">
        <w:rPr>
          <w:rFonts w:ascii="Arial" w:hAnsi="Arial" w:cs="Arial"/>
          <w:b/>
          <w:iCs/>
        </w:rPr>
        <w:t>Brief summary</w:t>
      </w:r>
      <w:r w:rsidRPr="00CD59CC">
        <w:rPr>
          <w:rFonts w:ascii="Arial" w:hAnsi="Arial" w:cs="Arial"/>
          <w:iCs/>
        </w:rPr>
        <w:t>: The complainant was employed by the respondent school as a part time teacher of Hungarian language and literature. As a result of his higher than usual pitch he became a target of constant mockery by his students, some of whom regularly called him a “fag”. After he tried in vain to discuss the matter with the students, he notified the head teacher of the class and also the headmaster about the problem. Nonetheless, no steps were taken, what is more the students received good “attitude grades” at the end of the school year. Finally, the complainant’s contract was not prolonged at the end of the year. He brought an action against the school before the Equality Authority (the national equality body), claiming that he was discriminated against on the basis of his – assumed – sexual orientation. The headmaster claimed that he had been informed about the harassment only at the very end of the year. He also argued that the complainant did not indicate in a timely manner that he did not agree with the grading of the students, and that he did not ask for disciplinary measures to be taken against the students when the problems occurred, and at the very end of the school year it would not have made sense to launch such proceedings. Finally, the fact that his contract was not prolonged had nothing to do with his complaints. The headmaster’s intention was to eliminate the complainant’s position, although it is true that eventually, upon the request of the school’s maintainer, the position was kept and another person was employed.</w:t>
      </w:r>
      <w:r w:rsidR="007B7640" w:rsidRPr="00CD59CC">
        <w:rPr>
          <w:rFonts w:ascii="Arial" w:hAnsi="Arial" w:cs="Arial"/>
          <w:iCs/>
        </w:rPr>
        <w:t xml:space="preserve">  </w:t>
      </w:r>
    </w:p>
    <w:p w14:paraId="3E74A7A1" w14:textId="77777777" w:rsidR="00466A48" w:rsidRPr="00CD59CC" w:rsidRDefault="00466A48" w:rsidP="00CD59CC">
      <w:pPr>
        <w:rPr>
          <w:rFonts w:ascii="Arial" w:hAnsi="Arial" w:cs="Arial"/>
          <w:iCs/>
        </w:rPr>
      </w:pPr>
    </w:p>
    <w:p w14:paraId="1C4FA75A" w14:textId="77777777" w:rsidR="00F7103B" w:rsidRPr="00CD59CC" w:rsidRDefault="00466A48" w:rsidP="00CD59CC">
      <w:pPr>
        <w:rPr>
          <w:rFonts w:ascii="Arial" w:hAnsi="Arial" w:cs="Arial"/>
          <w:iCs/>
        </w:rPr>
      </w:pPr>
      <w:r w:rsidRPr="00CD59CC">
        <w:rPr>
          <w:rFonts w:ascii="Arial" w:hAnsi="Arial" w:cs="Arial"/>
          <w:iCs/>
        </w:rPr>
        <w:lastRenderedPageBreak/>
        <w:t>The Authority rejected the school’s defence. It was established in the procedure that the problems faced by the complainant had been widely known in the school, so it was impossible that the head teacher and the headmaster had not been informed about them. Furthermore, even if the complainant had made his grievances known to the employer at the end of the school-year, he would still have been required to take measures to investigate the case. Finally, the Authority found it irrelevant that the employment of another teacher into the complainant’s position was based on the maintainer’s request. The Authority established that the complainant had been subjected to both direct discrimination (due to his dismissal) and harassment (due to the employer’s failure to address the harassment by the students)</w:t>
      </w:r>
      <w:r w:rsidR="00412D30" w:rsidRPr="00CD59CC">
        <w:rPr>
          <w:rFonts w:ascii="Arial" w:hAnsi="Arial" w:cs="Arial"/>
          <w:iCs/>
        </w:rPr>
        <w:t xml:space="preserve"> based on his assumed sexual orientation</w:t>
      </w:r>
      <w:r w:rsidRPr="00CD59CC">
        <w:rPr>
          <w:rFonts w:ascii="Arial" w:hAnsi="Arial" w:cs="Arial"/>
          <w:iCs/>
        </w:rPr>
        <w:t>. The Authority forbade the respondent from future violations and ordered that its decision be published on its website. The Authority decided not to impose a fine on the respondent due to the fact that during the proceeding, the school sought a friendly settlement involving an offer to reemploy the complainant (who refused to settle).</w:t>
      </w:r>
    </w:p>
    <w:p w14:paraId="36D3F5B2" w14:textId="77777777" w:rsidR="00F7103B" w:rsidRPr="00CD59CC" w:rsidRDefault="00466A48" w:rsidP="00CD59CC">
      <w:pPr>
        <w:rPr>
          <w:rFonts w:ascii="Arial" w:hAnsi="Arial" w:cs="Arial"/>
        </w:rPr>
      </w:pPr>
      <w:r w:rsidRPr="00CD59CC">
        <w:rPr>
          <w:rFonts w:ascii="Arial" w:hAnsi="Arial" w:cs="Arial"/>
        </w:rPr>
        <w:t xml:space="preserve"> </w:t>
      </w:r>
    </w:p>
    <w:p w14:paraId="3055CB51" w14:textId="77777777" w:rsidR="002B5BCD" w:rsidRPr="00CD59CC" w:rsidRDefault="002B5BCD" w:rsidP="00CD59CC">
      <w:pPr>
        <w:rPr>
          <w:rFonts w:ascii="Arial" w:hAnsi="Arial" w:cs="Arial"/>
          <w:i/>
        </w:rPr>
      </w:pPr>
      <w:r w:rsidRPr="00BB4E9F">
        <w:rPr>
          <w:rFonts w:ascii="Arial" w:hAnsi="Arial"/>
          <w:u w:val="single"/>
        </w:rPr>
        <w:t>Please describe trends and patterns in cases brought by Roma and Travellers, and provide figures – if available</w:t>
      </w:r>
      <w:r w:rsidRPr="00CD59CC">
        <w:rPr>
          <w:rFonts w:ascii="Arial" w:hAnsi="Arial" w:cs="Arial"/>
          <w:i/>
        </w:rPr>
        <w:t>.</w:t>
      </w:r>
    </w:p>
    <w:p w14:paraId="6665A21D" w14:textId="77777777" w:rsidR="00466A48" w:rsidRPr="00CD59CC" w:rsidRDefault="00466A48" w:rsidP="00CD59CC">
      <w:pPr>
        <w:rPr>
          <w:rFonts w:ascii="Arial" w:hAnsi="Arial" w:cs="Arial"/>
          <w:i/>
        </w:rPr>
      </w:pPr>
    </w:p>
    <w:p w14:paraId="64091B82" w14:textId="77777777" w:rsidR="00466A48" w:rsidRPr="00CD59CC" w:rsidRDefault="00466A48" w:rsidP="00CD59CC">
      <w:pPr>
        <w:pStyle w:val="Szvegtrzs22"/>
        <w:tabs>
          <w:tab w:val="left" w:pos="567"/>
        </w:tabs>
        <w:jc w:val="left"/>
        <w:rPr>
          <w:rFonts w:ascii="Arial" w:hAnsi="Arial" w:cs="Arial"/>
        </w:rPr>
      </w:pPr>
      <w:r w:rsidRPr="00CD59CC">
        <w:rPr>
          <w:rFonts w:ascii="Arial" w:hAnsi="Arial" w:cs="Arial"/>
        </w:rPr>
        <w:t xml:space="preserve">According to the available statistics, the trends and patterns do not seem to have changed with regard to the types of cases brought by Roma. There are no detailed and reliable statistics, but from information made available to the public in the media, it may be concluded that the majority of cases still regards employment, access to services, education and housing. </w:t>
      </w:r>
    </w:p>
    <w:p w14:paraId="4C71366C" w14:textId="77777777" w:rsidR="00466A48" w:rsidRPr="00CD59CC" w:rsidRDefault="00466A48" w:rsidP="00CD59CC">
      <w:pPr>
        <w:pStyle w:val="Szvegtrzs22"/>
        <w:tabs>
          <w:tab w:val="left" w:pos="567"/>
        </w:tabs>
        <w:jc w:val="left"/>
        <w:rPr>
          <w:rFonts w:ascii="Arial" w:hAnsi="Arial" w:cs="Arial"/>
        </w:rPr>
      </w:pPr>
    </w:p>
    <w:p w14:paraId="669BF99C" w14:textId="009327B4" w:rsidR="00466A48" w:rsidRPr="00CD59CC" w:rsidRDefault="00466A48" w:rsidP="00CD59CC">
      <w:pPr>
        <w:rPr>
          <w:rFonts w:ascii="Arial" w:hAnsi="Arial" w:cs="Arial"/>
        </w:rPr>
      </w:pPr>
      <w:r w:rsidRPr="00CD59CC">
        <w:rPr>
          <w:rFonts w:ascii="Arial" w:hAnsi="Arial" w:cs="Arial"/>
        </w:rPr>
        <w:t xml:space="preserve">According to the Equal Treatment Authority’s </w:t>
      </w:r>
      <w:r w:rsidRPr="00CD59CC">
        <w:rPr>
          <w:rFonts w:ascii="Arial" w:hAnsi="Arial" w:cs="Arial"/>
          <w:i/>
        </w:rPr>
        <w:t>annual report for 2010</w:t>
      </w:r>
      <w:r w:rsidRPr="00CD59CC">
        <w:rPr>
          <w:rFonts w:ascii="Arial" w:hAnsi="Arial" w:cs="Arial"/>
        </w:rPr>
        <w:t>, out of the 40 cases in which discrimination was established in 2010, racial or ethnic affiliation was the ground of discrimination in 7 cases (which means 17.5%).</w:t>
      </w:r>
      <w:r w:rsidRPr="00CD59CC">
        <w:rPr>
          <w:rStyle w:val="FootnoteReference"/>
          <w:rFonts w:ascii="Arial" w:hAnsi="Arial" w:cs="Arial"/>
        </w:rPr>
        <w:footnoteReference w:id="5"/>
      </w:r>
      <w:r w:rsidRPr="00CD59CC">
        <w:rPr>
          <w:rFonts w:ascii="Arial" w:hAnsi="Arial" w:cs="Arial"/>
        </w:rPr>
        <w:t xml:space="preserve"> (The numbers for disability, age, political or other opinion and sexual orientation were 6, 4, 2 and 2 respectively.)</w:t>
      </w:r>
    </w:p>
    <w:p w14:paraId="08C3B4FC" w14:textId="77777777" w:rsidR="00466A48" w:rsidRPr="00CD59CC" w:rsidRDefault="00466A48" w:rsidP="00CD59CC">
      <w:pPr>
        <w:rPr>
          <w:rFonts w:ascii="Arial" w:hAnsi="Arial" w:cs="Arial"/>
        </w:rPr>
      </w:pPr>
    </w:p>
    <w:p w14:paraId="5702DCD2" w14:textId="0B6E9D18" w:rsidR="00466A48" w:rsidRPr="00CD59CC" w:rsidRDefault="00466A48" w:rsidP="00CD59CC">
      <w:pPr>
        <w:rPr>
          <w:rFonts w:ascii="Arial" w:hAnsi="Arial" w:cs="Arial"/>
        </w:rPr>
      </w:pPr>
      <w:r w:rsidRPr="00CD59CC">
        <w:rPr>
          <w:rFonts w:ascii="Arial" w:hAnsi="Arial" w:cs="Arial"/>
        </w:rPr>
        <w:t xml:space="preserve">In the Authority’s </w:t>
      </w:r>
      <w:r w:rsidRPr="00CD59CC">
        <w:rPr>
          <w:rFonts w:ascii="Arial" w:hAnsi="Arial" w:cs="Arial"/>
          <w:i/>
        </w:rPr>
        <w:t>report on its activities in the year 2011</w:t>
      </w:r>
      <w:r w:rsidRPr="00CD59CC">
        <w:rPr>
          <w:rFonts w:ascii="Arial" w:hAnsi="Arial" w:cs="Arial"/>
        </w:rPr>
        <w:t>, it is stated that “as to the protected ground of the complainants, they most frequently believe that they have been discriminated against because of their motherhood or pregnancy (42 cases), health status (56 cases), age (38 cases), disability (114 cases) or ethnicity (118 cases). Out of the 42 cases in which discrimination was established, racial or ethnic affiliation was the protected ground in 8 cases (19%). (The numbers for disability, age, political or other opinio</w:t>
      </w:r>
      <w:r w:rsidR="00CD59CC">
        <w:rPr>
          <w:rFonts w:ascii="Arial" w:hAnsi="Arial" w:cs="Arial"/>
        </w:rPr>
        <w:t>n were 12, 4 and 4 respectively</w:t>
      </w:r>
      <w:r w:rsidRPr="00CD59CC">
        <w:rPr>
          <w:rFonts w:ascii="Arial" w:hAnsi="Arial" w:cs="Arial"/>
        </w:rPr>
        <w:t>)</w:t>
      </w:r>
      <w:r w:rsidR="00CD59CC">
        <w:rPr>
          <w:rFonts w:ascii="Arial" w:hAnsi="Arial" w:cs="Arial"/>
        </w:rPr>
        <w:t>.</w:t>
      </w:r>
      <w:r w:rsidRPr="00CD59CC">
        <w:rPr>
          <w:rStyle w:val="FootnoteReference"/>
          <w:rFonts w:ascii="Arial" w:hAnsi="Arial" w:cs="Arial"/>
        </w:rPr>
        <w:footnoteReference w:id="6"/>
      </w:r>
      <w:r w:rsidR="007B7640" w:rsidRPr="00CD59CC">
        <w:rPr>
          <w:rFonts w:ascii="Arial" w:hAnsi="Arial" w:cs="Arial"/>
        </w:rPr>
        <w:t xml:space="preserve"> </w:t>
      </w:r>
    </w:p>
    <w:p w14:paraId="23DE43C0" w14:textId="77777777" w:rsidR="00466A48" w:rsidRPr="00CD59CC" w:rsidRDefault="00466A48" w:rsidP="00CD59CC">
      <w:pPr>
        <w:rPr>
          <w:rFonts w:ascii="Arial" w:hAnsi="Arial" w:cs="Arial"/>
        </w:rPr>
      </w:pPr>
    </w:p>
    <w:p w14:paraId="20D9DFF7" w14:textId="7BF0CC93" w:rsidR="007452E7" w:rsidRPr="00CD59CC" w:rsidRDefault="00466A48" w:rsidP="00CD59CC">
      <w:pPr>
        <w:tabs>
          <w:tab w:val="left" w:pos="1395"/>
        </w:tabs>
        <w:rPr>
          <w:rFonts w:ascii="Arial" w:hAnsi="Arial" w:cs="Arial"/>
        </w:rPr>
      </w:pPr>
      <w:r w:rsidRPr="00CD59CC">
        <w:rPr>
          <w:rFonts w:ascii="Arial" w:hAnsi="Arial" w:cs="Arial"/>
        </w:rPr>
        <w:t xml:space="preserve">In </w:t>
      </w:r>
      <w:r w:rsidR="007452E7" w:rsidRPr="00CD59CC">
        <w:rPr>
          <w:rFonts w:ascii="Arial" w:hAnsi="Arial" w:cs="Arial"/>
        </w:rPr>
        <w:t xml:space="preserve">the </w:t>
      </w:r>
      <w:r w:rsidR="007452E7" w:rsidRPr="00CD59CC">
        <w:rPr>
          <w:rFonts w:ascii="Arial" w:hAnsi="Arial" w:cs="Arial"/>
          <w:i/>
        </w:rPr>
        <w:t>year</w:t>
      </w:r>
      <w:r w:rsidR="007452E7" w:rsidRPr="00BB4E9F">
        <w:rPr>
          <w:rFonts w:ascii="Arial" w:hAnsi="Arial"/>
          <w:i/>
        </w:rPr>
        <w:t xml:space="preserve"> </w:t>
      </w:r>
      <w:r w:rsidRPr="00BB4E9F">
        <w:rPr>
          <w:rFonts w:ascii="Arial" w:hAnsi="Arial"/>
          <w:i/>
        </w:rPr>
        <w:t>2012</w:t>
      </w:r>
      <w:r w:rsidRPr="00CD59CC">
        <w:rPr>
          <w:rFonts w:ascii="Arial" w:hAnsi="Arial" w:cs="Arial"/>
        </w:rPr>
        <w:t xml:space="preserve">, the distribution of complainants of the cases in which the Authority launched substantive proceedings, was the following according to protected ground: ethnic affiliation – 81 cases; disability – 75 cases; age – 54 cases; parenthood (maternity and pregnancy is most cases) – 53 cases; health status – 43 cases. </w:t>
      </w:r>
      <w:r w:rsidR="007452E7" w:rsidRPr="00CD59CC">
        <w:rPr>
          <w:rFonts w:ascii="Arial" w:hAnsi="Arial" w:cs="Arial"/>
        </w:rPr>
        <w:t xml:space="preserve">Out of </w:t>
      </w:r>
      <w:r w:rsidR="007452E7" w:rsidRPr="00CD59CC">
        <w:rPr>
          <w:rFonts w:ascii="Arial" w:hAnsi="Arial" w:cs="Arial"/>
        </w:rPr>
        <w:lastRenderedPageBreak/>
        <w:t>the 31 cases in which the violation of the principle of equal treatment was established, ethnic affiliation was the ground of discrimination in 4 cases (13%), while the most often occurring ground in the cases where a violation was established was disability (6 cases, 19%).</w:t>
      </w:r>
      <w:r w:rsidRPr="00CD59CC">
        <w:rPr>
          <w:rStyle w:val="FootnoteReference"/>
          <w:rFonts w:ascii="Arial" w:hAnsi="Arial" w:cs="Arial"/>
        </w:rPr>
        <w:footnoteReference w:id="7"/>
      </w:r>
    </w:p>
    <w:p w14:paraId="6171B795" w14:textId="77777777" w:rsidR="007452E7" w:rsidRPr="00CD59CC" w:rsidRDefault="007452E7" w:rsidP="00BB4E9F">
      <w:pPr>
        <w:tabs>
          <w:tab w:val="left" w:pos="1395"/>
        </w:tabs>
        <w:rPr>
          <w:rFonts w:ascii="Arial" w:hAnsi="Arial" w:cs="Arial"/>
        </w:rPr>
      </w:pPr>
    </w:p>
    <w:p w14:paraId="629CB973" w14:textId="5FE5242A" w:rsidR="00466A48" w:rsidRPr="00CD59CC" w:rsidRDefault="007452E7" w:rsidP="00CD59CC">
      <w:pPr>
        <w:tabs>
          <w:tab w:val="left" w:pos="1395"/>
        </w:tabs>
        <w:rPr>
          <w:rFonts w:ascii="Arial" w:hAnsi="Arial" w:cs="Arial"/>
        </w:rPr>
      </w:pPr>
      <w:r w:rsidRPr="00CD59CC">
        <w:rPr>
          <w:rFonts w:ascii="Arial" w:hAnsi="Arial" w:cs="Arial"/>
        </w:rPr>
        <w:t>In 2013, disability and ethnic origin were the grounds that were most frequently referred to by the complainants as the basis for discrimination (101 and 98 respectively).</w:t>
      </w:r>
      <w:r w:rsidRPr="00CD59CC">
        <w:rPr>
          <w:rStyle w:val="FootnoteReference"/>
          <w:rFonts w:ascii="Arial" w:hAnsi="Arial" w:cs="Arial"/>
        </w:rPr>
        <w:footnoteReference w:id="8"/>
      </w:r>
      <w:r w:rsidR="00D63D93" w:rsidRPr="00CD59CC">
        <w:rPr>
          <w:rFonts w:ascii="Arial" w:hAnsi="Arial" w:cs="Arial"/>
        </w:rPr>
        <w:t xml:space="preserve"> Although the annual report </w:t>
      </w:r>
      <w:r w:rsidR="00A64976" w:rsidRPr="00CD59CC">
        <w:rPr>
          <w:rFonts w:ascii="Arial" w:hAnsi="Arial" w:cs="Arial"/>
        </w:rPr>
        <w:t xml:space="preserve">for 2013 </w:t>
      </w:r>
      <w:r w:rsidR="00D63D93" w:rsidRPr="00CD59CC">
        <w:rPr>
          <w:rFonts w:ascii="Arial" w:hAnsi="Arial" w:cs="Arial"/>
        </w:rPr>
        <w:t xml:space="preserve">of the Authority has not been published yet, based on the Authority’s website it seems that the number of cases in which discrimination </w:t>
      </w:r>
      <w:r w:rsidR="00A64976" w:rsidRPr="00CD59CC">
        <w:rPr>
          <w:rFonts w:ascii="Arial" w:hAnsi="Arial" w:cs="Arial"/>
        </w:rPr>
        <w:t>stemming from the complainant’s ethnic origin was very low in this year, only 2 (9%).</w:t>
      </w:r>
      <w:r w:rsidR="00A64976" w:rsidRPr="00CD59CC">
        <w:rPr>
          <w:rStyle w:val="FootnoteReference"/>
          <w:rFonts w:ascii="Arial" w:hAnsi="Arial" w:cs="Arial"/>
        </w:rPr>
        <w:footnoteReference w:id="9"/>
      </w:r>
    </w:p>
    <w:p w14:paraId="31836751" w14:textId="77777777" w:rsidR="00466A48" w:rsidRPr="00CD59CC" w:rsidRDefault="00466A48" w:rsidP="00CD59CC">
      <w:pPr>
        <w:rPr>
          <w:rFonts w:ascii="Arial" w:hAnsi="Arial" w:cs="Arial"/>
        </w:rPr>
      </w:pPr>
    </w:p>
    <w:p w14:paraId="191F4F8B" w14:textId="77777777" w:rsidR="00466A48" w:rsidRPr="00CD59CC" w:rsidRDefault="007452E7" w:rsidP="00CD59CC">
      <w:pPr>
        <w:rPr>
          <w:rFonts w:ascii="Arial" w:hAnsi="Arial" w:cs="Arial"/>
        </w:rPr>
      </w:pPr>
      <w:r w:rsidRPr="00CD59CC">
        <w:rPr>
          <w:rFonts w:ascii="Arial" w:hAnsi="Arial" w:cs="Arial"/>
        </w:rPr>
        <w:t>Still no</w:t>
      </w:r>
      <w:r w:rsidR="00466A48" w:rsidRPr="00CD59CC">
        <w:rPr>
          <w:rFonts w:ascii="Arial" w:hAnsi="Arial" w:cs="Arial"/>
        </w:rPr>
        <w:t xml:space="preserve"> statistics are available on legal proceedings launched by Roma people before courts.</w:t>
      </w:r>
    </w:p>
    <w:p w14:paraId="613B350D" w14:textId="77777777" w:rsidR="00D252C5" w:rsidRPr="00CD59CC" w:rsidRDefault="00D252C5" w:rsidP="00CD59CC">
      <w:pPr>
        <w:rPr>
          <w:rFonts w:ascii="Arial" w:hAnsi="Arial" w:cs="Arial"/>
        </w:rPr>
      </w:pPr>
    </w:p>
    <w:p w14:paraId="376F1E59" w14:textId="77777777" w:rsidR="00D252C5" w:rsidRPr="00CD59CC" w:rsidRDefault="00D252C5" w:rsidP="00CD59CC">
      <w:pPr>
        <w:rPr>
          <w:rFonts w:ascii="Arial" w:hAnsi="Arial" w:cs="Arial"/>
        </w:rPr>
      </w:pPr>
      <w:r w:rsidRPr="00CD59CC">
        <w:rPr>
          <w:rFonts w:ascii="Arial" w:hAnsi="Arial" w:cs="Arial"/>
        </w:rPr>
        <w:t>One specific issue that is worth mentioning is the impact o</w:t>
      </w:r>
      <w:r w:rsidR="003D226A" w:rsidRPr="00CD59CC">
        <w:rPr>
          <w:rFonts w:ascii="Arial" w:hAnsi="Arial" w:cs="Arial"/>
        </w:rPr>
        <w:t>f</w:t>
      </w:r>
      <w:r w:rsidRPr="00CD59CC">
        <w:rPr>
          <w:rFonts w:ascii="Arial" w:hAnsi="Arial" w:cs="Arial"/>
        </w:rPr>
        <w:t xml:space="preserve"> public work programmes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population.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extended</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handle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issue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unemployment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started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Socialist</w:t>
      </w:r>
      <w:r w:rsidR="007B7640" w:rsidRPr="00CD59CC">
        <w:rPr>
          <w:rFonts w:ascii="Arial" w:hAnsi="Arial" w:cs="Arial"/>
        </w:rPr>
        <w:t xml:space="preserve"> </w:t>
      </w:r>
      <w:r w:rsidRPr="00CD59CC">
        <w:rPr>
          <w:rFonts w:ascii="Arial" w:hAnsi="Arial" w:cs="Arial"/>
        </w:rPr>
        <w:t>government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2009</w:t>
      </w:r>
      <w:r w:rsidR="007B7640" w:rsidRPr="00CD59CC">
        <w:rPr>
          <w:rFonts w:ascii="Arial" w:hAnsi="Arial" w:cs="Arial"/>
        </w:rPr>
        <w:t xml:space="preserve"> </w:t>
      </w:r>
      <w:r w:rsidRPr="00CD59CC">
        <w:rPr>
          <w:rFonts w:ascii="Arial" w:hAnsi="Arial" w:cs="Arial"/>
        </w:rPr>
        <w:t>(“Path</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programme),</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significant</w:t>
      </w:r>
      <w:r w:rsidR="007B7640" w:rsidRPr="00CD59CC">
        <w:rPr>
          <w:rFonts w:ascii="Arial" w:hAnsi="Arial" w:cs="Arial"/>
        </w:rPr>
        <w:t xml:space="preserve"> </w:t>
      </w:r>
      <w:r w:rsidRPr="00CD59CC">
        <w:rPr>
          <w:rFonts w:ascii="Arial" w:hAnsi="Arial" w:cs="Arial"/>
        </w:rPr>
        <w:t>amendment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0C4DB3" w:rsidRPr="00CD59CC">
        <w:rPr>
          <w:rFonts w:ascii="Arial" w:hAnsi="Arial" w:cs="Arial"/>
        </w:rPr>
        <w:t>conditions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carried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Fidesz</w:t>
      </w:r>
      <w:r w:rsidR="007B7640" w:rsidRPr="00CD59CC">
        <w:rPr>
          <w:rFonts w:ascii="Arial" w:hAnsi="Arial" w:cs="Arial"/>
        </w:rPr>
        <w:t xml:space="preserve"> </w:t>
      </w:r>
      <w:r w:rsidRPr="00CD59CC">
        <w:rPr>
          <w:rFonts w:ascii="Arial" w:hAnsi="Arial" w:cs="Arial"/>
        </w:rPr>
        <w:t>government</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connected</w:t>
      </w:r>
      <w:r w:rsidR="007B7640" w:rsidRPr="00CD59CC">
        <w:rPr>
          <w:rFonts w:ascii="Arial" w:hAnsi="Arial" w:cs="Arial"/>
        </w:rPr>
        <w:t xml:space="preserve"> </w:t>
      </w:r>
      <w:r w:rsidRPr="00CD59CC">
        <w:rPr>
          <w:rFonts w:ascii="Arial" w:hAnsi="Arial" w:cs="Arial"/>
        </w:rPr>
        <w:t>entitlement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aids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allowances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working</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least</w:t>
      </w:r>
      <w:r w:rsidR="007B7640" w:rsidRPr="00CD59CC">
        <w:rPr>
          <w:rFonts w:ascii="Arial" w:hAnsi="Arial" w:cs="Arial"/>
        </w:rPr>
        <w:t xml:space="preserve"> </w:t>
      </w:r>
      <w:r w:rsidRPr="00CD59CC">
        <w:rPr>
          <w:rFonts w:ascii="Arial" w:hAnsi="Arial" w:cs="Arial"/>
        </w:rPr>
        <w:t>30</w:t>
      </w:r>
      <w:r w:rsidR="007B7640" w:rsidRPr="00CD59CC">
        <w:rPr>
          <w:rFonts w:ascii="Arial" w:hAnsi="Arial" w:cs="Arial"/>
        </w:rPr>
        <w:t xml:space="preserve"> </w:t>
      </w:r>
      <w:r w:rsidRPr="00CD59CC">
        <w:rPr>
          <w:rFonts w:ascii="Arial" w:hAnsi="Arial" w:cs="Arial"/>
        </w:rPr>
        <w:t>days</w:t>
      </w:r>
      <w:r w:rsidR="007B7640" w:rsidRPr="00CD59CC">
        <w:rPr>
          <w:rFonts w:ascii="Arial" w:hAnsi="Arial" w:cs="Arial"/>
        </w:rPr>
        <w:t xml:space="preserve"> </w:t>
      </w:r>
      <w:r w:rsidRPr="00CD59CC">
        <w:rPr>
          <w:rFonts w:ascii="Arial" w:hAnsi="Arial" w:cs="Arial"/>
        </w:rPr>
        <w:t>per</w:t>
      </w:r>
      <w:r w:rsidR="007B7640" w:rsidRPr="00CD59CC">
        <w:rPr>
          <w:rFonts w:ascii="Arial" w:hAnsi="Arial" w:cs="Arial"/>
        </w:rPr>
        <w:t xml:space="preserve"> </w:t>
      </w:r>
      <w:r w:rsidRPr="00CD59CC">
        <w:rPr>
          <w:rFonts w:ascii="Arial" w:hAnsi="Arial" w:cs="Arial"/>
        </w:rPr>
        <w:t>year</w:t>
      </w:r>
      <w:r w:rsidR="007B7640" w:rsidRPr="00CD59CC">
        <w:rPr>
          <w:rFonts w:ascii="Arial" w:hAnsi="Arial" w:cs="Arial"/>
        </w:rPr>
        <w:t xml:space="preserve"> </w:t>
      </w:r>
      <w:r w:rsidRPr="00CD59CC">
        <w:rPr>
          <w:rFonts w:ascii="Arial" w:hAnsi="Arial" w:cs="Arial"/>
        </w:rPr>
        <w:t>(</w:t>
      </w:r>
      <w:r w:rsidR="000C4DB3" w:rsidRPr="00CD59CC">
        <w:rPr>
          <w:rFonts w:ascii="Arial" w:hAnsi="Arial" w:cs="Arial"/>
        </w:rPr>
        <w:t>either</w:t>
      </w:r>
      <w:r w:rsidR="007B7640" w:rsidRPr="00CD59CC">
        <w:rPr>
          <w:rFonts w:ascii="Arial" w:hAnsi="Arial" w:cs="Arial"/>
        </w:rPr>
        <w:t xml:space="preserve"> </w:t>
      </w:r>
      <w:r w:rsidR="000C4DB3" w:rsidRPr="00CD59CC">
        <w:rPr>
          <w:rFonts w:ascii="Arial" w:hAnsi="Arial" w:cs="Arial"/>
        </w:rPr>
        <w:t>on</w:t>
      </w:r>
      <w:r w:rsidR="007B7640" w:rsidRPr="00CD59CC">
        <w:rPr>
          <w:rFonts w:ascii="Arial" w:hAnsi="Arial" w:cs="Arial"/>
        </w:rPr>
        <w:t xml:space="preserve"> </w:t>
      </w:r>
      <w:r w:rsidR="000C4DB3" w:rsidRPr="00CD59CC">
        <w:rPr>
          <w:rFonts w:ascii="Arial" w:hAnsi="Arial" w:cs="Arial"/>
        </w:rPr>
        <w:t>the</w:t>
      </w:r>
      <w:r w:rsidR="007B7640" w:rsidRPr="00CD59CC">
        <w:rPr>
          <w:rFonts w:ascii="Arial" w:hAnsi="Arial" w:cs="Arial"/>
        </w:rPr>
        <w:t xml:space="preserve"> </w:t>
      </w:r>
      <w:r w:rsidR="000C4DB3" w:rsidRPr="00CD59CC">
        <w:rPr>
          <w:rFonts w:ascii="Arial" w:hAnsi="Arial" w:cs="Arial"/>
        </w:rPr>
        <w:t>labour</w:t>
      </w:r>
      <w:r w:rsidR="007B7640" w:rsidRPr="00CD59CC">
        <w:rPr>
          <w:rFonts w:ascii="Arial" w:hAnsi="Arial" w:cs="Arial"/>
        </w:rPr>
        <w:t xml:space="preserve"> </w:t>
      </w:r>
      <w:r w:rsidR="000C4DB3" w:rsidRPr="00CD59CC">
        <w:rPr>
          <w:rFonts w:ascii="Arial" w:hAnsi="Arial" w:cs="Arial"/>
        </w:rPr>
        <w:t>market</w:t>
      </w:r>
      <w:r w:rsidR="007B7640" w:rsidRPr="00CD59CC">
        <w:rPr>
          <w:rFonts w:ascii="Arial" w:hAnsi="Arial" w:cs="Arial"/>
        </w:rPr>
        <w:t xml:space="preserve"> </w:t>
      </w:r>
      <w:r w:rsidR="000C4DB3" w:rsidRPr="00CD59CC">
        <w:rPr>
          <w:rFonts w:ascii="Arial" w:hAnsi="Arial" w:cs="Arial"/>
        </w:rPr>
        <w:t>or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framework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employment).</w:t>
      </w:r>
    </w:p>
    <w:p w14:paraId="3CEC0204" w14:textId="77777777" w:rsidR="00D252C5" w:rsidRPr="00CD59CC" w:rsidRDefault="00D252C5" w:rsidP="00CD59CC">
      <w:pPr>
        <w:rPr>
          <w:rFonts w:ascii="Arial" w:hAnsi="Arial" w:cs="Arial"/>
        </w:rPr>
      </w:pPr>
    </w:p>
    <w:p w14:paraId="45162A72" w14:textId="77777777" w:rsidR="000C4DB3" w:rsidRPr="00CD59CC" w:rsidRDefault="000C4DB3" w:rsidP="00CD59CC">
      <w:pPr>
        <w:rPr>
          <w:rFonts w:ascii="Arial" w:hAnsi="Arial" w:cs="Arial"/>
        </w:rPr>
      </w:pPr>
      <w:r w:rsidRPr="00CD59CC">
        <w:rPr>
          <w:rFonts w:ascii="Arial" w:hAnsi="Arial" w:cs="Arial"/>
        </w:rPr>
        <w:t>Public</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programmes</w:t>
      </w:r>
      <w:r w:rsidR="007B7640" w:rsidRPr="00CD59CC">
        <w:rPr>
          <w:rFonts w:ascii="Arial" w:hAnsi="Arial" w:cs="Arial"/>
        </w:rPr>
        <w:t xml:space="preserve"> </w:t>
      </w:r>
      <w:r w:rsidRPr="00CD59CC">
        <w:rPr>
          <w:rFonts w:ascii="Arial" w:hAnsi="Arial" w:cs="Arial"/>
        </w:rPr>
        <w:t>raise</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issues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aspects.</w:t>
      </w:r>
      <w:r w:rsidR="007B7640" w:rsidRPr="00CD59CC">
        <w:rPr>
          <w:rFonts w:ascii="Arial" w:hAnsi="Arial" w:cs="Arial"/>
        </w:rPr>
        <w:t xml:space="preserve"> </w:t>
      </w:r>
    </w:p>
    <w:p w14:paraId="7E672CD4" w14:textId="77777777" w:rsidR="000C4DB3" w:rsidRPr="00CD59CC" w:rsidRDefault="000C4DB3" w:rsidP="00CD59CC">
      <w:pPr>
        <w:rPr>
          <w:rFonts w:ascii="Arial" w:hAnsi="Arial" w:cs="Arial"/>
        </w:rPr>
      </w:pPr>
    </w:p>
    <w:p w14:paraId="572FC3EA" w14:textId="77777777" w:rsidR="000C4DB3" w:rsidRPr="00CD59CC" w:rsidRDefault="000C4DB3" w:rsidP="00CD59CC">
      <w:pPr>
        <w:rPr>
          <w:rFonts w:ascii="Arial" w:hAnsi="Arial" w:cs="Arial"/>
        </w:rPr>
      </w:pPr>
      <w:r w:rsidRPr="00CD59CC">
        <w:rPr>
          <w:rFonts w:ascii="Arial" w:hAnsi="Arial" w:cs="Arial"/>
        </w:rPr>
        <w:t>Firstly,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jobs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below</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statutory</w:t>
      </w:r>
      <w:r w:rsidR="007B7640" w:rsidRPr="00CD59CC">
        <w:rPr>
          <w:rFonts w:ascii="Arial" w:hAnsi="Arial" w:cs="Arial"/>
        </w:rPr>
        <w:t xml:space="preserve"> </w:t>
      </w:r>
      <w:r w:rsidRPr="00CD59CC">
        <w:rPr>
          <w:rFonts w:ascii="Arial" w:hAnsi="Arial" w:cs="Arial"/>
        </w:rPr>
        <w:t>minimum</w:t>
      </w:r>
      <w:r w:rsidR="007B7640" w:rsidRPr="00CD59CC">
        <w:rPr>
          <w:rFonts w:ascii="Arial" w:hAnsi="Arial" w:cs="Arial"/>
        </w:rPr>
        <w:t xml:space="preserve"> </w:t>
      </w:r>
      <w:r w:rsidRPr="00CD59CC">
        <w:rPr>
          <w:rFonts w:ascii="Arial" w:hAnsi="Arial" w:cs="Arial"/>
        </w:rPr>
        <w:t>wage.</w:t>
      </w:r>
      <w:r w:rsidR="007B7640" w:rsidRPr="00CD59CC">
        <w:rPr>
          <w:rFonts w:ascii="Arial" w:hAnsi="Arial" w:cs="Arial"/>
        </w:rPr>
        <w:t xml:space="preserve"> </w:t>
      </w:r>
      <w:r w:rsidRPr="00CD59CC">
        <w:rPr>
          <w:rFonts w:ascii="Arial" w:hAnsi="Arial" w:cs="Arial"/>
        </w:rPr>
        <w:t>Thus,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working</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contract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eight</w:t>
      </w:r>
      <w:r w:rsidR="007B7640" w:rsidRPr="00CD59CC">
        <w:rPr>
          <w:rFonts w:ascii="Arial" w:hAnsi="Arial" w:cs="Arial"/>
        </w:rPr>
        <w:t xml:space="preserve"> </w:t>
      </w:r>
      <w:r w:rsidRPr="00CD59CC">
        <w:rPr>
          <w:rFonts w:ascii="Arial" w:hAnsi="Arial" w:cs="Arial"/>
        </w:rPr>
        <w:t>hours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day</w:t>
      </w:r>
      <w:r w:rsidR="007B7640" w:rsidRPr="00CD59CC">
        <w:rPr>
          <w:rFonts w:ascii="Arial" w:hAnsi="Arial" w:cs="Arial"/>
        </w:rPr>
        <w:t xml:space="preserve"> </w:t>
      </w:r>
      <w:r w:rsidRPr="00CD59CC">
        <w:rPr>
          <w:rFonts w:ascii="Arial" w:hAnsi="Arial" w:cs="Arial"/>
        </w:rPr>
        <w:t>(often</w:t>
      </w:r>
      <w:r w:rsidR="007B7640" w:rsidRPr="00CD59CC">
        <w:rPr>
          <w:rFonts w:ascii="Arial" w:hAnsi="Arial" w:cs="Arial"/>
        </w:rPr>
        <w:t xml:space="preserve"> </w:t>
      </w:r>
      <w:r w:rsidRPr="00CD59CC">
        <w:rPr>
          <w:rFonts w:ascii="Arial" w:hAnsi="Arial" w:cs="Arial"/>
        </w:rPr>
        <w:t>doing</w:t>
      </w:r>
      <w:r w:rsidR="007B7640" w:rsidRPr="00CD59CC">
        <w:rPr>
          <w:rFonts w:ascii="Arial" w:hAnsi="Arial" w:cs="Arial"/>
        </w:rPr>
        <w:t xml:space="preserve"> </w:t>
      </w:r>
      <w:r w:rsidRPr="00CD59CC">
        <w:rPr>
          <w:rFonts w:ascii="Arial" w:hAnsi="Arial" w:cs="Arial"/>
        </w:rPr>
        <w:t>hard</w:t>
      </w:r>
      <w:r w:rsidR="007B7640" w:rsidRPr="00CD59CC">
        <w:rPr>
          <w:rFonts w:ascii="Arial" w:hAnsi="Arial" w:cs="Arial"/>
        </w:rPr>
        <w:t xml:space="preserve"> </w:t>
      </w:r>
      <w:r w:rsidRPr="00CD59CC">
        <w:rPr>
          <w:rFonts w:ascii="Arial" w:hAnsi="Arial" w:cs="Arial"/>
        </w:rPr>
        <w:t>physical</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will</w:t>
      </w:r>
      <w:r w:rsidR="007B7640" w:rsidRPr="00CD59CC">
        <w:rPr>
          <w:rFonts w:ascii="Arial" w:hAnsi="Arial" w:cs="Arial"/>
        </w:rPr>
        <w:t xml:space="preserve"> </w:t>
      </w:r>
      <w:r w:rsidRPr="00CD59CC">
        <w:rPr>
          <w:rFonts w:ascii="Arial" w:hAnsi="Arial" w:cs="Arial"/>
        </w:rPr>
        <w:t>receive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significantly</w:t>
      </w:r>
      <w:r w:rsidR="007B7640" w:rsidRPr="00CD59CC">
        <w:rPr>
          <w:rFonts w:ascii="Arial" w:hAnsi="Arial" w:cs="Arial"/>
        </w:rPr>
        <w:t xml:space="preserve"> </w:t>
      </w:r>
      <w:r w:rsidRPr="00CD59CC">
        <w:rPr>
          <w:rFonts w:ascii="Arial" w:hAnsi="Arial" w:cs="Arial"/>
        </w:rPr>
        <w:t>lower</w:t>
      </w:r>
      <w:r w:rsidR="007B7640" w:rsidRPr="00CD59CC">
        <w:rPr>
          <w:rFonts w:ascii="Arial" w:hAnsi="Arial" w:cs="Arial"/>
        </w:rPr>
        <w:t xml:space="preserve"> </w:t>
      </w:r>
      <w:r w:rsidRPr="00CD59CC">
        <w:rPr>
          <w:rFonts w:ascii="Arial" w:hAnsi="Arial" w:cs="Arial"/>
        </w:rPr>
        <w:t>salary</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minimum</w:t>
      </w:r>
      <w:r w:rsidR="007B7640" w:rsidRPr="00CD59CC">
        <w:rPr>
          <w:rFonts w:ascii="Arial" w:hAnsi="Arial" w:cs="Arial"/>
        </w:rPr>
        <w:t xml:space="preserve"> </w:t>
      </w:r>
      <w:r w:rsidRPr="00CD59CC">
        <w:rPr>
          <w:rFonts w:ascii="Arial" w:hAnsi="Arial" w:cs="Arial"/>
        </w:rPr>
        <w:t>wage,</w:t>
      </w:r>
      <w:r w:rsidR="007B7640" w:rsidRPr="00CD59CC">
        <w:rPr>
          <w:rFonts w:ascii="Arial" w:hAnsi="Arial" w:cs="Arial"/>
        </w:rPr>
        <w:t xml:space="preserve"> </w:t>
      </w:r>
      <w:r w:rsidRPr="00CD59CC">
        <w:rPr>
          <w:rFonts w:ascii="Arial" w:hAnsi="Arial" w:cs="Arial"/>
        </w:rPr>
        <w:t>despite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obligations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employees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fundamentally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009309FA" w:rsidRPr="00CD59CC">
        <w:rPr>
          <w:rFonts w:ascii="Arial" w:hAnsi="Arial" w:cs="Arial"/>
        </w:rPr>
        <w:t>as</w:t>
      </w:r>
      <w:r w:rsidR="007B7640" w:rsidRPr="00CD59CC">
        <w:rPr>
          <w:rFonts w:ascii="Arial" w:hAnsi="Arial" w:cs="Arial"/>
        </w:rPr>
        <w:t xml:space="preserve"> </w:t>
      </w:r>
      <w:r w:rsidR="009309FA" w:rsidRPr="00CD59CC">
        <w:rPr>
          <w:rFonts w:ascii="Arial" w:hAnsi="Arial" w:cs="Arial"/>
        </w:rPr>
        <w:t>those</w:t>
      </w:r>
      <w:r w:rsidR="007B7640" w:rsidRPr="00CD59CC">
        <w:rPr>
          <w:rFonts w:ascii="Arial" w:hAnsi="Arial" w:cs="Arial"/>
        </w:rPr>
        <w:t xml:space="preserve"> </w:t>
      </w:r>
      <w:r w:rsidR="009309FA" w:rsidRPr="00CD59CC">
        <w:rPr>
          <w:rFonts w:ascii="Arial" w:hAnsi="Arial" w:cs="Arial"/>
        </w:rPr>
        <w:t>of</w:t>
      </w:r>
      <w:r w:rsidR="007B7640" w:rsidRPr="00CD59CC">
        <w:rPr>
          <w:rFonts w:ascii="Arial" w:hAnsi="Arial" w:cs="Arial"/>
        </w:rPr>
        <w:t xml:space="preserve"> </w:t>
      </w:r>
      <w:r w:rsidR="009309FA" w:rsidRPr="00CD59CC">
        <w:rPr>
          <w:rFonts w:ascii="Arial" w:hAnsi="Arial" w:cs="Arial"/>
        </w:rPr>
        <w:t>ordinary</w:t>
      </w:r>
      <w:r w:rsidR="007B7640" w:rsidRPr="00CD59CC">
        <w:rPr>
          <w:rFonts w:ascii="Arial" w:hAnsi="Arial" w:cs="Arial"/>
        </w:rPr>
        <w:t xml:space="preserve"> </w:t>
      </w:r>
      <w:r w:rsidR="009309FA" w:rsidRPr="00CD59CC">
        <w:rPr>
          <w:rFonts w:ascii="Arial" w:hAnsi="Arial" w:cs="Arial"/>
        </w:rPr>
        <w:t>employees.</w:t>
      </w:r>
      <w:r w:rsidR="007B7640" w:rsidRPr="00CD59CC">
        <w:rPr>
          <w:rFonts w:ascii="Arial" w:hAnsi="Arial" w:cs="Arial"/>
        </w:rPr>
        <w:t xml:space="preserve"> </w:t>
      </w:r>
      <w:r w:rsidR="003E7DC7" w:rsidRPr="00CD59CC">
        <w:rPr>
          <w:rFonts w:ascii="Arial" w:hAnsi="Arial" w:cs="Arial"/>
        </w:rPr>
        <w:t>(The</w:t>
      </w:r>
      <w:r w:rsidR="007B7640" w:rsidRPr="00CD59CC">
        <w:rPr>
          <w:rFonts w:ascii="Arial" w:hAnsi="Arial" w:cs="Arial"/>
        </w:rPr>
        <w:t xml:space="preserve"> </w:t>
      </w:r>
      <w:r w:rsidR="003E7DC7" w:rsidRPr="00CD59CC">
        <w:rPr>
          <w:rFonts w:ascii="Arial" w:hAnsi="Arial" w:cs="Arial"/>
        </w:rPr>
        <w:t>wage</w:t>
      </w:r>
      <w:r w:rsidR="007B7640" w:rsidRPr="00CD59CC">
        <w:rPr>
          <w:rFonts w:ascii="Arial" w:hAnsi="Arial" w:cs="Arial"/>
        </w:rPr>
        <w:t xml:space="preserve"> </w:t>
      </w:r>
      <w:r w:rsidR="003E7DC7" w:rsidRPr="00CD59CC">
        <w:rPr>
          <w:rFonts w:ascii="Arial" w:hAnsi="Arial" w:cs="Arial"/>
        </w:rPr>
        <w:t>to</w:t>
      </w:r>
      <w:r w:rsidR="007B7640" w:rsidRPr="00CD59CC">
        <w:rPr>
          <w:rFonts w:ascii="Arial" w:hAnsi="Arial" w:cs="Arial"/>
        </w:rPr>
        <w:t xml:space="preserve"> </w:t>
      </w:r>
      <w:r w:rsidR="003E7DC7" w:rsidRPr="00CD59CC">
        <w:rPr>
          <w:rFonts w:ascii="Arial" w:hAnsi="Arial" w:cs="Arial"/>
        </w:rPr>
        <w:t>be</w:t>
      </w:r>
      <w:r w:rsidR="007B7640" w:rsidRPr="00CD59CC">
        <w:rPr>
          <w:rFonts w:ascii="Arial" w:hAnsi="Arial" w:cs="Arial"/>
        </w:rPr>
        <w:t xml:space="preserve"> </w:t>
      </w:r>
      <w:r w:rsidR="003E7DC7" w:rsidRPr="00CD59CC">
        <w:rPr>
          <w:rFonts w:ascii="Arial" w:hAnsi="Arial" w:cs="Arial"/>
        </w:rPr>
        <w:t>paid</w:t>
      </w:r>
      <w:r w:rsidR="007B7640" w:rsidRPr="00CD59CC">
        <w:rPr>
          <w:rFonts w:ascii="Arial" w:hAnsi="Arial" w:cs="Arial"/>
        </w:rPr>
        <w:t xml:space="preserve"> </w:t>
      </w:r>
      <w:r w:rsidR="003E7DC7" w:rsidRPr="00CD59CC">
        <w:rPr>
          <w:rFonts w:ascii="Arial" w:hAnsi="Arial" w:cs="Arial"/>
        </w:rPr>
        <w:t>for</w:t>
      </w:r>
      <w:r w:rsidR="007B7640" w:rsidRPr="00CD59CC">
        <w:rPr>
          <w:rFonts w:ascii="Arial" w:hAnsi="Arial" w:cs="Arial"/>
        </w:rPr>
        <w:t xml:space="preserve"> </w:t>
      </w:r>
      <w:r w:rsidR="003E7DC7" w:rsidRPr="00CD59CC">
        <w:rPr>
          <w:rFonts w:ascii="Arial" w:hAnsi="Arial" w:cs="Arial"/>
        </w:rPr>
        <w:t>a</w:t>
      </w:r>
      <w:r w:rsidR="007B7640" w:rsidRPr="00CD59CC">
        <w:rPr>
          <w:rFonts w:ascii="Arial" w:hAnsi="Arial" w:cs="Arial"/>
        </w:rPr>
        <w:t xml:space="preserve"> </w:t>
      </w:r>
      <w:r w:rsidR="003E7DC7" w:rsidRPr="00CD59CC">
        <w:rPr>
          <w:rFonts w:ascii="Arial" w:hAnsi="Arial" w:cs="Arial"/>
        </w:rPr>
        <w:t>public</w:t>
      </w:r>
      <w:r w:rsidR="007B7640" w:rsidRPr="00CD59CC">
        <w:rPr>
          <w:rFonts w:ascii="Arial" w:hAnsi="Arial" w:cs="Arial"/>
        </w:rPr>
        <w:t xml:space="preserve"> </w:t>
      </w:r>
      <w:r w:rsidR="003E7DC7" w:rsidRPr="00CD59CC">
        <w:rPr>
          <w:rFonts w:ascii="Arial" w:hAnsi="Arial" w:cs="Arial"/>
        </w:rPr>
        <w:t>work</w:t>
      </w:r>
      <w:r w:rsidR="007B7640" w:rsidRPr="00CD59CC">
        <w:rPr>
          <w:rFonts w:ascii="Arial" w:hAnsi="Arial" w:cs="Arial"/>
        </w:rPr>
        <w:t xml:space="preserve"> </w:t>
      </w:r>
      <w:r w:rsidR="003E7DC7" w:rsidRPr="00CD59CC">
        <w:rPr>
          <w:rFonts w:ascii="Arial" w:hAnsi="Arial" w:cs="Arial"/>
        </w:rPr>
        <w:t>employee</w:t>
      </w:r>
      <w:r w:rsidR="007B7640" w:rsidRPr="00CD59CC">
        <w:rPr>
          <w:rFonts w:ascii="Arial" w:hAnsi="Arial" w:cs="Arial"/>
        </w:rPr>
        <w:t xml:space="preserve"> </w:t>
      </w:r>
      <w:r w:rsidR="003E7DC7" w:rsidRPr="00CD59CC">
        <w:rPr>
          <w:rFonts w:ascii="Arial" w:hAnsi="Arial" w:cs="Arial"/>
        </w:rPr>
        <w:t>under</w:t>
      </w:r>
      <w:r w:rsidR="007B7640" w:rsidRPr="00CD59CC">
        <w:rPr>
          <w:rFonts w:ascii="Arial" w:hAnsi="Arial" w:cs="Arial"/>
        </w:rPr>
        <w:t xml:space="preserve"> </w:t>
      </w:r>
      <w:r w:rsidR="003E7DC7" w:rsidRPr="00CD59CC">
        <w:rPr>
          <w:rFonts w:ascii="Arial" w:hAnsi="Arial" w:cs="Arial"/>
        </w:rPr>
        <w:t>the</w:t>
      </w:r>
      <w:r w:rsidR="007B7640" w:rsidRPr="00CD59CC">
        <w:rPr>
          <w:rFonts w:ascii="Arial" w:hAnsi="Arial" w:cs="Arial"/>
        </w:rPr>
        <w:t xml:space="preserve"> </w:t>
      </w:r>
      <w:r w:rsidR="003E7DC7" w:rsidRPr="00CD59CC">
        <w:rPr>
          <w:rFonts w:ascii="Arial" w:hAnsi="Arial" w:cs="Arial"/>
        </w:rPr>
        <w:t>relevant</w:t>
      </w:r>
      <w:r w:rsidR="007B7640" w:rsidRPr="00CD59CC">
        <w:rPr>
          <w:rFonts w:ascii="Arial" w:hAnsi="Arial" w:cs="Arial"/>
        </w:rPr>
        <w:t xml:space="preserve"> </w:t>
      </w:r>
      <w:r w:rsidR="003E7DC7" w:rsidRPr="00CD59CC">
        <w:rPr>
          <w:rFonts w:ascii="Arial" w:hAnsi="Arial" w:cs="Arial"/>
        </w:rPr>
        <w:t>legal</w:t>
      </w:r>
      <w:r w:rsidR="007B7640" w:rsidRPr="00CD59CC">
        <w:rPr>
          <w:rFonts w:ascii="Arial" w:hAnsi="Arial" w:cs="Arial"/>
        </w:rPr>
        <w:t xml:space="preserve"> </w:t>
      </w:r>
      <w:r w:rsidR="003E7DC7" w:rsidRPr="00CD59CC">
        <w:rPr>
          <w:rFonts w:ascii="Arial" w:hAnsi="Arial" w:cs="Arial"/>
        </w:rPr>
        <w:t>norm</w:t>
      </w:r>
      <w:r w:rsidR="007B7640" w:rsidRPr="00CD59CC">
        <w:rPr>
          <w:rFonts w:ascii="Arial" w:hAnsi="Arial" w:cs="Arial"/>
        </w:rPr>
        <w:t xml:space="preserve"> </w:t>
      </w:r>
      <w:r w:rsidR="003E7DC7" w:rsidRPr="00CD59CC">
        <w:rPr>
          <w:rFonts w:ascii="Arial" w:hAnsi="Arial" w:cs="Arial"/>
        </w:rPr>
        <w:t>is</w:t>
      </w:r>
      <w:r w:rsidR="007B7640" w:rsidRPr="00CD59CC">
        <w:rPr>
          <w:rFonts w:ascii="Arial" w:hAnsi="Arial" w:cs="Arial"/>
        </w:rPr>
        <w:t xml:space="preserve"> </w:t>
      </w:r>
      <w:r w:rsidR="003E7DC7" w:rsidRPr="00CD59CC">
        <w:rPr>
          <w:rFonts w:ascii="Arial" w:hAnsi="Arial" w:cs="Arial"/>
        </w:rPr>
        <w:t>HUF</w:t>
      </w:r>
      <w:r w:rsidR="007B7640" w:rsidRPr="00CD59CC">
        <w:rPr>
          <w:rFonts w:ascii="Arial" w:hAnsi="Arial" w:cs="Arial"/>
        </w:rPr>
        <w:t xml:space="preserve"> </w:t>
      </w:r>
      <w:r w:rsidR="003E7DC7" w:rsidRPr="00CD59CC">
        <w:rPr>
          <w:rFonts w:ascii="Arial" w:hAnsi="Arial" w:cs="Arial"/>
        </w:rPr>
        <w:t>77,300</w:t>
      </w:r>
      <w:r w:rsidR="007B7640" w:rsidRPr="00CD59CC">
        <w:rPr>
          <w:rFonts w:ascii="Arial" w:hAnsi="Arial" w:cs="Arial"/>
        </w:rPr>
        <w:t xml:space="preserve"> </w:t>
      </w:r>
      <w:r w:rsidR="003E7DC7" w:rsidRPr="00CD59CC">
        <w:rPr>
          <w:rFonts w:ascii="Arial" w:hAnsi="Arial" w:cs="Arial"/>
        </w:rPr>
        <w:t>–</w:t>
      </w:r>
      <w:r w:rsidR="007B7640" w:rsidRPr="00CD59CC">
        <w:rPr>
          <w:rFonts w:ascii="Arial" w:hAnsi="Arial" w:cs="Arial"/>
        </w:rPr>
        <w:t xml:space="preserve"> </w:t>
      </w:r>
      <w:r w:rsidR="003E7DC7" w:rsidRPr="00CD59CC">
        <w:rPr>
          <w:rFonts w:ascii="Arial" w:hAnsi="Arial" w:cs="Arial"/>
        </w:rPr>
        <w:t>EUR</w:t>
      </w:r>
      <w:r w:rsidR="007B7640" w:rsidRPr="00CD59CC">
        <w:rPr>
          <w:rFonts w:ascii="Arial" w:hAnsi="Arial" w:cs="Arial"/>
        </w:rPr>
        <w:t xml:space="preserve"> </w:t>
      </w:r>
      <w:r w:rsidR="003E7DC7" w:rsidRPr="00CD59CC">
        <w:rPr>
          <w:rFonts w:ascii="Arial" w:hAnsi="Arial" w:cs="Arial"/>
        </w:rPr>
        <w:t>258</w:t>
      </w:r>
      <w:r w:rsidR="007B7640" w:rsidRPr="00CD59CC">
        <w:rPr>
          <w:rFonts w:ascii="Arial" w:hAnsi="Arial" w:cs="Arial"/>
        </w:rPr>
        <w:t xml:space="preserve"> </w:t>
      </w:r>
      <w:r w:rsidR="003E7DC7" w:rsidRPr="00CD59CC">
        <w:rPr>
          <w:rFonts w:ascii="Arial" w:hAnsi="Arial" w:cs="Arial"/>
        </w:rPr>
        <w:t>–</w:t>
      </w:r>
      <w:r w:rsidR="007B7640" w:rsidRPr="00CD59CC">
        <w:rPr>
          <w:rFonts w:ascii="Arial" w:hAnsi="Arial" w:cs="Arial"/>
        </w:rPr>
        <w:t xml:space="preserve"> </w:t>
      </w:r>
      <w:r w:rsidR="003E7DC7" w:rsidRPr="00CD59CC">
        <w:rPr>
          <w:rFonts w:ascii="Arial" w:hAnsi="Arial" w:cs="Arial"/>
        </w:rPr>
        <w:t>per</w:t>
      </w:r>
      <w:r w:rsidR="007B7640" w:rsidRPr="00CD59CC">
        <w:rPr>
          <w:rFonts w:ascii="Arial" w:hAnsi="Arial" w:cs="Arial"/>
        </w:rPr>
        <w:t xml:space="preserve"> </w:t>
      </w:r>
      <w:r w:rsidR="003E7DC7" w:rsidRPr="00CD59CC">
        <w:rPr>
          <w:rFonts w:ascii="Arial" w:hAnsi="Arial" w:cs="Arial"/>
        </w:rPr>
        <w:t>month,</w:t>
      </w:r>
      <w:r w:rsidR="003E7DC7" w:rsidRPr="00CD59CC">
        <w:rPr>
          <w:rStyle w:val="FootnoteReference"/>
          <w:rFonts w:ascii="Arial" w:hAnsi="Arial" w:cs="Arial"/>
        </w:rPr>
        <w:footnoteReference w:id="10"/>
      </w:r>
      <w:r w:rsidR="007B7640" w:rsidRPr="00CD59CC">
        <w:rPr>
          <w:rFonts w:ascii="Arial" w:hAnsi="Arial" w:cs="Arial"/>
        </w:rPr>
        <w:t xml:space="preserve"> </w:t>
      </w:r>
      <w:r w:rsidR="003E7DC7" w:rsidRPr="00CD59CC">
        <w:rPr>
          <w:rFonts w:ascii="Arial" w:hAnsi="Arial" w:cs="Arial"/>
        </w:rPr>
        <w:t>whereas</w:t>
      </w:r>
      <w:r w:rsidR="007B7640" w:rsidRPr="00CD59CC">
        <w:rPr>
          <w:rFonts w:ascii="Arial" w:hAnsi="Arial" w:cs="Arial"/>
        </w:rPr>
        <w:t xml:space="preserve"> </w:t>
      </w:r>
      <w:r w:rsidR="003E7DC7" w:rsidRPr="00CD59CC">
        <w:rPr>
          <w:rFonts w:ascii="Arial" w:hAnsi="Arial" w:cs="Arial"/>
        </w:rPr>
        <w:t>the</w:t>
      </w:r>
      <w:r w:rsidR="007B7640" w:rsidRPr="00CD59CC">
        <w:rPr>
          <w:rFonts w:ascii="Arial" w:hAnsi="Arial" w:cs="Arial"/>
        </w:rPr>
        <w:t xml:space="preserve"> </w:t>
      </w:r>
      <w:r w:rsidR="003E7DC7" w:rsidRPr="00CD59CC">
        <w:rPr>
          <w:rFonts w:ascii="Arial" w:hAnsi="Arial" w:cs="Arial"/>
        </w:rPr>
        <w:t>statutory</w:t>
      </w:r>
      <w:r w:rsidR="007B7640" w:rsidRPr="00CD59CC">
        <w:rPr>
          <w:rFonts w:ascii="Arial" w:hAnsi="Arial" w:cs="Arial"/>
        </w:rPr>
        <w:t xml:space="preserve"> </w:t>
      </w:r>
      <w:r w:rsidR="003E7DC7" w:rsidRPr="00CD59CC">
        <w:rPr>
          <w:rFonts w:ascii="Arial" w:hAnsi="Arial" w:cs="Arial"/>
        </w:rPr>
        <w:t>minimum</w:t>
      </w:r>
      <w:r w:rsidR="007B7640" w:rsidRPr="00CD59CC">
        <w:rPr>
          <w:rFonts w:ascii="Arial" w:hAnsi="Arial" w:cs="Arial"/>
        </w:rPr>
        <w:t xml:space="preserve"> </w:t>
      </w:r>
      <w:r w:rsidR="003E7DC7" w:rsidRPr="00CD59CC">
        <w:rPr>
          <w:rFonts w:ascii="Arial" w:hAnsi="Arial" w:cs="Arial"/>
        </w:rPr>
        <w:t>wage</w:t>
      </w:r>
      <w:r w:rsidR="007B7640" w:rsidRPr="00CD59CC">
        <w:rPr>
          <w:rFonts w:ascii="Arial" w:hAnsi="Arial" w:cs="Arial"/>
        </w:rPr>
        <w:t xml:space="preserve"> </w:t>
      </w:r>
      <w:r w:rsidR="003E7DC7" w:rsidRPr="00CD59CC">
        <w:rPr>
          <w:rFonts w:ascii="Arial" w:hAnsi="Arial" w:cs="Arial"/>
        </w:rPr>
        <w:t>is</w:t>
      </w:r>
      <w:r w:rsidR="007B7640" w:rsidRPr="00CD59CC">
        <w:rPr>
          <w:rFonts w:ascii="Arial" w:hAnsi="Arial" w:cs="Arial"/>
        </w:rPr>
        <w:t xml:space="preserve"> </w:t>
      </w:r>
      <w:r w:rsidR="003E7DC7" w:rsidRPr="00CD59CC">
        <w:rPr>
          <w:rFonts w:ascii="Arial" w:hAnsi="Arial" w:cs="Arial"/>
        </w:rPr>
        <w:t>HUF</w:t>
      </w:r>
      <w:r w:rsidR="007B7640" w:rsidRPr="00CD59CC">
        <w:rPr>
          <w:rFonts w:ascii="Arial" w:hAnsi="Arial" w:cs="Arial"/>
        </w:rPr>
        <w:t xml:space="preserve"> </w:t>
      </w:r>
      <w:r w:rsidR="003E7DC7" w:rsidRPr="00CD59CC">
        <w:rPr>
          <w:rFonts w:ascii="Arial" w:hAnsi="Arial" w:cs="Arial"/>
        </w:rPr>
        <w:t>101,500</w:t>
      </w:r>
      <w:r w:rsidR="007B7640" w:rsidRPr="00CD59CC">
        <w:rPr>
          <w:rFonts w:ascii="Arial" w:hAnsi="Arial" w:cs="Arial"/>
        </w:rPr>
        <w:t xml:space="preserve"> </w:t>
      </w:r>
      <w:r w:rsidR="003E7DC7" w:rsidRPr="00CD59CC">
        <w:rPr>
          <w:rFonts w:ascii="Arial" w:hAnsi="Arial" w:cs="Arial"/>
        </w:rPr>
        <w:t>–</w:t>
      </w:r>
      <w:r w:rsidR="007B7640" w:rsidRPr="00CD59CC">
        <w:rPr>
          <w:rFonts w:ascii="Arial" w:hAnsi="Arial" w:cs="Arial"/>
        </w:rPr>
        <w:t xml:space="preserve"> </w:t>
      </w:r>
      <w:r w:rsidR="003E7DC7" w:rsidRPr="00CD59CC">
        <w:rPr>
          <w:rFonts w:ascii="Arial" w:hAnsi="Arial" w:cs="Arial"/>
        </w:rPr>
        <w:t>EUR</w:t>
      </w:r>
      <w:r w:rsidR="007B7640" w:rsidRPr="00CD59CC">
        <w:rPr>
          <w:rFonts w:ascii="Arial" w:hAnsi="Arial" w:cs="Arial"/>
        </w:rPr>
        <w:t xml:space="preserve"> </w:t>
      </w:r>
      <w:r w:rsidR="003E7DC7" w:rsidRPr="00CD59CC">
        <w:rPr>
          <w:rFonts w:ascii="Arial" w:hAnsi="Arial" w:cs="Arial"/>
        </w:rPr>
        <w:t>338</w:t>
      </w:r>
      <w:r w:rsidR="007B7640" w:rsidRPr="00CD59CC">
        <w:rPr>
          <w:rFonts w:ascii="Arial" w:hAnsi="Arial" w:cs="Arial"/>
        </w:rPr>
        <w:t xml:space="preserve"> </w:t>
      </w:r>
      <w:r w:rsidR="003E7DC7" w:rsidRPr="00CD59CC">
        <w:rPr>
          <w:rFonts w:ascii="Arial" w:hAnsi="Arial" w:cs="Arial"/>
        </w:rPr>
        <w:t>–</w:t>
      </w:r>
      <w:r w:rsidR="007B7640" w:rsidRPr="00CD59CC">
        <w:rPr>
          <w:rFonts w:ascii="Arial" w:hAnsi="Arial" w:cs="Arial"/>
        </w:rPr>
        <w:t xml:space="preserve"> </w:t>
      </w:r>
      <w:r w:rsidR="003E7DC7" w:rsidRPr="00CD59CC">
        <w:rPr>
          <w:rFonts w:ascii="Arial" w:hAnsi="Arial" w:cs="Arial"/>
        </w:rPr>
        <w:t>per</w:t>
      </w:r>
      <w:r w:rsidR="007B7640" w:rsidRPr="00CD59CC">
        <w:rPr>
          <w:rFonts w:ascii="Arial" w:hAnsi="Arial" w:cs="Arial"/>
        </w:rPr>
        <w:t xml:space="preserve"> </w:t>
      </w:r>
      <w:r w:rsidR="00592BD1">
        <w:rPr>
          <w:rFonts w:ascii="Arial" w:hAnsi="Arial" w:cs="Arial"/>
        </w:rPr>
        <w:t>month).</w:t>
      </w:r>
      <w:r w:rsidR="003E7DC7" w:rsidRPr="00CD59CC">
        <w:rPr>
          <w:rStyle w:val="FootnoteReference"/>
          <w:rFonts w:ascii="Arial" w:hAnsi="Arial" w:cs="Arial"/>
        </w:rPr>
        <w:footnoteReference w:id="11"/>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report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investigation</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programmes,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Commissioner</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003E7DC7" w:rsidRPr="00CD59CC">
        <w:rPr>
          <w:rFonts w:ascii="Arial" w:hAnsi="Arial" w:cs="Arial"/>
        </w:rPr>
        <w:t>concluded</w:t>
      </w:r>
      <w:r w:rsidR="007B7640" w:rsidRPr="00CD59CC">
        <w:rPr>
          <w:rFonts w:ascii="Arial" w:hAnsi="Arial" w:cs="Arial"/>
        </w:rPr>
        <w:t xml:space="preserve"> </w:t>
      </w:r>
      <w:r w:rsidR="003E7DC7" w:rsidRPr="00CD59CC">
        <w:rPr>
          <w:rFonts w:ascii="Arial" w:hAnsi="Arial" w:cs="Arial"/>
        </w:rPr>
        <w:t>that</w:t>
      </w:r>
      <w:r w:rsidR="007B7640" w:rsidRPr="00CD59CC">
        <w:rPr>
          <w:rFonts w:ascii="Arial" w:hAnsi="Arial" w:cs="Arial"/>
        </w:rPr>
        <w:t xml:space="preserve"> </w:t>
      </w:r>
      <w:r w:rsidR="009309FA" w:rsidRPr="00CD59CC">
        <w:rPr>
          <w:rFonts w:ascii="Arial" w:hAnsi="Arial" w:cs="Arial"/>
        </w:rPr>
        <w:t>this</w:t>
      </w:r>
      <w:r w:rsidR="007B7640" w:rsidRPr="00CD59CC">
        <w:rPr>
          <w:rFonts w:ascii="Arial" w:hAnsi="Arial" w:cs="Arial"/>
        </w:rPr>
        <w:t xml:space="preserve"> </w:t>
      </w:r>
      <w:r w:rsidR="009309FA" w:rsidRPr="00CD59CC">
        <w:rPr>
          <w:rFonts w:ascii="Arial" w:hAnsi="Arial" w:cs="Arial"/>
        </w:rPr>
        <w:t>situation</w:t>
      </w:r>
      <w:r w:rsidR="007B7640" w:rsidRPr="00CD59CC">
        <w:rPr>
          <w:rFonts w:ascii="Arial" w:hAnsi="Arial" w:cs="Arial"/>
        </w:rPr>
        <w:t xml:space="preserve"> </w:t>
      </w:r>
      <w:r w:rsidR="009309FA" w:rsidRPr="00CD59CC">
        <w:rPr>
          <w:rFonts w:ascii="Arial" w:hAnsi="Arial" w:cs="Arial"/>
        </w:rPr>
        <w:t>violates</w:t>
      </w:r>
      <w:r w:rsidR="007B7640" w:rsidRPr="00CD59CC">
        <w:rPr>
          <w:rFonts w:ascii="Arial" w:hAnsi="Arial" w:cs="Arial"/>
        </w:rPr>
        <w:t xml:space="preserve"> </w:t>
      </w:r>
      <w:r w:rsidR="009309FA" w:rsidRPr="00CD59CC">
        <w:rPr>
          <w:rFonts w:ascii="Arial" w:hAnsi="Arial" w:cs="Arial"/>
        </w:rPr>
        <w:t>the</w:t>
      </w:r>
      <w:r w:rsidR="007B7640" w:rsidRPr="00CD59CC">
        <w:rPr>
          <w:rFonts w:ascii="Arial" w:hAnsi="Arial" w:cs="Arial"/>
        </w:rPr>
        <w:t xml:space="preserve"> </w:t>
      </w:r>
      <w:r w:rsidR="009309FA" w:rsidRPr="00CD59CC">
        <w:rPr>
          <w:rFonts w:ascii="Arial" w:hAnsi="Arial" w:cs="Arial"/>
        </w:rPr>
        <w:t>requirement</w:t>
      </w:r>
      <w:r w:rsidR="007B7640" w:rsidRPr="00CD59CC">
        <w:rPr>
          <w:rFonts w:ascii="Arial" w:hAnsi="Arial" w:cs="Arial"/>
        </w:rPr>
        <w:t xml:space="preserve"> </w:t>
      </w:r>
      <w:r w:rsidR="009309FA" w:rsidRPr="00CD59CC">
        <w:rPr>
          <w:rFonts w:ascii="Arial" w:hAnsi="Arial" w:cs="Arial"/>
        </w:rPr>
        <w:t>of</w:t>
      </w:r>
      <w:r w:rsidR="007B7640" w:rsidRPr="00CD59CC">
        <w:rPr>
          <w:rFonts w:ascii="Arial" w:hAnsi="Arial" w:cs="Arial"/>
        </w:rPr>
        <w:t xml:space="preserve"> </w:t>
      </w:r>
      <w:r w:rsidR="009309FA" w:rsidRPr="00CD59CC">
        <w:rPr>
          <w:rFonts w:ascii="Arial" w:hAnsi="Arial" w:cs="Arial"/>
        </w:rPr>
        <w:t>equal</w:t>
      </w:r>
      <w:r w:rsidR="007B7640" w:rsidRPr="00CD59CC">
        <w:rPr>
          <w:rFonts w:ascii="Arial" w:hAnsi="Arial" w:cs="Arial"/>
        </w:rPr>
        <w:t xml:space="preserve"> </w:t>
      </w:r>
      <w:r w:rsidR="009309FA" w:rsidRPr="00CD59CC">
        <w:rPr>
          <w:rFonts w:ascii="Arial" w:hAnsi="Arial" w:cs="Arial"/>
        </w:rPr>
        <w:t>treatment.</w:t>
      </w:r>
      <w:r w:rsidR="009309FA" w:rsidRPr="00CD59CC">
        <w:rPr>
          <w:rStyle w:val="FootnoteReference"/>
          <w:rFonts w:ascii="Arial" w:hAnsi="Arial" w:cs="Arial"/>
        </w:rPr>
        <w:footnoteReference w:id="12"/>
      </w:r>
      <w:r w:rsidR="007B7640" w:rsidRPr="00CD59CC">
        <w:rPr>
          <w:rFonts w:ascii="Arial" w:hAnsi="Arial" w:cs="Arial"/>
        </w:rPr>
        <w:t xml:space="preserve"> </w:t>
      </w:r>
      <w:r w:rsidR="009E55B7" w:rsidRPr="00CD59CC">
        <w:rPr>
          <w:rFonts w:ascii="Arial" w:hAnsi="Arial" w:cs="Arial"/>
        </w:rPr>
        <w:t>(A</w:t>
      </w:r>
      <w:r w:rsidR="007B7640" w:rsidRPr="00CD59CC">
        <w:rPr>
          <w:rFonts w:ascii="Arial" w:hAnsi="Arial" w:cs="Arial"/>
        </w:rPr>
        <w:t xml:space="preserve"> </w:t>
      </w:r>
      <w:r w:rsidR="009E55B7" w:rsidRPr="00CD59CC">
        <w:rPr>
          <w:rFonts w:ascii="Arial" w:hAnsi="Arial" w:cs="Arial"/>
        </w:rPr>
        <w:t>person</w:t>
      </w:r>
      <w:r w:rsidR="007B7640" w:rsidRPr="00CD59CC">
        <w:rPr>
          <w:rFonts w:ascii="Arial" w:hAnsi="Arial" w:cs="Arial"/>
        </w:rPr>
        <w:t xml:space="preserve"> </w:t>
      </w:r>
      <w:r w:rsidR="009E55B7" w:rsidRPr="00CD59CC">
        <w:rPr>
          <w:rFonts w:ascii="Arial" w:hAnsi="Arial" w:cs="Arial"/>
        </w:rPr>
        <w:t>employed</w:t>
      </w:r>
      <w:r w:rsidR="007B7640" w:rsidRPr="00CD59CC">
        <w:rPr>
          <w:rFonts w:ascii="Arial" w:hAnsi="Arial" w:cs="Arial"/>
        </w:rPr>
        <w:t xml:space="preserve"> </w:t>
      </w:r>
      <w:r w:rsidR="009E55B7" w:rsidRPr="00CD59CC">
        <w:rPr>
          <w:rFonts w:ascii="Arial" w:hAnsi="Arial" w:cs="Arial"/>
        </w:rPr>
        <w:t>at</w:t>
      </w:r>
      <w:r w:rsidR="007B7640" w:rsidRPr="00CD59CC">
        <w:rPr>
          <w:rFonts w:ascii="Arial" w:hAnsi="Arial" w:cs="Arial"/>
        </w:rPr>
        <w:t xml:space="preserve"> </w:t>
      </w:r>
      <w:r w:rsidR="009E55B7" w:rsidRPr="00CD59CC">
        <w:rPr>
          <w:rFonts w:ascii="Arial" w:hAnsi="Arial" w:cs="Arial"/>
        </w:rPr>
        <w:t>an</w:t>
      </w:r>
      <w:r w:rsidR="007B7640" w:rsidRPr="00CD59CC">
        <w:rPr>
          <w:rFonts w:ascii="Arial" w:hAnsi="Arial" w:cs="Arial"/>
        </w:rPr>
        <w:t xml:space="preserve"> </w:t>
      </w:r>
      <w:r w:rsidR="009E55B7" w:rsidRPr="00CD59CC">
        <w:rPr>
          <w:rFonts w:ascii="Arial" w:hAnsi="Arial" w:cs="Arial"/>
        </w:rPr>
        <w:t>eight-hour</w:t>
      </w:r>
      <w:r w:rsidR="007B7640" w:rsidRPr="00CD59CC">
        <w:rPr>
          <w:rFonts w:ascii="Arial" w:hAnsi="Arial" w:cs="Arial"/>
        </w:rPr>
        <w:t xml:space="preserve"> </w:t>
      </w:r>
      <w:r w:rsidR="009E55B7" w:rsidRPr="00CD59CC">
        <w:rPr>
          <w:rFonts w:ascii="Arial" w:hAnsi="Arial" w:cs="Arial"/>
        </w:rPr>
        <w:t>public</w:t>
      </w:r>
      <w:r w:rsidR="007B7640" w:rsidRPr="00CD59CC">
        <w:rPr>
          <w:rFonts w:ascii="Arial" w:hAnsi="Arial" w:cs="Arial"/>
        </w:rPr>
        <w:t xml:space="preserve"> </w:t>
      </w:r>
      <w:r w:rsidR="009E55B7" w:rsidRPr="00CD59CC">
        <w:rPr>
          <w:rFonts w:ascii="Arial" w:hAnsi="Arial" w:cs="Arial"/>
        </w:rPr>
        <w:t>work</w:t>
      </w:r>
      <w:r w:rsidR="007B7640" w:rsidRPr="00CD59CC">
        <w:rPr>
          <w:rFonts w:ascii="Arial" w:hAnsi="Arial" w:cs="Arial"/>
        </w:rPr>
        <w:t xml:space="preserve"> </w:t>
      </w:r>
      <w:r w:rsidR="009E55B7" w:rsidRPr="00CD59CC">
        <w:rPr>
          <w:rFonts w:ascii="Arial" w:hAnsi="Arial" w:cs="Arial"/>
        </w:rPr>
        <w:t>position</w:t>
      </w:r>
      <w:r w:rsidR="007B7640" w:rsidRPr="00CD59CC">
        <w:rPr>
          <w:rFonts w:ascii="Arial" w:hAnsi="Arial" w:cs="Arial"/>
        </w:rPr>
        <w:t xml:space="preserve"> </w:t>
      </w:r>
      <w:r w:rsidR="009E55B7" w:rsidRPr="00CD59CC">
        <w:rPr>
          <w:rFonts w:ascii="Arial" w:hAnsi="Arial" w:cs="Arial"/>
        </w:rPr>
        <w:t>filed</w:t>
      </w:r>
      <w:r w:rsidR="007B7640" w:rsidRPr="00CD59CC">
        <w:rPr>
          <w:rFonts w:ascii="Arial" w:hAnsi="Arial" w:cs="Arial"/>
        </w:rPr>
        <w:t xml:space="preserve"> </w:t>
      </w:r>
      <w:r w:rsidR="009E55B7" w:rsidRPr="00CD59CC">
        <w:rPr>
          <w:rFonts w:ascii="Arial" w:hAnsi="Arial" w:cs="Arial"/>
        </w:rPr>
        <w:t>a</w:t>
      </w:r>
      <w:r w:rsidR="007B7640" w:rsidRPr="00CD59CC">
        <w:rPr>
          <w:rFonts w:ascii="Arial" w:hAnsi="Arial" w:cs="Arial"/>
        </w:rPr>
        <w:t xml:space="preserve"> </w:t>
      </w:r>
      <w:r w:rsidR="009E55B7" w:rsidRPr="00CD59CC">
        <w:rPr>
          <w:rFonts w:ascii="Arial" w:hAnsi="Arial" w:cs="Arial"/>
        </w:rPr>
        <w:t>complaint</w:t>
      </w:r>
      <w:r w:rsidR="007B7640" w:rsidRPr="00CD59CC">
        <w:rPr>
          <w:rFonts w:ascii="Arial" w:hAnsi="Arial" w:cs="Arial"/>
        </w:rPr>
        <w:t xml:space="preserve"> </w:t>
      </w:r>
      <w:r w:rsidR="009E55B7" w:rsidRPr="00CD59CC">
        <w:rPr>
          <w:rFonts w:ascii="Arial" w:hAnsi="Arial" w:cs="Arial"/>
        </w:rPr>
        <w:t>with</w:t>
      </w:r>
      <w:r w:rsidR="007B7640" w:rsidRPr="00CD59CC">
        <w:rPr>
          <w:rFonts w:ascii="Arial" w:hAnsi="Arial" w:cs="Arial"/>
        </w:rPr>
        <w:t xml:space="preserve"> </w:t>
      </w:r>
      <w:r w:rsidR="009E55B7" w:rsidRPr="00CD59CC">
        <w:rPr>
          <w:rFonts w:ascii="Arial" w:hAnsi="Arial" w:cs="Arial"/>
        </w:rPr>
        <w:t>the</w:t>
      </w:r>
      <w:r w:rsidR="007B7640" w:rsidRPr="00CD59CC">
        <w:rPr>
          <w:rFonts w:ascii="Arial" w:hAnsi="Arial" w:cs="Arial"/>
        </w:rPr>
        <w:t xml:space="preserve"> </w:t>
      </w:r>
      <w:r w:rsidR="009E55B7" w:rsidRPr="00CD59CC">
        <w:rPr>
          <w:rFonts w:ascii="Arial" w:hAnsi="Arial" w:cs="Arial"/>
        </w:rPr>
        <w:t>Constitutional</w:t>
      </w:r>
      <w:r w:rsidR="007B7640" w:rsidRPr="00CD59CC">
        <w:rPr>
          <w:rFonts w:ascii="Arial" w:hAnsi="Arial" w:cs="Arial"/>
        </w:rPr>
        <w:t xml:space="preserve"> </w:t>
      </w:r>
      <w:r w:rsidR="009E55B7" w:rsidRPr="00CD59CC">
        <w:rPr>
          <w:rFonts w:ascii="Arial" w:hAnsi="Arial" w:cs="Arial"/>
        </w:rPr>
        <w:t>Court</w:t>
      </w:r>
      <w:r w:rsidR="007B7640" w:rsidRPr="00CD59CC">
        <w:rPr>
          <w:rFonts w:ascii="Arial" w:hAnsi="Arial" w:cs="Arial"/>
        </w:rPr>
        <w:t xml:space="preserve"> </w:t>
      </w:r>
      <w:r w:rsidR="009E55B7" w:rsidRPr="00CD59CC">
        <w:rPr>
          <w:rFonts w:ascii="Arial" w:hAnsi="Arial" w:cs="Arial"/>
        </w:rPr>
        <w:t>with</w:t>
      </w:r>
      <w:r w:rsidR="007B7640" w:rsidRPr="00CD59CC">
        <w:rPr>
          <w:rFonts w:ascii="Arial" w:hAnsi="Arial" w:cs="Arial"/>
        </w:rPr>
        <w:t xml:space="preserve"> </w:t>
      </w:r>
      <w:r w:rsidR="009E55B7" w:rsidRPr="00CD59CC">
        <w:rPr>
          <w:rFonts w:ascii="Arial" w:hAnsi="Arial" w:cs="Arial"/>
        </w:rPr>
        <w:t>regards</w:t>
      </w:r>
      <w:r w:rsidR="007B7640" w:rsidRPr="00CD59CC">
        <w:rPr>
          <w:rFonts w:ascii="Arial" w:hAnsi="Arial" w:cs="Arial"/>
        </w:rPr>
        <w:t xml:space="preserve"> </w:t>
      </w:r>
      <w:r w:rsidR="009E55B7" w:rsidRPr="00CD59CC">
        <w:rPr>
          <w:rFonts w:ascii="Arial" w:hAnsi="Arial" w:cs="Arial"/>
        </w:rPr>
        <w:t>to</w:t>
      </w:r>
      <w:r w:rsidR="007B7640" w:rsidRPr="00CD59CC">
        <w:rPr>
          <w:rFonts w:ascii="Arial" w:hAnsi="Arial" w:cs="Arial"/>
        </w:rPr>
        <w:t xml:space="preserve"> </w:t>
      </w:r>
      <w:r w:rsidR="009E55B7" w:rsidRPr="00CD59CC">
        <w:rPr>
          <w:rFonts w:ascii="Arial" w:hAnsi="Arial" w:cs="Arial"/>
        </w:rPr>
        <w:t>–</w:t>
      </w:r>
      <w:r w:rsidR="007B7640" w:rsidRPr="00CD59CC">
        <w:rPr>
          <w:rFonts w:ascii="Arial" w:hAnsi="Arial" w:cs="Arial"/>
        </w:rPr>
        <w:t xml:space="preserve"> </w:t>
      </w:r>
      <w:r w:rsidR="009E55B7" w:rsidRPr="00CD59CC">
        <w:rPr>
          <w:rFonts w:ascii="Arial" w:hAnsi="Arial" w:cs="Arial"/>
        </w:rPr>
        <w:t>among</w:t>
      </w:r>
      <w:r w:rsidR="007B7640" w:rsidRPr="00CD59CC">
        <w:rPr>
          <w:rFonts w:ascii="Arial" w:hAnsi="Arial" w:cs="Arial"/>
        </w:rPr>
        <w:t xml:space="preserve"> </w:t>
      </w:r>
      <w:r w:rsidR="009E55B7" w:rsidRPr="00CD59CC">
        <w:rPr>
          <w:rFonts w:ascii="Arial" w:hAnsi="Arial" w:cs="Arial"/>
        </w:rPr>
        <w:t>others</w:t>
      </w:r>
      <w:r w:rsidR="007B7640" w:rsidRPr="00CD59CC">
        <w:rPr>
          <w:rFonts w:ascii="Arial" w:hAnsi="Arial" w:cs="Arial"/>
        </w:rPr>
        <w:t xml:space="preserve"> </w:t>
      </w:r>
      <w:r w:rsidR="009E55B7" w:rsidRPr="00CD59CC">
        <w:rPr>
          <w:rFonts w:ascii="Arial" w:hAnsi="Arial" w:cs="Arial"/>
        </w:rPr>
        <w:t>–</w:t>
      </w:r>
      <w:r w:rsidR="007B7640" w:rsidRPr="00CD59CC">
        <w:rPr>
          <w:rFonts w:ascii="Arial" w:hAnsi="Arial" w:cs="Arial"/>
        </w:rPr>
        <w:t xml:space="preserve"> </w:t>
      </w:r>
      <w:r w:rsidR="009E55B7" w:rsidRPr="00CD59CC">
        <w:rPr>
          <w:rFonts w:ascii="Arial" w:hAnsi="Arial" w:cs="Arial"/>
        </w:rPr>
        <w:t>the</w:t>
      </w:r>
      <w:r w:rsidR="007B7640" w:rsidRPr="00CD59CC">
        <w:rPr>
          <w:rFonts w:ascii="Arial" w:hAnsi="Arial" w:cs="Arial"/>
        </w:rPr>
        <w:t xml:space="preserve"> </w:t>
      </w:r>
      <w:r w:rsidR="009E55B7" w:rsidRPr="00CD59CC">
        <w:rPr>
          <w:rFonts w:ascii="Arial" w:hAnsi="Arial" w:cs="Arial"/>
        </w:rPr>
        <w:t>amount</w:t>
      </w:r>
      <w:r w:rsidR="007B7640" w:rsidRPr="00CD59CC">
        <w:rPr>
          <w:rFonts w:ascii="Arial" w:hAnsi="Arial" w:cs="Arial"/>
        </w:rPr>
        <w:t xml:space="preserve"> </w:t>
      </w:r>
      <w:r w:rsidR="009E55B7" w:rsidRPr="00CD59CC">
        <w:rPr>
          <w:rFonts w:ascii="Arial" w:hAnsi="Arial" w:cs="Arial"/>
        </w:rPr>
        <w:t>of</w:t>
      </w:r>
      <w:r w:rsidR="007B7640" w:rsidRPr="00CD59CC">
        <w:rPr>
          <w:rFonts w:ascii="Arial" w:hAnsi="Arial" w:cs="Arial"/>
        </w:rPr>
        <w:t xml:space="preserve"> </w:t>
      </w:r>
      <w:r w:rsidR="009E55B7" w:rsidRPr="00CD59CC">
        <w:rPr>
          <w:rFonts w:ascii="Arial" w:hAnsi="Arial" w:cs="Arial"/>
        </w:rPr>
        <w:t>the</w:t>
      </w:r>
      <w:r w:rsidR="007B7640" w:rsidRPr="00CD59CC">
        <w:rPr>
          <w:rFonts w:ascii="Arial" w:hAnsi="Arial" w:cs="Arial"/>
        </w:rPr>
        <w:t xml:space="preserve"> </w:t>
      </w:r>
      <w:r w:rsidR="009E55B7" w:rsidRPr="00CD59CC">
        <w:rPr>
          <w:rFonts w:ascii="Arial" w:hAnsi="Arial" w:cs="Arial"/>
        </w:rPr>
        <w:t>wages.</w:t>
      </w:r>
      <w:r w:rsidR="009E55B7" w:rsidRPr="00CD59CC">
        <w:rPr>
          <w:rStyle w:val="FootnoteReference"/>
          <w:rFonts w:ascii="Arial" w:hAnsi="Arial" w:cs="Arial"/>
        </w:rPr>
        <w:footnoteReference w:id="13"/>
      </w:r>
      <w:r w:rsidR="007B7640" w:rsidRPr="00CD59CC">
        <w:rPr>
          <w:rFonts w:ascii="Arial" w:hAnsi="Arial" w:cs="Arial"/>
        </w:rPr>
        <w:t xml:space="preserve"> </w:t>
      </w:r>
      <w:r w:rsidR="009E55B7" w:rsidRPr="00CD59CC">
        <w:rPr>
          <w:rFonts w:ascii="Arial" w:hAnsi="Arial" w:cs="Arial"/>
        </w:rPr>
        <w:t>The</w:t>
      </w:r>
      <w:r w:rsidR="007B7640" w:rsidRPr="00CD59CC">
        <w:rPr>
          <w:rFonts w:ascii="Arial" w:hAnsi="Arial" w:cs="Arial"/>
        </w:rPr>
        <w:t xml:space="preserve"> </w:t>
      </w:r>
      <w:r w:rsidR="009E55B7" w:rsidRPr="00CD59CC">
        <w:rPr>
          <w:rFonts w:ascii="Arial" w:hAnsi="Arial" w:cs="Arial"/>
        </w:rPr>
        <w:t>case</w:t>
      </w:r>
      <w:r w:rsidR="007B7640" w:rsidRPr="00CD59CC">
        <w:rPr>
          <w:rFonts w:ascii="Arial" w:hAnsi="Arial" w:cs="Arial"/>
        </w:rPr>
        <w:t xml:space="preserve"> </w:t>
      </w:r>
      <w:r w:rsidR="009E55B7" w:rsidRPr="00CD59CC">
        <w:rPr>
          <w:rFonts w:ascii="Arial" w:hAnsi="Arial" w:cs="Arial"/>
        </w:rPr>
        <w:t>is</w:t>
      </w:r>
      <w:r w:rsidR="007B7640" w:rsidRPr="00CD59CC">
        <w:rPr>
          <w:rFonts w:ascii="Arial" w:hAnsi="Arial" w:cs="Arial"/>
        </w:rPr>
        <w:t xml:space="preserve"> </w:t>
      </w:r>
      <w:r w:rsidR="009E55B7" w:rsidRPr="00CD59CC">
        <w:rPr>
          <w:rFonts w:ascii="Arial" w:hAnsi="Arial" w:cs="Arial"/>
        </w:rPr>
        <w:t>pending.)</w:t>
      </w:r>
    </w:p>
    <w:p w14:paraId="5E7BCE6F" w14:textId="77777777" w:rsidR="00473F3A" w:rsidRPr="00CD59CC" w:rsidRDefault="00473F3A" w:rsidP="00CD59CC">
      <w:pPr>
        <w:rPr>
          <w:rFonts w:ascii="Arial" w:hAnsi="Arial" w:cs="Arial"/>
        </w:rPr>
      </w:pPr>
    </w:p>
    <w:p w14:paraId="4EAB5DC7" w14:textId="77777777" w:rsidR="00473F3A" w:rsidRPr="00CD59CC" w:rsidRDefault="00473F3A" w:rsidP="00CD59CC">
      <w:pPr>
        <w:rPr>
          <w:rFonts w:ascii="Arial" w:hAnsi="Arial" w:cs="Arial"/>
        </w:rPr>
      </w:pPr>
      <w:r w:rsidRPr="00CD59CC">
        <w:rPr>
          <w:rFonts w:ascii="Arial" w:hAnsi="Arial" w:cs="Arial"/>
        </w:rPr>
        <w:lastRenderedPageBreak/>
        <w:t>Due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highly</w:t>
      </w:r>
      <w:r w:rsidR="007B7640" w:rsidRPr="00CD59CC">
        <w:rPr>
          <w:rFonts w:ascii="Arial" w:hAnsi="Arial" w:cs="Arial"/>
        </w:rPr>
        <w:t xml:space="preserve"> </w:t>
      </w:r>
      <w:r w:rsidRPr="00CD59CC">
        <w:rPr>
          <w:rFonts w:ascii="Arial" w:hAnsi="Arial" w:cs="Arial"/>
        </w:rPr>
        <w:t>overrepresented</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unemployed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programmes,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wage</w:t>
      </w:r>
      <w:r w:rsidR="007B7640" w:rsidRPr="00CD59CC">
        <w:rPr>
          <w:rFonts w:ascii="Arial" w:hAnsi="Arial" w:cs="Arial"/>
        </w:rPr>
        <w:t xml:space="preserve"> </w:t>
      </w:r>
      <w:r w:rsidRPr="00CD59CC">
        <w:rPr>
          <w:rFonts w:ascii="Arial" w:hAnsi="Arial" w:cs="Arial"/>
        </w:rPr>
        <w:t>difference</w:t>
      </w:r>
      <w:r w:rsidR="007B7640" w:rsidRPr="00CD59CC">
        <w:rPr>
          <w:rFonts w:ascii="Arial" w:hAnsi="Arial" w:cs="Arial"/>
        </w:rPr>
        <w:t xml:space="preserve"> </w:t>
      </w:r>
      <w:r w:rsidR="009E55B7" w:rsidRPr="00CD59CC">
        <w:rPr>
          <w:rFonts w:ascii="Arial" w:hAnsi="Arial" w:cs="Arial"/>
        </w:rPr>
        <w:t>is</w:t>
      </w:r>
      <w:r w:rsidR="007B7640" w:rsidRPr="00CD59CC">
        <w:rPr>
          <w:rFonts w:ascii="Arial" w:hAnsi="Arial" w:cs="Arial"/>
        </w:rPr>
        <w:t xml:space="preserve"> </w:t>
      </w:r>
      <w:r w:rsidR="009E55B7" w:rsidRPr="00CD59CC">
        <w:rPr>
          <w:rFonts w:ascii="Arial" w:hAnsi="Arial" w:cs="Arial"/>
        </w:rPr>
        <w:t>highly</w:t>
      </w:r>
      <w:r w:rsidR="007B7640" w:rsidRPr="00CD59CC">
        <w:rPr>
          <w:rFonts w:ascii="Arial" w:hAnsi="Arial" w:cs="Arial"/>
        </w:rPr>
        <w:t xml:space="preserve"> </w:t>
      </w:r>
      <w:r w:rsidR="009E55B7" w:rsidRPr="00CD59CC">
        <w:rPr>
          <w:rFonts w:ascii="Arial" w:hAnsi="Arial" w:cs="Arial"/>
        </w:rPr>
        <w:t>likely</w:t>
      </w:r>
      <w:r w:rsidR="007B7640" w:rsidRPr="00CD59CC">
        <w:rPr>
          <w:rFonts w:ascii="Arial" w:hAnsi="Arial" w:cs="Arial"/>
        </w:rPr>
        <w:t xml:space="preserve"> </w:t>
      </w:r>
      <w:r w:rsidR="009E55B7" w:rsidRPr="00CD59CC">
        <w:rPr>
          <w:rFonts w:ascii="Arial" w:hAnsi="Arial" w:cs="Arial"/>
        </w:rPr>
        <w:t>to</w:t>
      </w:r>
      <w:r w:rsidR="007B7640" w:rsidRPr="00CD59CC">
        <w:rPr>
          <w:rFonts w:ascii="Arial" w:hAnsi="Arial" w:cs="Arial"/>
        </w:rPr>
        <w:t xml:space="preserve"> </w:t>
      </w:r>
      <w:r w:rsidRPr="00CD59CC">
        <w:rPr>
          <w:rFonts w:ascii="Arial" w:hAnsi="Arial" w:cs="Arial"/>
        </w:rPr>
        <w:t>constitute</w:t>
      </w:r>
      <w:r w:rsidR="007B7640" w:rsidRPr="00CD59CC">
        <w:rPr>
          <w:rFonts w:ascii="Arial" w:hAnsi="Arial" w:cs="Arial"/>
        </w:rPr>
        <w:t xml:space="preserve"> </w:t>
      </w:r>
      <w:r w:rsidRPr="00CD59CC">
        <w:rPr>
          <w:rFonts w:ascii="Arial" w:hAnsi="Arial" w:cs="Arial"/>
        </w:rPr>
        <w:t>indirect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009E55B7" w:rsidRPr="00CD59CC">
        <w:rPr>
          <w:rFonts w:ascii="Arial" w:hAnsi="Arial" w:cs="Arial"/>
        </w:rPr>
        <w:t>racial</w:t>
      </w:r>
      <w:r w:rsidR="007B7640" w:rsidRPr="00CD59CC">
        <w:rPr>
          <w:rFonts w:ascii="Arial" w:hAnsi="Arial" w:cs="Arial"/>
        </w:rPr>
        <w:t xml:space="preserve"> </w:t>
      </w:r>
      <w:r w:rsidR="009E55B7" w:rsidRPr="00CD59CC">
        <w:rPr>
          <w:rFonts w:ascii="Arial" w:hAnsi="Arial" w:cs="Arial"/>
        </w:rPr>
        <w:t>or</w:t>
      </w:r>
      <w:r w:rsidR="007B7640" w:rsidRPr="00CD59CC">
        <w:rPr>
          <w:rFonts w:ascii="Arial" w:hAnsi="Arial" w:cs="Arial"/>
        </w:rPr>
        <w:t xml:space="preserve"> </w:t>
      </w:r>
      <w:r w:rsidR="009E55B7" w:rsidRPr="00CD59CC">
        <w:rPr>
          <w:rFonts w:ascii="Arial" w:hAnsi="Arial" w:cs="Arial"/>
        </w:rPr>
        <w:t>ethnic</w:t>
      </w:r>
      <w:r w:rsidR="007B7640" w:rsidRPr="00CD59CC">
        <w:rPr>
          <w:rFonts w:ascii="Arial" w:hAnsi="Arial" w:cs="Arial"/>
        </w:rPr>
        <w:t xml:space="preserve"> </w:t>
      </w:r>
      <w:r w:rsidR="009E55B7" w:rsidRPr="00CD59CC">
        <w:rPr>
          <w:rFonts w:ascii="Arial" w:hAnsi="Arial" w:cs="Arial"/>
        </w:rPr>
        <w:t>origin</w:t>
      </w:r>
      <w:r w:rsidR="007B7640" w:rsidRPr="00CD59CC">
        <w:rPr>
          <w:rFonts w:ascii="Arial" w:hAnsi="Arial" w:cs="Arial"/>
        </w:rPr>
        <w:t xml:space="preserve"> </w:t>
      </w:r>
      <w:r w:rsidR="009E55B7" w:rsidRPr="00CD59CC">
        <w:rPr>
          <w:rFonts w:ascii="Arial" w:hAnsi="Arial" w:cs="Arial"/>
        </w:rPr>
        <w:t>owing</w:t>
      </w:r>
      <w:r w:rsidR="007B7640" w:rsidRPr="00CD59CC">
        <w:rPr>
          <w:rFonts w:ascii="Arial" w:hAnsi="Arial" w:cs="Arial"/>
        </w:rPr>
        <w:t xml:space="preserve"> </w:t>
      </w:r>
      <w:r w:rsidR="009E55B7" w:rsidRPr="00CD59CC">
        <w:rPr>
          <w:rFonts w:ascii="Arial" w:hAnsi="Arial" w:cs="Arial"/>
        </w:rPr>
        <w:t>to</w:t>
      </w:r>
      <w:r w:rsidR="007B7640" w:rsidRPr="00CD59CC">
        <w:rPr>
          <w:rFonts w:ascii="Arial" w:hAnsi="Arial" w:cs="Arial"/>
        </w:rPr>
        <w:t xml:space="preserve"> </w:t>
      </w:r>
      <w:r w:rsidR="009E55B7" w:rsidRPr="00CD59CC">
        <w:rPr>
          <w:rFonts w:ascii="Arial" w:hAnsi="Arial" w:cs="Arial"/>
        </w:rPr>
        <w:t>its</w:t>
      </w:r>
      <w:r w:rsidR="007B7640" w:rsidRPr="00CD59CC">
        <w:rPr>
          <w:rFonts w:ascii="Arial" w:hAnsi="Arial" w:cs="Arial"/>
        </w:rPr>
        <w:t xml:space="preserve"> </w:t>
      </w:r>
      <w:r w:rsidR="009E55B7" w:rsidRPr="00CD59CC">
        <w:rPr>
          <w:rFonts w:ascii="Arial" w:hAnsi="Arial" w:cs="Arial"/>
        </w:rPr>
        <w:t>disproportionate</w:t>
      </w:r>
      <w:r w:rsidR="007B7640" w:rsidRPr="00CD59CC">
        <w:rPr>
          <w:rFonts w:ascii="Arial" w:hAnsi="Arial" w:cs="Arial"/>
        </w:rPr>
        <w:t xml:space="preserve"> </w:t>
      </w:r>
      <w:r w:rsidR="009E55B7" w:rsidRPr="00CD59CC">
        <w:rPr>
          <w:rFonts w:ascii="Arial" w:hAnsi="Arial" w:cs="Arial"/>
        </w:rPr>
        <w:t>effect</w:t>
      </w:r>
      <w:r w:rsidR="007B7640" w:rsidRPr="00CD59CC">
        <w:rPr>
          <w:rFonts w:ascii="Arial" w:hAnsi="Arial" w:cs="Arial"/>
        </w:rPr>
        <w:t xml:space="preserve"> </w:t>
      </w:r>
      <w:r w:rsidR="009E55B7" w:rsidRPr="00CD59CC">
        <w:rPr>
          <w:rFonts w:ascii="Arial" w:hAnsi="Arial" w:cs="Arial"/>
        </w:rPr>
        <w:t>on</w:t>
      </w:r>
      <w:r w:rsidR="007B7640" w:rsidRPr="00CD59CC">
        <w:rPr>
          <w:rFonts w:ascii="Arial" w:hAnsi="Arial" w:cs="Arial"/>
        </w:rPr>
        <w:t xml:space="preserve"> </w:t>
      </w:r>
      <w:r w:rsidR="009E55B7" w:rsidRPr="00CD59CC">
        <w:rPr>
          <w:rFonts w:ascii="Arial" w:hAnsi="Arial" w:cs="Arial"/>
        </w:rPr>
        <w:t>Ro</w:t>
      </w:r>
      <w:r w:rsidR="003D226A" w:rsidRPr="00CD59CC">
        <w:rPr>
          <w:rFonts w:ascii="Arial" w:hAnsi="Arial" w:cs="Arial"/>
        </w:rPr>
        <w:t>ma</w:t>
      </w:r>
      <w:r w:rsidR="007B7640" w:rsidRPr="00CD59CC">
        <w:rPr>
          <w:rFonts w:ascii="Arial" w:hAnsi="Arial" w:cs="Arial"/>
        </w:rPr>
        <w:t xml:space="preserve"> </w:t>
      </w:r>
      <w:r w:rsidR="009E55B7" w:rsidRPr="00CD59CC">
        <w:rPr>
          <w:rFonts w:ascii="Arial" w:hAnsi="Arial" w:cs="Arial"/>
        </w:rPr>
        <w:t>persons.</w:t>
      </w:r>
    </w:p>
    <w:p w14:paraId="1F3972E3" w14:textId="77777777" w:rsidR="009E55B7" w:rsidRPr="00CD59CC" w:rsidRDefault="009E55B7" w:rsidP="00CD59CC">
      <w:pPr>
        <w:rPr>
          <w:rFonts w:ascii="Arial" w:hAnsi="Arial" w:cs="Arial"/>
        </w:rPr>
      </w:pPr>
    </w:p>
    <w:p w14:paraId="79F92EE6" w14:textId="77777777" w:rsidR="009E55B7" w:rsidRDefault="009E55B7"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Commissioner</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report</w:t>
      </w:r>
      <w:r w:rsidR="007B7640" w:rsidRPr="00CD59CC">
        <w:rPr>
          <w:rFonts w:ascii="Arial" w:hAnsi="Arial" w:cs="Arial"/>
        </w:rPr>
        <w:t xml:space="preserve"> </w:t>
      </w:r>
      <w:r w:rsidRPr="00CD59CC">
        <w:rPr>
          <w:rFonts w:ascii="Arial" w:hAnsi="Arial" w:cs="Arial"/>
        </w:rPr>
        <w:t>focusing</w:t>
      </w:r>
      <w:r w:rsidR="007B7640" w:rsidRPr="00CD59CC">
        <w:rPr>
          <w:rFonts w:ascii="Arial" w:hAnsi="Arial" w:cs="Arial"/>
        </w:rPr>
        <w:t xml:space="preserve"> </w:t>
      </w:r>
      <w:r w:rsidRPr="00CD59CC">
        <w:rPr>
          <w:rFonts w:ascii="Arial" w:hAnsi="Arial" w:cs="Arial"/>
        </w:rPr>
        <w:t>specifically</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schemes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further</w:t>
      </w:r>
      <w:r w:rsidR="007B7640" w:rsidRPr="00CD59CC">
        <w:rPr>
          <w:rFonts w:ascii="Arial" w:hAnsi="Arial" w:cs="Arial"/>
        </w:rPr>
        <w:t xml:space="preserve"> </w:t>
      </w:r>
      <w:r w:rsidRPr="00CD59CC">
        <w:rPr>
          <w:rFonts w:ascii="Arial" w:hAnsi="Arial" w:cs="Arial"/>
        </w:rPr>
        <w:t>types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suffered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origin:</w:t>
      </w:r>
      <w:r w:rsidR="006F5D91">
        <w:rPr>
          <w:rFonts w:ascii="Arial" w:hAnsi="Arial" w:cs="Arial"/>
        </w:rPr>
        <w:t xml:space="preserve"> </w:t>
      </w:r>
    </w:p>
    <w:p w14:paraId="678935D9" w14:textId="77777777" w:rsidR="006F5D91" w:rsidRPr="00CD59CC" w:rsidRDefault="006F5D91" w:rsidP="00CD59CC">
      <w:pPr>
        <w:rPr>
          <w:rFonts w:ascii="Arial" w:hAnsi="Arial" w:cs="Arial"/>
        </w:rPr>
      </w:pPr>
    </w:p>
    <w:p w14:paraId="15E3AF42" w14:textId="77777777" w:rsidR="009E55B7" w:rsidRPr="00CD59CC" w:rsidRDefault="009E55B7" w:rsidP="007B4138">
      <w:pPr>
        <w:numPr>
          <w:ilvl w:val="2"/>
          <w:numId w:val="67"/>
        </w:numPr>
        <w:ind w:left="567" w:hanging="567"/>
        <w:rPr>
          <w:rFonts w:ascii="Arial" w:hAnsi="Arial" w:cs="Arial"/>
        </w:rPr>
      </w:pPr>
      <w:r w:rsidRPr="00CD59CC">
        <w:rPr>
          <w:rFonts w:ascii="Arial" w:hAnsi="Arial" w:cs="Arial"/>
        </w:rPr>
        <w:t>Roma</w:t>
      </w:r>
      <w:r w:rsidR="007B7640" w:rsidRPr="00CD59CC">
        <w:rPr>
          <w:rFonts w:ascii="Arial" w:hAnsi="Arial" w:cs="Arial"/>
        </w:rPr>
        <w:t xml:space="preserve"> </w:t>
      </w:r>
      <w:r w:rsidRPr="00CD59CC">
        <w:rPr>
          <w:rFonts w:ascii="Arial" w:hAnsi="Arial" w:cs="Arial"/>
        </w:rPr>
        <w:t>job-seekers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hired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shorter</w:t>
      </w:r>
      <w:r w:rsidR="007B7640" w:rsidRPr="00CD59CC">
        <w:rPr>
          <w:rFonts w:ascii="Arial" w:hAnsi="Arial" w:cs="Arial"/>
        </w:rPr>
        <w:t xml:space="preserve"> </w:t>
      </w:r>
      <w:r w:rsidRPr="00CD59CC">
        <w:rPr>
          <w:rFonts w:ascii="Arial" w:hAnsi="Arial" w:cs="Arial"/>
        </w:rPr>
        <w:t>periods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t>(six</w:t>
      </w:r>
      <w:r w:rsidR="007B7640" w:rsidRPr="00CD59CC">
        <w:rPr>
          <w:rFonts w:ascii="Arial" w:hAnsi="Arial" w:cs="Arial"/>
        </w:rPr>
        <w:t xml:space="preserve"> </w:t>
      </w:r>
      <w:r w:rsidRPr="00CD59CC">
        <w:rPr>
          <w:rFonts w:ascii="Arial" w:hAnsi="Arial" w:cs="Arial"/>
        </w:rPr>
        <w:t>hours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day,</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less</w:t>
      </w:r>
      <w:r w:rsidR="007B7640" w:rsidRPr="00CD59CC">
        <w:rPr>
          <w:rFonts w:ascii="Arial" w:hAnsi="Arial" w:cs="Arial"/>
        </w:rPr>
        <w:t xml:space="preserve"> </w:t>
      </w:r>
      <w:r w:rsidRPr="00CD59CC">
        <w:rPr>
          <w:rFonts w:ascii="Arial" w:hAnsi="Arial" w:cs="Arial"/>
        </w:rPr>
        <w:t>months)</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non-Roma;</w:t>
      </w:r>
    </w:p>
    <w:p w14:paraId="5AC74041" w14:textId="77777777" w:rsidR="009E55B7" w:rsidRPr="00CD59CC" w:rsidRDefault="009E55B7" w:rsidP="007B4138">
      <w:pPr>
        <w:numPr>
          <w:ilvl w:val="2"/>
          <w:numId w:val="67"/>
        </w:numPr>
        <w:ind w:left="567" w:hanging="567"/>
        <w:rPr>
          <w:rFonts w:ascii="Arial" w:hAnsi="Arial" w:cs="Arial"/>
        </w:rPr>
      </w:pPr>
      <w:r w:rsidRPr="00CD59CC">
        <w:rPr>
          <w:rFonts w:ascii="Arial" w:hAnsi="Arial" w:cs="Arial"/>
        </w:rPr>
        <w:t>when</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non-Roma</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levels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schooling</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hired,</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assigned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lower-status</w:t>
      </w:r>
      <w:r w:rsidR="007B7640" w:rsidRPr="00CD59CC">
        <w:rPr>
          <w:rFonts w:ascii="Arial" w:hAnsi="Arial" w:cs="Arial"/>
        </w:rPr>
        <w:t xml:space="preserve"> </w:t>
      </w:r>
      <w:r w:rsidRPr="00CD59CC">
        <w:rPr>
          <w:rFonts w:ascii="Arial" w:hAnsi="Arial" w:cs="Arial"/>
        </w:rPr>
        <w:t>physical</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(typically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open</w:t>
      </w:r>
      <w:r w:rsidR="007B7640" w:rsidRPr="00CD59CC">
        <w:rPr>
          <w:rFonts w:ascii="Arial" w:hAnsi="Arial" w:cs="Arial"/>
        </w:rPr>
        <w:t xml:space="preserve"> </w:t>
      </w:r>
      <w:r w:rsidRPr="00CD59CC">
        <w:rPr>
          <w:rFonts w:ascii="Arial" w:hAnsi="Arial" w:cs="Arial"/>
        </w:rPr>
        <w:t>air),</w:t>
      </w:r>
      <w:r w:rsidR="007B7640" w:rsidRPr="00CD59CC">
        <w:rPr>
          <w:rFonts w:ascii="Arial" w:hAnsi="Arial" w:cs="Arial"/>
        </w:rPr>
        <w:t xml:space="preserve"> </w:t>
      </w:r>
      <w:r w:rsidRPr="00CD59CC">
        <w:rPr>
          <w:rFonts w:ascii="Arial" w:hAnsi="Arial" w:cs="Arial"/>
        </w:rPr>
        <w:t>while</w:t>
      </w:r>
      <w:r w:rsidR="007B7640" w:rsidRPr="00CD59CC">
        <w:rPr>
          <w:rFonts w:ascii="Arial" w:hAnsi="Arial" w:cs="Arial"/>
        </w:rPr>
        <w:t xml:space="preserve"> </w:t>
      </w:r>
      <w:r w:rsidRPr="00CD59CC">
        <w:rPr>
          <w:rFonts w:ascii="Arial" w:hAnsi="Arial" w:cs="Arial"/>
        </w:rPr>
        <w:t>non-Roma</w:t>
      </w:r>
      <w:r w:rsidR="007B7640" w:rsidRPr="00CD59CC">
        <w:rPr>
          <w:rFonts w:ascii="Arial" w:hAnsi="Arial" w:cs="Arial"/>
        </w:rPr>
        <w:t xml:space="preserve"> </w:t>
      </w:r>
      <w:r w:rsidRPr="00CD59CC">
        <w:rPr>
          <w:rFonts w:ascii="Arial" w:hAnsi="Arial" w:cs="Arial"/>
        </w:rPr>
        <w:t>job-seekers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given</w:t>
      </w:r>
      <w:r w:rsidR="007B7640" w:rsidRPr="00CD59CC">
        <w:rPr>
          <w:rFonts w:ascii="Arial" w:hAnsi="Arial" w:cs="Arial"/>
        </w:rPr>
        <w:t xml:space="preserve"> </w:t>
      </w:r>
      <w:r w:rsidRPr="00CD59CC">
        <w:rPr>
          <w:rFonts w:ascii="Arial" w:hAnsi="Arial" w:cs="Arial"/>
        </w:rPr>
        <w:t>indoor</w:t>
      </w:r>
      <w:r w:rsidR="007B7640" w:rsidRPr="00CD59CC">
        <w:rPr>
          <w:rFonts w:ascii="Arial" w:hAnsi="Arial" w:cs="Arial"/>
        </w:rPr>
        <w:t xml:space="preserve"> </w:t>
      </w:r>
      <w:r w:rsidRPr="00CD59CC">
        <w:rPr>
          <w:rFonts w:ascii="Arial" w:hAnsi="Arial" w:cs="Arial"/>
        </w:rPr>
        <w:t>office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cleaning</w:t>
      </w:r>
      <w:r w:rsidR="007B7640" w:rsidRPr="00CD59CC">
        <w:rPr>
          <w:rFonts w:ascii="Arial" w:hAnsi="Arial" w:cs="Arial"/>
        </w:rPr>
        <w:t xml:space="preserve"> </w:t>
      </w:r>
      <w:r w:rsidRPr="00CD59CC">
        <w:rPr>
          <w:rFonts w:ascii="Arial" w:hAnsi="Arial" w:cs="Arial"/>
        </w:rPr>
        <w:t>jobs;</w:t>
      </w:r>
    </w:p>
    <w:p w14:paraId="28F8F02E" w14:textId="77777777" w:rsidR="009E55B7" w:rsidRPr="00CD59CC" w:rsidRDefault="009E55B7" w:rsidP="007B4138">
      <w:pPr>
        <w:numPr>
          <w:ilvl w:val="2"/>
          <w:numId w:val="67"/>
        </w:numPr>
        <w:ind w:left="567" w:hanging="567"/>
        <w:rPr>
          <w:rFonts w:ascii="Arial" w:hAnsi="Arial" w:cs="Arial"/>
        </w:rPr>
      </w:pPr>
      <w:r w:rsidRPr="00CD59CC">
        <w:rPr>
          <w:rFonts w:ascii="Arial" w:hAnsi="Arial" w:cs="Arial"/>
        </w:rPr>
        <w:t>foremen</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condescending</w:t>
      </w:r>
      <w:r w:rsidR="007B7640" w:rsidRPr="00CD59CC">
        <w:rPr>
          <w:rFonts w:ascii="Arial" w:hAnsi="Arial" w:cs="Arial"/>
        </w:rPr>
        <w:t xml:space="preserve"> </w:t>
      </w:r>
      <w:r w:rsidRPr="00CD59CC">
        <w:rPr>
          <w:rFonts w:ascii="Arial" w:hAnsi="Arial" w:cs="Arial"/>
        </w:rPr>
        <w:t>tone</w:t>
      </w:r>
      <w:r w:rsidR="007B7640" w:rsidRPr="00CD59CC">
        <w:rPr>
          <w:rFonts w:ascii="Arial" w:hAnsi="Arial" w:cs="Arial"/>
        </w:rPr>
        <w:t xml:space="preserve"> </w:t>
      </w:r>
      <w:r w:rsidRPr="00CD59CC">
        <w:rPr>
          <w:rFonts w:ascii="Arial" w:hAnsi="Arial" w:cs="Arial"/>
        </w:rPr>
        <w:t>towards</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employees;</w:t>
      </w:r>
      <w:r w:rsidR="007B7640" w:rsidRPr="00CD59CC">
        <w:rPr>
          <w:rFonts w:ascii="Arial" w:hAnsi="Arial" w:cs="Arial"/>
        </w:rPr>
        <w:t xml:space="preserve"> </w:t>
      </w:r>
    </w:p>
    <w:p w14:paraId="7122E422" w14:textId="77777777" w:rsidR="009309FA" w:rsidRPr="00CD59CC" w:rsidRDefault="009E55B7" w:rsidP="007B4138">
      <w:pPr>
        <w:numPr>
          <w:ilvl w:val="2"/>
          <w:numId w:val="67"/>
        </w:numPr>
        <w:ind w:left="567" w:hanging="567"/>
        <w:rPr>
          <w:rFonts w:ascii="Arial" w:hAnsi="Arial" w:cs="Arial"/>
        </w:rPr>
      </w:pPr>
      <w:r w:rsidRPr="00CD59CC">
        <w:rPr>
          <w:rFonts w:ascii="Arial" w:hAnsi="Arial" w:cs="Arial"/>
        </w:rPr>
        <w:t>employment</w:t>
      </w:r>
      <w:r w:rsidR="007B7640" w:rsidRPr="00CD59CC">
        <w:rPr>
          <w:rFonts w:ascii="Arial" w:hAnsi="Arial" w:cs="Arial"/>
        </w:rPr>
        <w:t xml:space="preserve"> </w:t>
      </w:r>
      <w:r w:rsidRPr="00CD59CC">
        <w:rPr>
          <w:rFonts w:ascii="Arial" w:hAnsi="Arial" w:cs="Arial"/>
        </w:rPr>
        <w:t>contracts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more</w:t>
      </w:r>
      <w:r w:rsidR="007B7640" w:rsidRPr="00CD59CC">
        <w:rPr>
          <w:rFonts w:ascii="Arial" w:hAnsi="Arial" w:cs="Arial"/>
        </w:rPr>
        <w:t xml:space="preserve"> </w:t>
      </w:r>
      <w:r w:rsidRPr="00CD59CC">
        <w:rPr>
          <w:rFonts w:ascii="Arial" w:hAnsi="Arial" w:cs="Arial"/>
        </w:rPr>
        <w:t>often</w:t>
      </w:r>
      <w:r w:rsidR="007B7640" w:rsidRPr="00CD59CC">
        <w:rPr>
          <w:rFonts w:ascii="Arial" w:hAnsi="Arial" w:cs="Arial"/>
        </w:rPr>
        <w:t xml:space="preserve"> </w:t>
      </w:r>
      <w:r w:rsidRPr="00CD59CC">
        <w:rPr>
          <w:rFonts w:ascii="Arial" w:hAnsi="Arial" w:cs="Arial"/>
        </w:rPr>
        <w:t>subject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extraordinary</w:t>
      </w:r>
      <w:r w:rsidR="007B7640" w:rsidRPr="00CD59CC">
        <w:rPr>
          <w:rFonts w:ascii="Arial" w:hAnsi="Arial" w:cs="Arial"/>
        </w:rPr>
        <w:t xml:space="preserve"> </w:t>
      </w:r>
      <w:r w:rsidRPr="00CD59CC">
        <w:rPr>
          <w:rFonts w:ascii="Arial" w:hAnsi="Arial" w:cs="Arial"/>
        </w:rPr>
        <w:t>termination,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slightest</w:t>
      </w:r>
      <w:r w:rsidR="007B7640" w:rsidRPr="00CD59CC">
        <w:rPr>
          <w:rFonts w:ascii="Arial" w:hAnsi="Arial" w:cs="Arial"/>
        </w:rPr>
        <w:t xml:space="preserve"> </w:t>
      </w:r>
      <w:r w:rsidRPr="00CD59CC">
        <w:rPr>
          <w:rFonts w:ascii="Arial" w:hAnsi="Arial" w:cs="Arial"/>
        </w:rPr>
        <w:t>mistakes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often</w:t>
      </w:r>
      <w:r w:rsidR="007B7640" w:rsidRPr="00CD59CC">
        <w:rPr>
          <w:rFonts w:ascii="Arial" w:hAnsi="Arial" w:cs="Arial"/>
        </w:rPr>
        <w:t xml:space="preserve"> </w:t>
      </w:r>
      <w:r w:rsidRPr="00CD59CC">
        <w:rPr>
          <w:rFonts w:ascii="Arial" w:hAnsi="Arial" w:cs="Arial"/>
        </w:rPr>
        <w:t>punished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dismissal.</w:t>
      </w:r>
      <w:r w:rsidRPr="00CD59CC">
        <w:rPr>
          <w:rStyle w:val="FootnoteReference"/>
          <w:rFonts w:ascii="Arial" w:hAnsi="Arial" w:cs="Arial"/>
        </w:rPr>
        <w:footnoteReference w:id="14"/>
      </w:r>
    </w:p>
    <w:p w14:paraId="6296DADE" w14:textId="77777777" w:rsidR="009E55B7" w:rsidRPr="00CD59CC" w:rsidRDefault="009E55B7" w:rsidP="00CD59CC">
      <w:pPr>
        <w:rPr>
          <w:rFonts w:ascii="Arial" w:hAnsi="Arial" w:cs="Arial"/>
        </w:rPr>
      </w:pPr>
    </w:p>
    <w:p w14:paraId="505773DA" w14:textId="77777777" w:rsidR="006C0AED" w:rsidRPr="00CD59CC" w:rsidRDefault="009E55B7" w:rsidP="00CD59CC">
      <w:pPr>
        <w:rPr>
          <w:rFonts w:ascii="Arial" w:hAnsi="Arial" w:cs="Arial"/>
        </w:rPr>
      </w:pPr>
      <w:r w:rsidRPr="00CD59CC">
        <w:rPr>
          <w:rFonts w:ascii="Arial" w:hAnsi="Arial" w:cs="Arial"/>
        </w:rPr>
        <w:t>A</w:t>
      </w:r>
      <w:r w:rsidR="007B7640" w:rsidRPr="00CD59CC">
        <w:rPr>
          <w:rFonts w:ascii="Arial" w:hAnsi="Arial" w:cs="Arial"/>
        </w:rPr>
        <w:t xml:space="preserve"> </w:t>
      </w:r>
      <w:r w:rsidRPr="00CD59CC">
        <w:rPr>
          <w:rFonts w:ascii="Arial" w:hAnsi="Arial" w:cs="Arial"/>
        </w:rPr>
        <w:t>final</w:t>
      </w:r>
      <w:r w:rsidR="007B7640" w:rsidRPr="00CD59CC">
        <w:rPr>
          <w:rFonts w:ascii="Arial" w:hAnsi="Arial" w:cs="Arial"/>
        </w:rPr>
        <w:t xml:space="preserve"> </w:t>
      </w:r>
      <w:r w:rsidRPr="00CD59CC">
        <w:rPr>
          <w:rFonts w:ascii="Arial" w:hAnsi="Arial" w:cs="Arial"/>
        </w:rPr>
        <w:t>problem</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006C0AED" w:rsidRPr="00CD59CC">
        <w:rPr>
          <w:rFonts w:ascii="Arial" w:hAnsi="Arial" w:cs="Arial"/>
        </w:rPr>
        <w:t>–</w:t>
      </w:r>
      <w:r w:rsidR="007B7640" w:rsidRPr="00CD59CC">
        <w:rPr>
          <w:rFonts w:ascii="Arial" w:hAnsi="Arial" w:cs="Arial"/>
        </w:rPr>
        <w:t xml:space="preserve"> </w:t>
      </w:r>
      <w:r w:rsidR="006C0AED" w:rsidRPr="00CD59CC">
        <w:rPr>
          <w:rFonts w:ascii="Arial" w:hAnsi="Arial" w:cs="Arial"/>
        </w:rPr>
        <w:t>as</w:t>
      </w:r>
      <w:r w:rsidR="007B7640" w:rsidRPr="00CD59CC">
        <w:rPr>
          <w:rFonts w:ascii="Arial" w:hAnsi="Arial" w:cs="Arial"/>
        </w:rPr>
        <w:t xml:space="preserve"> </w:t>
      </w:r>
      <w:r w:rsidR="006C0AED" w:rsidRPr="00CD59CC">
        <w:rPr>
          <w:rFonts w:ascii="Arial" w:hAnsi="Arial" w:cs="Arial"/>
        </w:rPr>
        <w:t>it</w:t>
      </w:r>
      <w:r w:rsidR="007B7640" w:rsidRPr="00CD59CC">
        <w:rPr>
          <w:rFonts w:ascii="Arial" w:hAnsi="Arial" w:cs="Arial"/>
        </w:rPr>
        <w:t xml:space="preserve"> </w:t>
      </w:r>
      <w:r w:rsidR="006C0AED" w:rsidRPr="00CD59CC">
        <w:rPr>
          <w:rFonts w:ascii="Arial" w:hAnsi="Arial" w:cs="Arial"/>
        </w:rPr>
        <w:t>is</w:t>
      </w:r>
      <w:r w:rsidR="007B7640" w:rsidRPr="00CD59CC">
        <w:rPr>
          <w:rFonts w:ascii="Arial" w:hAnsi="Arial" w:cs="Arial"/>
        </w:rPr>
        <w:t xml:space="preserve"> </w:t>
      </w:r>
      <w:r w:rsidR="006C0AED" w:rsidRPr="00CD59CC">
        <w:rPr>
          <w:rFonts w:ascii="Arial" w:hAnsi="Arial" w:cs="Arial"/>
        </w:rPr>
        <w:t>outlined</w:t>
      </w:r>
      <w:r w:rsidR="007B7640" w:rsidRPr="00CD59CC">
        <w:rPr>
          <w:rFonts w:ascii="Arial" w:hAnsi="Arial" w:cs="Arial"/>
        </w:rPr>
        <w:t xml:space="preserve"> </w:t>
      </w:r>
      <w:r w:rsidR="006C0AED" w:rsidRPr="00CD59CC">
        <w:rPr>
          <w:rFonts w:ascii="Arial" w:hAnsi="Arial" w:cs="Arial"/>
        </w:rPr>
        <w:t>above</w:t>
      </w:r>
      <w:r w:rsidR="007B7640" w:rsidRPr="00CD59CC">
        <w:rPr>
          <w:rFonts w:ascii="Arial" w:hAnsi="Arial" w:cs="Arial"/>
        </w:rPr>
        <w:t xml:space="preserve"> </w:t>
      </w:r>
      <w:r w:rsidR="006C0AED" w:rsidRPr="00CD59CC">
        <w:rPr>
          <w:rFonts w:ascii="Arial" w:hAnsi="Arial" w:cs="Arial"/>
        </w:rPr>
        <w:t>–</w:t>
      </w:r>
      <w:r w:rsidR="007B7640" w:rsidRPr="00CD59CC">
        <w:rPr>
          <w:rFonts w:ascii="Arial" w:hAnsi="Arial" w:cs="Arial"/>
        </w:rPr>
        <w:t xml:space="preserve"> </w:t>
      </w:r>
      <w:r w:rsidR="006C0AED" w:rsidRPr="00CD59CC">
        <w:rPr>
          <w:rFonts w:ascii="Arial" w:hAnsi="Arial" w:cs="Arial"/>
        </w:rPr>
        <w:t>the</w:t>
      </w:r>
      <w:r w:rsidR="007B7640" w:rsidRPr="00CD59CC">
        <w:rPr>
          <w:rFonts w:ascii="Arial" w:hAnsi="Arial" w:cs="Arial"/>
        </w:rPr>
        <w:t xml:space="preserve"> </w:t>
      </w:r>
      <w:r w:rsidR="006C0AED" w:rsidRPr="00CD59CC">
        <w:rPr>
          <w:rFonts w:ascii="Arial" w:hAnsi="Arial" w:cs="Arial"/>
        </w:rPr>
        <w:t>payment</w:t>
      </w:r>
      <w:r w:rsidR="007B7640" w:rsidRPr="00CD59CC">
        <w:rPr>
          <w:rFonts w:ascii="Arial" w:hAnsi="Arial" w:cs="Arial"/>
        </w:rPr>
        <w:t xml:space="preserve"> </w:t>
      </w:r>
      <w:r w:rsidR="006C0AED" w:rsidRPr="00CD59CC">
        <w:rPr>
          <w:rFonts w:ascii="Arial" w:hAnsi="Arial" w:cs="Arial"/>
        </w:rPr>
        <w:t>of</w:t>
      </w:r>
      <w:r w:rsidR="007B7640" w:rsidRPr="00CD59CC">
        <w:rPr>
          <w:rFonts w:ascii="Arial" w:hAnsi="Arial" w:cs="Arial"/>
        </w:rPr>
        <w:t xml:space="preserve"> </w:t>
      </w:r>
      <w:r w:rsidR="006C0AED" w:rsidRPr="00CD59CC">
        <w:rPr>
          <w:rFonts w:ascii="Arial" w:hAnsi="Arial" w:cs="Arial"/>
        </w:rPr>
        <w:t>social</w:t>
      </w:r>
      <w:r w:rsidR="007B7640" w:rsidRPr="00CD59CC">
        <w:rPr>
          <w:rFonts w:ascii="Arial" w:hAnsi="Arial" w:cs="Arial"/>
        </w:rPr>
        <w:t xml:space="preserve"> </w:t>
      </w:r>
      <w:r w:rsidR="006C0AED" w:rsidRPr="00CD59CC">
        <w:rPr>
          <w:rFonts w:ascii="Arial" w:hAnsi="Arial" w:cs="Arial"/>
        </w:rPr>
        <w:t>aids</w:t>
      </w:r>
      <w:r w:rsidR="007B7640" w:rsidRPr="00CD59CC">
        <w:rPr>
          <w:rFonts w:ascii="Arial" w:hAnsi="Arial" w:cs="Arial"/>
        </w:rPr>
        <w:t xml:space="preserve"> </w:t>
      </w:r>
      <w:r w:rsidR="006C0AED" w:rsidRPr="00CD59CC">
        <w:rPr>
          <w:rFonts w:ascii="Arial" w:hAnsi="Arial" w:cs="Arial"/>
        </w:rPr>
        <w:t>is</w:t>
      </w:r>
      <w:r w:rsidR="007B7640" w:rsidRPr="00CD59CC">
        <w:rPr>
          <w:rFonts w:ascii="Arial" w:hAnsi="Arial" w:cs="Arial"/>
        </w:rPr>
        <w:t xml:space="preserve"> </w:t>
      </w:r>
      <w:r w:rsidR="006C0AED" w:rsidRPr="00CD59CC">
        <w:rPr>
          <w:rFonts w:ascii="Arial" w:hAnsi="Arial" w:cs="Arial"/>
        </w:rPr>
        <w:t>tied</w:t>
      </w:r>
      <w:r w:rsidR="007B7640" w:rsidRPr="00CD59CC">
        <w:rPr>
          <w:rFonts w:ascii="Arial" w:hAnsi="Arial" w:cs="Arial"/>
        </w:rPr>
        <w:t xml:space="preserve"> </w:t>
      </w:r>
      <w:r w:rsidR="006C0AED" w:rsidRPr="00CD59CC">
        <w:rPr>
          <w:rFonts w:ascii="Arial" w:hAnsi="Arial" w:cs="Arial"/>
        </w:rPr>
        <w:t>to</w:t>
      </w:r>
      <w:r w:rsidR="007B7640" w:rsidRPr="00CD59CC">
        <w:rPr>
          <w:rFonts w:ascii="Arial" w:hAnsi="Arial" w:cs="Arial"/>
        </w:rPr>
        <w:t xml:space="preserve"> </w:t>
      </w:r>
      <w:r w:rsidR="006C0AED" w:rsidRPr="00CD59CC">
        <w:rPr>
          <w:rFonts w:ascii="Arial" w:hAnsi="Arial" w:cs="Arial"/>
        </w:rPr>
        <w:t>at</w:t>
      </w:r>
      <w:r w:rsidR="007B7640" w:rsidRPr="00CD59CC">
        <w:rPr>
          <w:rFonts w:ascii="Arial" w:hAnsi="Arial" w:cs="Arial"/>
        </w:rPr>
        <w:t xml:space="preserve"> </w:t>
      </w:r>
      <w:r w:rsidR="006C0AED" w:rsidRPr="00CD59CC">
        <w:rPr>
          <w:rFonts w:ascii="Arial" w:hAnsi="Arial" w:cs="Arial"/>
        </w:rPr>
        <w:t>least</w:t>
      </w:r>
      <w:r w:rsidR="007B7640" w:rsidRPr="00CD59CC">
        <w:rPr>
          <w:rFonts w:ascii="Arial" w:hAnsi="Arial" w:cs="Arial"/>
        </w:rPr>
        <w:t xml:space="preserve"> </w:t>
      </w:r>
      <w:r w:rsidR="006C0AED" w:rsidRPr="00CD59CC">
        <w:rPr>
          <w:rFonts w:ascii="Arial" w:hAnsi="Arial" w:cs="Arial"/>
        </w:rPr>
        <w:t>30</w:t>
      </w:r>
      <w:r w:rsidR="007B7640" w:rsidRPr="00CD59CC">
        <w:rPr>
          <w:rFonts w:ascii="Arial" w:hAnsi="Arial" w:cs="Arial"/>
        </w:rPr>
        <w:t xml:space="preserve"> </w:t>
      </w:r>
      <w:r w:rsidR="006C0AED" w:rsidRPr="00CD59CC">
        <w:rPr>
          <w:rFonts w:ascii="Arial" w:hAnsi="Arial" w:cs="Arial"/>
        </w:rPr>
        <w:t>days</w:t>
      </w:r>
      <w:r w:rsidR="007B7640" w:rsidRPr="00CD59CC">
        <w:rPr>
          <w:rFonts w:ascii="Arial" w:hAnsi="Arial" w:cs="Arial"/>
        </w:rPr>
        <w:t xml:space="preserve"> </w:t>
      </w:r>
      <w:r w:rsidR="006C0AED" w:rsidRPr="00CD59CC">
        <w:rPr>
          <w:rFonts w:ascii="Arial" w:hAnsi="Arial" w:cs="Arial"/>
        </w:rPr>
        <w:t>of</w:t>
      </w:r>
      <w:r w:rsidR="007B7640" w:rsidRPr="00CD59CC">
        <w:rPr>
          <w:rFonts w:ascii="Arial" w:hAnsi="Arial" w:cs="Arial"/>
        </w:rPr>
        <w:t xml:space="preserve"> </w:t>
      </w:r>
      <w:r w:rsidR="006C0AED" w:rsidRPr="00CD59CC">
        <w:rPr>
          <w:rFonts w:ascii="Arial" w:hAnsi="Arial" w:cs="Arial"/>
        </w:rPr>
        <w:t>gainful</w:t>
      </w:r>
      <w:r w:rsidR="007B7640" w:rsidRPr="00CD59CC">
        <w:rPr>
          <w:rFonts w:ascii="Arial" w:hAnsi="Arial" w:cs="Arial"/>
        </w:rPr>
        <w:t xml:space="preserve"> </w:t>
      </w:r>
      <w:r w:rsidR="006C0AED" w:rsidRPr="00CD59CC">
        <w:rPr>
          <w:rFonts w:ascii="Arial" w:hAnsi="Arial" w:cs="Arial"/>
        </w:rPr>
        <w:t>activity</w:t>
      </w:r>
      <w:r w:rsidR="007B7640" w:rsidRPr="00CD59CC">
        <w:rPr>
          <w:rFonts w:ascii="Arial" w:hAnsi="Arial" w:cs="Arial"/>
        </w:rPr>
        <w:t xml:space="preserve"> </w:t>
      </w:r>
      <w:r w:rsidR="006C0AED" w:rsidRPr="00CD59CC">
        <w:rPr>
          <w:rFonts w:ascii="Arial" w:hAnsi="Arial" w:cs="Arial"/>
        </w:rPr>
        <w:t>per</w:t>
      </w:r>
      <w:r w:rsidR="007B7640" w:rsidRPr="00CD59CC">
        <w:rPr>
          <w:rFonts w:ascii="Arial" w:hAnsi="Arial" w:cs="Arial"/>
        </w:rPr>
        <w:t xml:space="preserve"> </w:t>
      </w:r>
      <w:r w:rsidR="006C0AED" w:rsidRPr="00CD59CC">
        <w:rPr>
          <w:rFonts w:ascii="Arial" w:hAnsi="Arial" w:cs="Arial"/>
        </w:rPr>
        <w:t>year.</w:t>
      </w:r>
      <w:r w:rsidR="007B7640" w:rsidRPr="00CD59CC">
        <w:rPr>
          <w:rFonts w:ascii="Arial" w:hAnsi="Arial" w:cs="Arial"/>
        </w:rPr>
        <w:t xml:space="preserve"> </w:t>
      </w:r>
      <w:r w:rsidR="006C0AED" w:rsidRPr="00CD59CC">
        <w:rPr>
          <w:rFonts w:ascii="Arial" w:hAnsi="Arial" w:cs="Arial"/>
        </w:rPr>
        <w:t>Since</w:t>
      </w:r>
      <w:r w:rsidR="007B7640" w:rsidRPr="00CD59CC">
        <w:rPr>
          <w:rFonts w:ascii="Arial" w:hAnsi="Arial" w:cs="Arial"/>
        </w:rPr>
        <w:t xml:space="preserve"> </w:t>
      </w:r>
      <w:r w:rsidR="006C0AED" w:rsidRPr="00CD59CC">
        <w:rPr>
          <w:rFonts w:ascii="Arial" w:hAnsi="Arial" w:cs="Arial"/>
        </w:rPr>
        <w:t>in</w:t>
      </w:r>
      <w:r w:rsidR="007B7640" w:rsidRPr="00CD59CC">
        <w:rPr>
          <w:rFonts w:ascii="Arial" w:hAnsi="Arial" w:cs="Arial"/>
        </w:rPr>
        <w:t xml:space="preserve"> </w:t>
      </w:r>
      <w:r w:rsidR="006C0AED" w:rsidRPr="00CD59CC">
        <w:rPr>
          <w:rFonts w:ascii="Arial" w:hAnsi="Arial" w:cs="Arial"/>
        </w:rPr>
        <w:t>many</w:t>
      </w:r>
      <w:r w:rsidR="007B7640" w:rsidRPr="00CD59CC">
        <w:rPr>
          <w:rFonts w:ascii="Arial" w:hAnsi="Arial" w:cs="Arial"/>
        </w:rPr>
        <w:t xml:space="preserve"> </w:t>
      </w:r>
      <w:r w:rsidR="006C0AED" w:rsidRPr="00CD59CC">
        <w:rPr>
          <w:rFonts w:ascii="Arial" w:hAnsi="Arial" w:cs="Arial"/>
        </w:rPr>
        <w:t>rural</w:t>
      </w:r>
      <w:r w:rsidR="007B7640" w:rsidRPr="00CD59CC">
        <w:rPr>
          <w:rFonts w:ascii="Arial" w:hAnsi="Arial" w:cs="Arial"/>
        </w:rPr>
        <w:t xml:space="preserve"> </w:t>
      </w:r>
      <w:r w:rsidR="006C0AED" w:rsidRPr="00CD59CC">
        <w:rPr>
          <w:rFonts w:ascii="Arial" w:hAnsi="Arial" w:cs="Arial"/>
        </w:rPr>
        <w:t>localities</w:t>
      </w:r>
      <w:r w:rsidR="007B7640" w:rsidRPr="00CD59CC">
        <w:rPr>
          <w:rFonts w:ascii="Arial" w:hAnsi="Arial" w:cs="Arial"/>
        </w:rPr>
        <w:t xml:space="preserve"> </w:t>
      </w:r>
      <w:r w:rsidR="006C0AED" w:rsidRPr="00CD59CC">
        <w:rPr>
          <w:rFonts w:ascii="Arial" w:hAnsi="Arial" w:cs="Arial"/>
        </w:rPr>
        <w:t>there</w:t>
      </w:r>
      <w:r w:rsidR="007B7640" w:rsidRPr="00CD59CC">
        <w:rPr>
          <w:rFonts w:ascii="Arial" w:hAnsi="Arial" w:cs="Arial"/>
        </w:rPr>
        <w:t xml:space="preserve"> </w:t>
      </w:r>
      <w:r w:rsidR="006C0AED" w:rsidRPr="00CD59CC">
        <w:rPr>
          <w:rFonts w:ascii="Arial" w:hAnsi="Arial" w:cs="Arial"/>
        </w:rPr>
        <w:t>are</w:t>
      </w:r>
      <w:r w:rsidR="007B7640" w:rsidRPr="00CD59CC">
        <w:rPr>
          <w:rFonts w:ascii="Arial" w:hAnsi="Arial" w:cs="Arial"/>
        </w:rPr>
        <w:t xml:space="preserve"> </w:t>
      </w:r>
      <w:r w:rsidR="006C0AED" w:rsidRPr="00CD59CC">
        <w:rPr>
          <w:rFonts w:ascii="Arial" w:hAnsi="Arial" w:cs="Arial"/>
        </w:rPr>
        <w:t>no</w:t>
      </w:r>
      <w:r w:rsidR="007B7640" w:rsidRPr="00CD59CC">
        <w:rPr>
          <w:rFonts w:ascii="Arial" w:hAnsi="Arial" w:cs="Arial"/>
        </w:rPr>
        <w:t xml:space="preserve"> </w:t>
      </w:r>
      <w:r w:rsidR="006C0AED" w:rsidRPr="00CD59CC">
        <w:rPr>
          <w:rFonts w:ascii="Arial" w:hAnsi="Arial" w:cs="Arial"/>
        </w:rPr>
        <w:t>market</w:t>
      </w:r>
      <w:r w:rsidR="007B7640" w:rsidRPr="00CD59CC">
        <w:rPr>
          <w:rFonts w:ascii="Arial" w:hAnsi="Arial" w:cs="Arial"/>
        </w:rPr>
        <w:t xml:space="preserve"> </w:t>
      </w:r>
      <w:r w:rsidR="006C0AED" w:rsidRPr="00CD59CC">
        <w:rPr>
          <w:rFonts w:ascii="Arial" w:hAnsi="Arial" w:cs="Arial"/>
        </w:rPr>
        <w:t>jobs,</w:t>
      </w:r>
      <w:r w:rsidR="007B7640" w:rsidRPr="00CD59CC">
        <w:rPr>
          <w:rFonts w:ascii="Arial" w:hAnsi="Arial" w:cs="Arial"/>
        </w:rPr>
        <w:t xml:space="preserve"> </w:t>
      </w:r>
      <w:r w:rsidR="006C0AED" w:rsidRPr="00CD59CC">
        <w:rPr>
          <w:rFonts w:ascii="Arial" w:hAnsi="Arial" w:cs="Arial"/>
        </w:rPr>
        <w:t>the</w:t>
      </w:r>
      <w:r w:rsidR="007B7640" w:rsidRPr="00CD59CC">
        <w:rPr>
          <w:rFonts w:ascii="Arial" w:hAnsi="Arial" w:cs="Arial"/>
        </w:rPr>
        <w:t xml:space="preserve"> </w:t>
      </w:r>
      <w:r w:rsidR="006C0AED" w:rsidRPr="00CD59CC">
        <w:rPr>
          <w:rFonts w:ascii="Arial" w:hAnsi="Arial" w:cs="Arial"/>
        </w:rPr>
        <w:t>unemployed</w:t>
      </w:r>
      <w:r w:rsidR="007B7640" w:rsidRPr="00CD59CC">
        <w:rPr>
          <w:rFonts w:ascii="Arial" w:hAnsi="Arial" w:cs="Arial"/>
        </w:rPr>
        <w:t xml:space="preserve"> </w:t>
      </w:r>
      <w:r w:rsidR="006C0AED" w:rsidRPr="00CD59CC">
        <w:rPr>
          <w:rFonts w:ascii="Arial" w:hAnsi="Arial" w:cs="Arial"/>
        </w:rPr>
        <w:t>become</w:t>
      </w:r>
      <w:r w:rsidR="007B7640" w:rsidRPr="00CD59CC">
        <w:rPr>
          <w:rFonts w:ascii="Arial" w:hAnsi="Arial" w:cs="Arial"/>
        </w:rPr>
        <w:t xml:space="preserve"> </w:t>
      </w:r>
      <w:r w:rsidR="006C0AED" w:rsidRPr="00CD59CC">
        <w:rPr>
          <w:rFonts w:ascii="Arial" w:hAnsi="Arial" w:cs="Arial"/>
        </w:rPr>
        <w:t>completely</w:t>
      </w:r>
      <w:r w:rsidR="007B7640" w:rsidRPr="00CD59CC">
        <w:rPr>
          <w:rFonts w:ascii="Arial" w:hAnsi="Arial" w:cs="Arial"/>
        </w:rPr>
        <w:t xml:space="preserve"> </w:t>
      </w:r>
      <w:r w:rsidR="006C0AED" w:rsidRPr="00CD59CC">
        <w:rPr>
          <w:rFonts w:ascii="Arial" w:hAnsi="Arial" w:cs="Arial"/>
        </w:rPr>
        <w:t>dependent</w:t>
      </w:r>
      <w:r w:rsidR="007B7640" w:rsidRPr="00CD59CC">
        <w:rPr>
          <w:rFonts w:ascii="Arial" w:hAnsi="Arial" w:cs="Arial"/>
        </w:rPr>
        <w:t xml:space="preserve"> </w:t>
      </w:r>
      <w:r w:rsidR="006C0AED" w:rsidRPr="00CD59CC">
        <w:rPr>
          <w:rFonts w:ascii="Arial" w:hAnsi="Arial" w:cs="Arial"/>
        </w:rPr>
        <w:t>on</w:t>
      </w:r>
      <w:r w:rsidR="007B7640" w:rsidRPr="00CD59CC">
        <w:rPr>
          <w:rFonts w:ascii="Arial" w:hAnsi="Arial" w:cs="Arial"/>
        </w:rPr>
        <w:t xml:space="preserve"> </w:t>
      </w:r>
      <w:r w:rsidR="006C0AED" w:rsidRPr="00CD59CC">
        <w:rPr>
          <w:rFonts w:ascii="Arial" w:hAnsi="Arial" w:cs="Arial"/>
        </w:rPr>
        <w:t>the</w:t>
      </w:r>
      <w:r w:rsidR="007B7640" w:rsidRPr="00CD59CC">
        <w:rPr>
          <w:rFonts w:ascii="Arial" w:hAnsi="Arial" w:cs="Arial"/>
        </w:rPr>
        <w:t xml:space="preserve"> </w:t>
      </w:r>
      <w:r w:rsidR="00DC7059" w:rsidRPr="00CD59CC">
        <w:rPr>
          <w:rFonts w:ascii="Arial" w:hAnsi="Arial" w:cs="Arial"/>
        </w:rPr>
        <w:t>municipal</w:t>
      </w:r>
      <w:r w:rsidR="007B7640" w:rsidRPr="00CD59CC">
        <w:rPr>
          <w:rFonts w:ascii="Arial" w:hAnsi="Arial" w:cs="Arial"/>
        </w:rPr>
        <w:t xml:space="preserve"> </w:t>
      </w:r>
      <w:r w:rsidR="00DC7059" w:rsidRPr="00CD59CC">
        <w:rPr>
          <w:rFonts w:ascii="Arial" w:hAnsi="Arial" w:cs="Arial"/>
        </w:rPr>
        <w:t>councils</w:t>
      </w:r>
      <w:r w:rsidR="007B7640" w:rsidRPr="00CD59CC">
        <w:rPr>
          <w:rFonts w:ascii="Arial" w:hAnsi="Arial" w:cs="Arial"/>
        </w:rPr>
        <w:t xml:space="preserve"> </w:t>
      </w:r>
      <w:r w:rsidR="006C0AED" w:rsidRPr="00CD59CC">
        <w:rPr>
          <w:rFonts w:ascii="Arial" w:hAnsi="Arial" w:cs="Arial"/>
        </w:rPr>
        <w:t>as</w:t>
      </w:r>
      <w:r w:rsidR="007B7640" w:rsidRPr="00CD59CC">
        <w:rPr>
          <w:rFonts w:ascii="Arial" w:hAnsi="Arial" w:cs="Arial"/>
        </w:rPr>
        <w:t xml:space="preserve"> </w:t>
      </w:r>
      <w:r w:rsidR="006C0AED" w:rsidRPr="00CD59CC">
        <w:rPr>
          <w:rFonts w:ascii="Arial" w:hAnsi="Arial" w:cs="Arial"/>
        </w:rPr>
        <w:t>the</w:t>
      </w:r>
      <w:r w:rsidR="007B7640" w:rsidRPr="00CD59CC">
        <w:rPr>
          <w:rFonts w:ascii="Arial" w:hAnsi="Arial" w:cs="Arial"/>
        </w:rPr>
        <w:t xml:space="preserve"> </w:t>
      </w:r>
      <w:r w:rsidR="006C0AED" w:rsidRPr="00CD59CC">
        <w:rPr>
          <w:rFonts w:ascii="Arial" w:hAnsi="Arial" w:cs="Arial"/>
        </w:rPr>
        <w:t>main</w:t>
      </w:r>
      <w:r w:rsidR="007B7640" w:rsidRPr="00CD59CC">
        <w:rPr>
          <w:rFonts w:ascii="Arial" w:hAnsi="Arial" w:cs="Arial"/>
        </w:rPr>
        <w:t xml:space="preserve"> </w:t>
      </w:r>
      <w:r w:rsidR="006C0AED" w:rsidRPr="00CD59CC">
        <w:rPr>
          <w:rFonts w:ascii="Arial" w:hAnsi="Arial" w:cs="Arial"/>
        </w:rPr>
        <w:t>(or</w:t>
      </w:r>
      <w:r w:rsidR="007B7640" w:rsidRPr="00CD59CC">
        <w:rPr>
          <w:rFonts w:ascii="Arial" w:hAnsi="Arial" w:cs="Arial"/>
        </w:rPr>
        <w:t xml:space="preserve"> </w:t>
      </w:r>
      <w:r w:rsidR="006C0AED" w:rsidRPr="00CD59CC">
        <w:rPr>
          <w:rFonts w:ascii="Arial" w:hAnsi="Arial" w:cs="Arial"/>
        </w:rPr>
        <w:t>only)</w:t>
      </w:r>
      <w:r w:rsidR="007B7640" w:rsidRPr="00CD59CC">
        <w:rPr>
          <w:rFonts w:ascii="Arial" w:hAnsi="Arial" w:cs="Arial"/>
        </w:rPr>
        <w:t xml:space="preserve"> </w:t>
      </w:r>
      <w:r w:rsidR="006C0AED" w:rsidRPr="00CD59CC">
        <w:rPr>
          <w:rFonts w:ascii="Arial" w:hAnsi="Arial" w:cs="Arial"/>
        </w:rPr>
        <w:t>public</w:t>
      </w:r>
      <w:r w:rsidR="007B7640" w:rsidRPr="00CD59CC">
        <w:rPr>
          <w:rFonts w:ascii="Arial" w:hAnsi="Arial" w:cs="Arial"/>
        </w:rPr>
        <w:t xml:space="preserve"> </w:t>
      </w:r>
      <w:r w:rsidR="006C0AED" w:rsidRPr="00CD59CC">
        <w:rPr>
          <w:rFonts w:ascii="Arial" w:hAnsi="Arial" w:cs="Arial"/>
        </w:rPr>
        <w:t>employers</w:t>
      </w:r>
      <w:r w:rsidR="007B7640" w:rsidRPr="00CD59CC">
        <w:rPr>
          <w:rFonts w:ascii="Arial" w:hAnsi="Arial" w:cs="Arial"/>
        </w:rPr>
        <w:t xml:space="preserve"> </w:t>
      </w:r>
      <w:r w:rsidR="006C0AED" w:rsidRPr="00CD59CC">
        <w:rPr>
          <w:rFonts w:ascii="Arial" w:hAnsi="Arial" w:cs="Arial"/>
        </w:rPr>
        <w:t>in</w:t>
      </w:r>
      <w:r w:rsidR="007B7640" w:rsidRPr="00CD59CC">
        <w:rPr>
          <w:rFonts w:ascii="Arial" w:hAnsi="Arial" w:cs="Arial"/>
        </w:rPr>
        <w:t xml:space="preserve"> </w:t>
      </w:r>
      <w:r w:rsidR="006C0AED" w:rsidRPr="00CD59CC">
        <w:rPr>
          <w:rFonts w:ascii="Arial" w:hAnsi="Arial" w:cs="Arial"/>
        </w:rPr>
        <w:t>the</w:t>
      </w:r>
      <w:r w:rsidR="007B7640" w:rsidRPr="00CD59CC">
        <w:rPr>
          <w:rFonts w:ascii="Arial" w:hAnsi="Arial" w:cs="Arial"/>
        </w:rPr>
        <w:t xml:space="preserve"> </w:t>
      </w:r>
      <w:r w:rsidR="006C0AED" w:rsidRPr="00CD59CC">
        <w:rPr>
          <w:rFonts w:ascii="Arial" w:hAnsi="Arial" w:cs="Arial"/>
        </w:rPr>
        <w:t>settlement.</w:t>
      </w:r>
      <w:r w:rsidR="007B7640" w:rsidRPr="00CD59CC">
        <w:rPr>
          <w:rFonts w:ascii="Arial" w:hAnsi="Arial" w:cs="Arial"/>
        </w:rPr>
        <w:t xml:space="preserve"> </w:t>
      </w:r>
      <w:r w:rsidR="006C0AED" w:rsidRPr="00CD59CC">
        <w:rPr>
          <w:rFonts w:ascii="Arial" w:hAnsi="Arial" w:cs="Arial"/>
        </w:rPr>
        <w:t>The</w:t>
      </w:r>
      <w:r w:rsidR="007B7640" w:rsidRPr="00CD59CC">
        <w:rPr>
          <w:rFonts w:ascii="Arial" w:hAnsi="Arial" w:cs="Arial"/>
        </w:rPr>
        <w:t xml:space="preserve"> </w:t>
      </w:r>
      <w:r w:rsidR="006C0AED" w:rsidRPr="00CD59CC">
        <w:rPr>
          <w:rFonts w:ascii="Arial" w:hAnsi="Arial" w:cs="Arial"/>
        </w:rPr>
        <w:t>connecting</w:t>
      </w:r>
      <w:r w:rsidR="007B7640" w:rsidRPr="00CD59CC">
        <w:rPr>
          <w:rFonts w:ascii="Arial" w:hAnsi="Arial" w:cs="Arial"/>
        </w:rPr>
        <w:t xml:space="preserve"> </w:t>
      </w:r>
      <w:r w:rsidR="006C0AED" w:rsidRPr="00CD59CC">
        <w:rPr>
          <w:rFonts w:ascii="Arial" w:hAnsi="Arial" w:cs="Arial"/>
        </w:rPr>
        <w:t>of</w:t>
      </w:r>
      <w:r w:rsidR="007B7640" w:rsidRPr="00CD59CC">
        <w:rPr>
          <w:rFonts w:ascii="Arial" w:hAnsi="Arial" w:cs="Arial"/>
        </w:rPr>
        <w:t xml:space="preserve"> </w:t>
      </w:r>
      <w:r w:rsidR="006C0AED" w:rsidRPr="00CD59CC">
        <w:rPr>
          <w:rFonts w:ascii="Arial" w:hAnsi="Arial" w:cs="Arial"/>
        </w:rPr>
        <w:t>social</w:t>
      </w:r>
      <w:r w:rsidR="007B7640" w:rsidRPr="00CD59CC">
        <w:rPr>
          <w:rFonts w:ascii="Arial" w:hAnsi="Arial" w:cs="Arial"/>
        </w:rPr>
        <w:t xml:space="preserve"> </w:t>
      </w:r>
      <w:r w:rsidR="006C0AED" w:rsidRPr="00CD59CC">
        <w:rPr>
          <w:rFonts w:ascii="Arial" w:hAnsi="Arial" w:cs="Arial"/>
        </w:rPr>
        <w:t>aids</w:t>
      </w:r>
      <w:r w:rsidR="007B7640" w:rsidRPr="00CD59CC">
        <w:rPr>
          <w:rFonts w:ascii="Arial" w:hAnsi="Arial" w:cs="Arial"/>
        </w:rPr>
        <w:t xml:space="preserve"> </w:t>
      </w:r>
      <w:r w:rsidR="006C0AED" w:rsidRPr="00CD59CC">
        <w:rPr>
          <w:rFonts w:ascii="Arial" w:hAnsi="Arial" w:cs="Arial"/>
        </w:rPr>
        <w:t>and</w:t>
      </w:r>
      <w:r w:rsidR="007B7640" w:rsidRPr="00CD59CC">
        <w:rPr>
          <w:rFonts w:ascii="Arial" w:hAnsi="Arial" w:cs="Arial"/>
        </w:rPr>
        <w:t xml:space="preserve"> </w:t>
      </w:r>
      <w:r w:rsidR="006C0AED" w:rsidRPr="00CD59CC">
        <w:rPr>
          <w:rFonts w:ascii="Arial" w:hAnsi="Arial" w:cs="Arial"/>
        </w:rPr>
        <w:t>public</w:t>
      </w:r>
      <w:r w:rsidR="007B7640" w:rsidRPr="00CD59CC">
        <w:rPr>
          <w:rFonts w:ascii="Arial" w:hAnsi="Arial" w:cs="Arial"/>
        </w:rPr>
        <w:t xml:space="preserve"> </w:t>
      </w:r>
      <w:r w:rsidR="006C0AED" w:rsidRPr="00CD59CC">
        <w:rPr>
          <w:rFonts w:ascii="Arial" w:hAnsi="Arial" w:cs="Arial"/>
        </w:rPr>
        <w:t>employment</w:t>
      </w:r>
      <w:r w:rsidR="007B7640" w:rsidRPr="00CD59CC">
        <w:rPr>
          <w:rFonts w:ascii="Arial" w:hAnsi="Arial" w:cs="Arial"/>
        </w:rPr>
        <w:t xml:space="preserve"> </w:t>
      </w:r>
      <w:r w:rsidR="00DC7059" w:rsidRPr="00CD59CC">
        <w:rPr>
          <w:rFonts w:ascii="Arial" w:hAnsi="Arial" w:cs="Arial"/>
        </w:rPr>
        <w:t>puts</w:t>
      </w:r>
      <w:r w:rsidR="007B7640" w:rsidRPr="00CD59CC">
        <w:rPr>
          <w:rFonts w:ascii="Arial" w:hAnsi="Arial" w:cs="Arial"/>
        </w:rPr>
        <w:t xml:space="preserve"> </w:t>
      </w:r>
      <w:r w:rsidR="00DC7059" w:rsidRPr="00CD59CC">
        <w:rPr>
          <w:rFonts w:ascii="Arial" w:hAnsi="Arial" w:cs="Arial"/>
        </w:rPr>
        <w:t>the</w:t>
      </w:r>
      <w:r w:rsidR="007B7640" w:rsidRPr="00CD59CC">
        <w:rPr>
          <w:rFonts w:ascii="Arial" w:hAnsi="Arial" w:cs="Arial"/>
        </w:rPr>
        <w:t xml:space="preserve"> </w:t>
      </w:r>
      <w:r w:rsidR="00DC7059" w:rsidRPr="00CD59CC">
        <w:rPr>
          <w:rFonts w:ascii="Arial" w:hAnsi="Arial" w:cs="Arial"/>
        </w:rPr>
        <w:t>unemployed</w:t>
      </w:r>
      <w:r w:rsidR="007B7640" w:rsidRPr="00CD59CC">
        <w:rPr>
          <w:rFonts w:ascii="Arial" w:hAnsi="Arial" w:cs="Arial"/>
        </w:rPr>
        <w:t xml:space="preserve"> </w:t>
      </w:r>
      <w:r w:rsidR="00DC7059" w:rsidRPr="00CD59CC">
        <w:rPr>
          <w:rFonts w:ascii="Arial" w:hAnsi="Arial" w:cs="Arial"/>
        </w:rPr>
        <w:t>at</w:t>
      </w:r>
      <w:r w:rsidR="007B7640" w:rsidRPr="00CD59CC">
        <w:rPr>
          <w:rFonts w:ascii="Arial" w:hAnsi="Arial" w:cs="Arial"/>
        </w:rPr>
        <w:t xml:space="preserve"> </w:t>
      </w:r>
      <w:r w:rsidR="00DC7059" w:rsidRPr="00CD59CC">
        <w:rPr>
          <w:rFonts w:ascii="Arial" w:hAnsi="Arial" w:cs="Arial"/>
        </w:rPr>
        <w:t>the</w:t>
      </w:r>
      <w:r w:rsidR="007B7640" w:rsidRPr="00CD59CC">
        <w:rPr>
          <w:rFonts w:ascii="Arial" w:hAnsi="Arial" w:cs="Arial"/>
        </w:rPr>
        <w:t xml:space="preserve"> </w:t>
      </w:r>
      <w:r w:rsidR="00DC7059" w:rsidRPr="00CD59CC">
        <w:rPr>
          <w:rFonts w:ascii="Arial" w:hAnsi="Arial" w:cs="Arial"/>
        </w:rPr>
        <w:t>mercy</w:t>
      </w:r>
      <w:r w:rsidR="007B7640" w:rsidRPr="00CD59CC">
        <w:rPr>
          <w:rFonts w:ascii="Arial" w:hAnsi="Arial" w:cs="Arial"/>
        </w:rPr>
        <w:t xml:space="preserve"> </w:t>
      </w:r>
      <w:r w:rsidR="00DC7059" w:rsidRPr="00CD59CC">
        <w:rPr>
          <w:rFonts w:ascii="Arial" w:hAnsi="Arial" w:cs="Arial"/>
        </w:rPr>
        <w:t>of</w:t>
      </w:r>
      <w:r w:rsidR="007B7640" w:rsidRPr="00CD59CC">
        <w:rPr>
          <w:rFonts w:ascii="Arial" w:hAnsi="Arial" w:cs="Arial"/>
        </w:rPr>
        <w:t xml:space="preserve"> </w:t>
      </w:r>
      <w:r w:rsidR="00DC7059" w:rsidRPr="00CD59CC">
        <w:rPr>
          <w:rFonts w:ascii="Arial" w:hAnsi="Arial" w:cs="Arial"/>
        </w:rPr>
        <w:t>the</w:t>
      </w:r>
      <w:r w:rsidR="007B7640" w:rsidRPr="00CD59CC">
        <w:rPr>
          <w:rFonts w:ascii="Arial" w:hAnsi="Arial" w:cs="Arial"/>
        </w:rPr>
        <w:t xml:space="preserve"> </w:t>
      </w:r>
      <w:r w:rsidR="00DC7059" w:rsidRPr="00CD59CC">
        <w:rPr>
          <w:rFonts w:ascii="Arial" w:hAnsi="Arial" w:cs="Arial"/>
        </w:rPr>
        <w:t>mayor,</w:t>
      </w:r>
      <w:r w:rsidR="007B7640" w:rsidRPr="00CD59CC">
        <w:rPr>
          <w:rFonts w:ascii="Arial" w:hAnsi="Arial" w:cs="Arial"/>
        </w:rPr>
        <w:t xml:space="preserve"> </w:t>
      </w:r>
      <w:r w:rsidR="00DC7059" w:rsidRPr="00CD59CC">
        <w:rPr>
          <w:rFonts w:ascii="Arial" w:hAnsi="Arial" w:cs="Arial"/>
        </w:rPr>
        <w:t>since</w:t>
      </w:r>
      <w:r w:rsidR="007B7640" w:rsidRPr="00CD59CC">
        <w:rPr>
          <w:rFonts w:ascii="Arial" w:hAnsi="Arial" w:cs="Arial"/>
        </w:rPr>
        <w:t xml:space="preserve"> </w:t>
      </w:r>
      <w:r w:rsidR="00DC7059" w:rsidRPr="00CD59CC">
        <w:rPr>
          <w:rFonts w:ascii="Arial" w:hAnsi="Arial" w:cs="Arial"/>
        </w:rPr>
        <w:t>if</w:t>
      </w:r>
      <w:r w:rsidR="007B7640" w:rsidRPr="00CD59CC">
        <w:rPr>
          <w:rFonts w:ascii="Arial" w:hAnsi="Arial" w:cs="Arial"/>
        </w:rPr>
        <w:t xml:space="preserve"> </w:t>
      </w:r>
      <w:r w:rsidR="00DC7059" w:rsidRPr="00CD59CC">
        <w:rPr>
          <w:rFonts w:ascii="Arial" w:hAnsi="Arial" w:cs="Arial"/>
        </w:rPr>
        <w:t>the</w:t>
      </w:r>
      <w:r w:rsidR="007B7640" w:rsidRPr="00CD59CC">
        <w:rPr>
          <w:rFonts w:ascii="Arial" w:hAnsi="Arial" w:cs="Arial"/>
        </w:rPr>
        <w:t xml:space="preserve"> </w:t>
      </w:r>
      <w:r w:rsidR="00DC7059" w:rsidRPr="00CD59CC">
        <w:rPr>
          <w:rFonts w:ascii="Arial" w:hAnsi="Arial" w:cs="Arial"/>
        </w:rPr>
        <w:t>mayor</w:t>
      </w:r>
      <w:r w:rsidR="007B7640" w:rsidRPr="00CD59CC">
        <w:rPr>
          <w:rFonts w:ascii="Arial" w:hAnsi="Arial" w:cs="Arial"/>
        </w:rPr>
        <w:t xml:space="preserve"> </w:t>
      </w:r>
      <w:r w:rsidR="00DC7059" w:rsidRPr="00CD59CC">
        <w:rPr>
          <w:rFonts w:ascii="Arial" w:hAnsi="Arial" w:cs="Arial"/>
        </w:rPr>
        <w:t>refuses</w:t>
      </w:r>
      <w:r w:rsidR="007B7640" w:rsidRPr="00CD59CC">
        <w:rPr>
          <w:rFonts w:ascii="Arial" w:hAnsi="Arial" w:cs="Arial"/>
        </w:rPr>
        <w:t xml:space="preserve"> </w:t>
      </w:r>
      <w:r w:rsidR="00DC7059" w:rsidRPr="00CD59CC">
        <w:rPr>
          <w:rFonts w:ascii="Arial" w:hAnsi="Arial" w:cs="Arial"/>
        </w:rPr>
        <w:t>to</w:t>
      </w:r>
      <w:r w:rsidR="007B7640" w:rsidRPr="00CD59CC">
        <w:rPr>
          <w:rFonts w:ascii="Arial" w:hAnsi="Arial" w:cs="Arial"/>
        </w:rPr>
        <w:t xml:space="preserve"> </w:t>
      </w:r>
      <w:r w:rsidR="00DC7059" w:rsidRPr="00CD59CC">
        <w:rPr>
          <w:rFonts w:ascii="Arial" w:hAnsi="Arial" w:cs="Arial"/>
        </w:rPr>
        <w:t>employ</w:t>
      </w:r>
      <w:r w:rsidR="007B7640" w:rsidRPr="00CD59CC">
        <w:rPr>
          <w:rFonts w:ascii="Arial" w:hAnsi="Arial" w:cs="Arial"/>
        </w:rPr>
        <w:t xml:space="preserve"> </w:t>
      </w:r>
      <w:r w:rsidR="00DC7059" w:rsidRPr="00CD59CC">
        <w:rPr>
          <w:rFonts w:ascii="Arial" w:hAnsi="Arial" w:cs="Arial"/>
        </w:rPr>
        <w:t>someone</w:t>
      </w:r>
      <w:r w:rsidR="007B7640" w:rsidRPr="00CD59CC">
        <w:rPr>
          <w:rFonts w:ascii="Arial" w:hAnsi="Arial" w:cs="Arial"/>
        </w:rPr>
        <w:t xml:space="preserve"> </w:t>
      </w:r>
      <w:r w:rsidR="00DC7059" w:rsidRPr="00CD59CC">
        <w:rPr>
          <w:rFonts w:ascii="Arial" w:hAnsi="Arial" w:cs="Arial"/>
        </w:rPr>
        <w:t>in</w:t>
      </w:r>
      <w:r w:rsidR="007B7640" w:rsidRPr="00CD59CC">
        <w:rPr>
          <w:rFonts w:ascii="Arial" w:hAnsi="Arial" w:cs="Arial"/>
        </w:rPr>
        <w:t xml:space="preserve"> </w:t>
      </w:r>
      <w:r w:rsidR="00DC7059" w:rsidRPr="00CD59CC">
        <w:rPr>
          <w:rFonts w:ascii="Arial" w:hAnsi="Arial" w:cs="Arial"/>
        </w:rPr>
        <w:t>the</w:t>
      </w:r>
      <w:r w:rsidR="007B7640" w:rsidRPr="00CD59CC">
        <w:rPr>
          <w:rFonts w:ascii="Arial" w:hAnsi="Arial" w:cs="Arial"/>
        </w:rPr>
        <w:t xml:space="preserve"> </w:t>
      </w:r>
      <w:r w:rsidR="00DC7059" w:rsidRPr="00CD59CC">
        <w:rPr>
          <w:rFonts w:ascii="Arial" w:hAnsi="Arial" w:cs="Arial"/>
        </w:rPr>
        <w:t>public</w:t>
      </w:r>
      <w:r w:rsidR="007B7640" w:rsidRPr="00CD59CC">
        <w:rPr>
          <w:rFonts w:ascii="Arial" w:hAnsi="Arial" w:cs="Arial"/>
        </w:rPr>
        <w:t xml:space="preserve"> </w:t>
      </w:r>
      <w:r w:rsidR="00DC7059" w:rsidRPr="00CD59CC">
        <w:rPr>
          <w:rFonts w:ascii="Arial" w:hAnsi="Arial" w:cs="Arial"/>
        </w:rPr>
        <w:t>work</w:t>
      </w:r>
      <w:r w:rsidR="007B7640" w:rsidRPr="00CD59CC">
        <w:rPr>
          <w:rFonts w:ascii="Arial" w:hAnsi="Arial" w:cs="Arial"/>
        </w:rPr>
        <w:t xml:space="preserve"> </w:t>
      </w:r>
      <w:r w:rsidR="00DC7059" w:rsidRPr="00CD59CC">
        <w:rPr>
          <w:rFonts w:ascii="Arial" w:hAnsi="Arial" w:cs="Arial"/>
        </w:rPr>
        <w:t>scheme,</w:t>
      </w:r>
      <w:r w:rsidR="007B7640" w:rsidRPr="00CD59CC">
        <w:rPr>
          <w:rFonts w:ascii="Arial" w:hAnsi="Arial" w:cs="Arial"/>
        </w:rPr>
        <w:t xml:space="preserve"> </w:t>
      </w:r>
      <w:r w:rsidR="00DC7059" w:rsidRPr="00CD59CC">
        <w:rPr>
          <w:rFonts w:ascii="Arial" w:hAnsi="Arial" w:cs="Arial"/>
        </w:rPr>
        <w:t>he/she</w:t>
      </w:r>
      <w:r w:rsidR="007B7640" w:rsidRPr="00CD59CC">
        <w:rPr>
          <w:rFonts w:ascii="Arial" w:hAnsi="Arial" w:cs="Arial"/>
        </w:rPr>
        <w:t xml:space="preserve"> </w:t>
      </w:r>
      <w:r w:rsidR="00DC7059" w:rsidRPr="00CD59CC">
        <w:rPr>
          <w:rFonts w:ascii="Arial" w:hAnsi="Arial" w:cs="Arial"/>
        </w:rPr>
        <w:t>will</w:t>
      </w:r>
      <w:r w:rsidR="007B7640" w:rsidRPr="00CD59CC">
        <w:rPr>
          <w:rFonts w:ascii="Arial" w:hAnsi="Arial" w:cs="Arial"/>
        </w:rPr>
        <w:t xml:space="preserve"> </w:t>
      </w:r>
      <w:r w:rsidR="00DC7059" w:rsidRPr="00CD59CC">
        <w:rPr>
          <w:rFonts w:ascii="Arial" w:hAnsi="Arial" w:cs="Arial"/>
        </w:rPr>
        <w:t>lose</w:t>
      </w:r>
      <w:r w:rsidR="007B7640" w:rsidRPr="00CD59CC">
        <w:rPr>
          <w:rFonts w:ascii="Arial" w:hAnsi="Arial" w:cs="Arial"/>
        </w:rPr>
        <w:t xml:space="preserve"> </w:t>
      </w:r>
      <w:r w:rsidR="00DC7059" w:rsidRPr="00CD59CC">
        <w:rPr>
          <w:rFonts w:ascii="Arial" w:hAnsi="Arial" w:cs="Arial"/>
        </w:rPr>
        <w:t>his/her</w:t>
      </w:r>
      <w:r w:rsidR="007B7640" w:rsidRPr="00CD59CC">
        <w:rPr>
          <w:rFonts w:ascii="Arial" w:hAnsi="Arial" w:cs="Arial"/>
        </w:rPr>
        <w:t xml:space="preserve"> </w:t>
      </w:r>
      <w:r w:rsidR="00DC7059" w:rsidRPr="00CD59CC">
        <w:rPr>
          <w:rFonts w:ascii="Arial" w:hAnsi="Arial" w:cs="Arial"/>
        </w:rPr>
        <w:t>social</w:t>
      </w:r>
      <w:r w:rsidR="007B7640" w:rsidRPr="00CD59CC">
        <w:rPr>
          <w:rFonts w:ascii="Arial" w:hAnsi="Arial" w:cs="Arial"/>
        </w:rPr>
        <w:t xml:space="preserve"> </w:t>
      </w:r>
      <w:r w:rsidR="00DC7059" w:rsidRPr="00CD59CC">
        <w:rPr>
          <w:rFonts w:ascii="Arial" w:hAnsi="Arial" w:cs="Arial"/>
        </w:rPr>
        <w:t>allowances.</w:t>
      </w:r>
      <w:r w:rsidR="007B7640" w:rsidRPr="00CD59CC">
        <w:rPr>
          <w:rFonts w:ascii="Arial" w:hAnsi="Arial" w:cs="Arial"/>
        </w:rPr>
        <w:t xml:space="preserve"> </w:t>
      </w:r>
      <w:r w:rsidR="006C0AED" w:rsidRPr="00CD59CC">
        <w:rPr>
          <w:rFonts w:ascii="Arial" w:hAnsi="Arial" w:cs="Arial"/>
        </w:rPr>
        <w:t>Human</w:t>
      </w:r>
      <w:r w:rsidR="007B7640" w:rsidRPr="00CD59CC">
        <w:rPr>
          <w:rFonts w:ascii="Arial" w:hAnsi="Arial" w:cs="Arial"/>
        </w:rPr>
        <w:t xml:space="preserve"> </w:t>
      </w:r>
      <w:r w:rsidR="006C0AED" w:rsidRPr="00CD59CC">
        <w:rPr>
          <w:rFonts w:ascii="Arial" w:hAnsi="Arial" w:cs="Arial"/>
        </w:rPr>
        <w:t>rights</w:t>
      </w:r>
      <w:r w:rsidR="007B7640" w:rsidRPr="00CD59CC">
        <w:rPr>
          <w:rFonts w:ascii="Arial" w:hAnsi="Arial" w:cs="Arial"/>
        </w:rPr>
        <w:t xml:space="preserve"> </w:t>
      </w:r>
      <w:r w:rsidR="006C0AED" w:rsidRPr="00CD59CC">
        <w:rPr>
          <w:rFonts w:ascii="Arial" w:hAnsi="Arial" w:cs="Arial"/>
        </w:rPr>
        <w:t>NGOs</w:t>
      </w:r>
      <w:r w:rsidR="007B7640" w:rsidRPr="00CD59CC">
        <w:rPr>
          <w:rFonts w:ascii="Arial" w:hAnsi="Arial" w:cs="Arial"/>
        </w:rPr>
        <w:t xml:space="preserve"> </w:t>
      </w:r>
      <w:r w:rsidR="006C0AED" w:rsidRPr="00CD59CC">
        <w:rPr>
          <w:rFonts w:ascii="Arial" w:hAnsi="Arial" w:cs="Arial"/>
        </w:rPr>
        <w:t>report</w:t>
      </w:r>
      <w:r w:rsidR="007B7640" w:rsidRPr="00CD59CC">
        <w:rPr>
          <w:rFonts w:ascii="Arial" w:hAnsi="Arial" w:cs="Arial"/>
        </w:rPr>
        <w:t xml:space="preserve"> </w:t>
      </w:r>
      <w:r w:rsidR="006C0AED" w:rsidRPr="00CD59CC">
        <w:rPr>
          <w:rFonts w:ascii="Arial" w:hAnsi="Arial" w:cs="Arial"/>
        </w:rPr>
        <w:t>that</w:t>
      </w:r>
      <w:r w:rsidR="007B7640" w:rsidRPr="00CD59CC">
        <w:rPr>
          <w:rFonts w:ascii="Arial" w:hAnsi="Arial" w:cs="Arial"/>
        </w:rPr>
        <w:t xml:space="preserve"> </w:t>
      </w:r>
      <w:r w:rsidR="006C0AED" w:rsidRPr="00CD59CC">
        <w:rPr>
          <w:rFonts w:ascii="Arial" w:hAnsi="Arial" w:cs="Arial"/>
        </w:rPr>
        <w:t>the</w:t>
      </w:r>
      <w:r w:rsidR="007B7640" w:rsidRPr="00CD59CC">
        <w:rPr>
          <w:rFonts w:ascii="Arial" w:hAnsi="Arial" w:cs="Arial"/>
        </w:rPr>
        <w:t xml:space="preserve"> </w:t>
      </w:r>
      <w:r w:rsidR="006C0AED" w:rsidRPr="00CD59CC">
        <w:rPr>
          <w:rFonts w:ascii="Arial" w:hAnsi="Arial" w:cs="Arial"/>
        </w:rPr>
        <w:t>most</w:t>
      </w:r>
      <w:r w:rsidR="007B7640" w:rsidRPr="00CD59CC">
        <w:rPr>
          <w:rFonts w:ascii="Arial" w:hAnsi="Arial" w:cs="Arial"/>
        </w:rPr>
        <w:t xml:space="preserve"> </w:t>
      </w:r>
      <w:r w:rsidR="006C0AED" w:rsidRPr="00CD59CC">
        <w:rPr>
          <w:rFonts w:ascii="Arial" w:hAnsi="Arial" w:cs="Arial"/>
        </w:rPr>
        <w:t>glaring</w:t>
      </w:r>
      <w:r w:rsidR="007B7640" w:rsidRPr="00CD59CC">
        <w:rPr>
          <w:rFonts w:ascii="Arial" w:hAnsi="Arial" w:cs="Arial"/>
        </w:rPr>
        <w:t xml:space="preserve"> </w:t>
      </w:r>
      <w:r w:rsidR="006C0AED" w:rsidRPr="00CD59CC">
        <w:rPr>
          <w:rFonts w:ascii="Arial" w:hAnsi="Arial" w:cs="Arial"/>
        </w:rPr>
        <w:t>cases</w:t>
      </w:r>
      <w:r w:rsidR="007B7640" w:rsidRPr="00CD59CC">
        <w:rPr>
          <w:rFonts w:ascii="Arial" w:hAnsi="Arial" w:cs="Arial"/>
        </w:rPr>
        <w:t xml:space="preserve"> </w:t>
      </w:r>
      <w:r w:rsidR="006C0AED" w:rsidRPr="00CD59CC">
        <w:rPr>
          <w:rFonts w:ascii="Arial" w:hAnsi="Arial" w:cs="Arial"/>
        </w:rPr>
        <w:t>of</w:t>
      </w:r>
      <w:r w:rsidR="007B7640" w:rsidRPr="00CD59CC">
        <w:rPr>
          <w:rFonts w:ascii="Arial" w:hAnsi="Arial" w:cs="Arial"/>
        </w:rPr>
        <w:t xml:space="preserve"> </w:t>
      </w:r>
      <w:r w:rsidR="006C0AED" w:rsidRPr="00CD59CC">
        <w:rPr>
          <w:rFonts w:ascii="Arial" w:hAnsi="Arial" w:cs="Arial"/>
        </w:rPr>
        <w:t>vulnerability</w:t>
      </w:r>
      <w:r w:rsidR="007B7640" w:rsidRPr="00CD59CC">
        <w:rPr>
          <w:rFonts w:ascii="Arial" w:hAnsi="Arial" w:cs="Arial"/>
        </w:rPr>
        <w:t xml:space="preserve"> </w:t>
      </w:r>
      <w:r w:rsidR="006C0AED" w:rsidRPr="00CD59CC">
        <w:rPr>
          <w:rFonts w:ascii="Arial" w:hAnsi="Arial" w:cs="Arial"/>
        </w:rPr>
        <w:t>are</w:t>
      </w:r>
      <w:r w:rsidR="007B7640" w:rsidRPr="00CD59CC">
        <w:rPr>
          <w:rFonts w:ascii="Arial" w:hAnsi="Arial" w:cs="Arial"/>
        </w:rPr>
        <w:t xml:space="preserve"> </w:t>
      </w:r>
      <w:r w:rsidR="006C0AED" w:rsidRPr="00CD59CC">
        <w:rPr>
          <w:rFonts w:ascii="Arial" w:hAnsi="Arial" w:cs="Arial"/>
        </w:rPr>
        <w:t>found</w:t>
      </w:r>
      <w:r w:rsidR="007B7640" w:rsidRPr="00CD59CC">
        <w:rPr>
          <w:rFonts w:ascii="Arial" w:hAnsi="Arial" w:cs="Arial"/>
        </w:rPr>
        <w:t xml:space="preserve"> </w:t>
      </w:r>
      <w:r w:rsidR="006C0AED" w:rsidRPr="00CD59CC">
        <w:rPr>
          <w:rFonts w:ascii="Arial" w:hAnsi="Arial" w:cs="Arial"/>
        </w:rPr>
        <w:t>in</w:t>
      </w:r>
      <w:r w:rsidR="007B7640" w:rsidRPr="00CD59CC">
        <w:rPr>
          <w:rFonts w:ascii="Arial" w:hAnsi="Arial" w:cs="Arial"/>
        </w:rPr>
        <w:t xml:space="preserve"> </w:t>
      </w:r>
      <w:r w:rsidR="006C0AED" w:rsidRPr="00CD59CC">
        <w:rPr>
          <w:rFonts w:ascii="Arial" w:hAnsi="Arial" w:cs="Arial"/>
        </w:rPr>
        <w:t>those</w:t>
      </w:r>
      <w:r w:rsidR="007B7640" w:rsidRPr="00CD59CC">
        <w:rPr>
          <w:rFonts w:ascii="Arial" w:hAnsi="Arial" w:cs="Arial"/>
        </w:rPr>
        <w:t xml:space="preserve"> </w:t>
      </w:r>
      <w:r w:rsidR="006C0AED" w:rsidRPr="00CD59CC">
        <w:rPr>
          <w:rFonts w:ascii="Arial" w:hAnsi="Arial" w:cs="Arial"/>
        </w:rPr>
        <w:t>local</w:t>
      </w:r>
      <w:r w:rsidR="007B7640" w:rsidRPr="00CD59CC">
        <w:rPr>
          <w:rFonts w:ascii="Arial" w:hAnsi="Arial" w:cs="Arial"/>
        </w:rPr>
        <w:t xml:space="preserve"> </w:t>
      </w:r>
      <w:r w:rsidR="006C0AED" w:rsidRPr="00CD59CC">
        <w:rPr>
          <w:rFonts w:ascii="Arial" w:hAnsi="Arial" w:cs="Arial"/>
        </w:rPr>
        <w:t>governments</w:t>
      </w:r>
      <w:r w:rsidR="007B7640" w:rsidRPr="00CD59CC">
        <w:rPr>
          <w:rFonts w:ascii="Arial" w:hAnsi="Arial" w:cs="Arial"/>
        </w:rPr>
        <w:t xml:space="preserve"> </w:t>
      </w:r>
      <w:r w:rsidR="006C0AED" w:rsidRPr="00CD59CC">
        <w:rPr>
          <w:rFonts w:ascii="Arial" w:hAnsi="Arial" w:cs="Arial"/>
        </w:rPr>
        <w:t>where</w:t>
      </w:r>
      <w:r w:rsidR="007B7640" w:rsidRPr="00CD59CC">
        <w:rPr>
          <w:rFonts w:ascii="Arial" w:hAnsi="Arial" w:cs="Arial"/>
        </w:rPr>
        <w:t xml:space="preserve"> </w:t>
      </w:r>
      <w:r w:rsidR="00DC7059" w:rsidRPr="00CD59CC">
        <w:rPr>
          <w:rFonts w:ascii="Arial" w:hAnsi="Arial" w:cs="Arial"/>
        </w:rPr>
        <w:t>the</w:t>
      </w:r>
      <w:r w:rsidR="007B7640" w:rsidRPr="00CD59CC">
        <w:rPr>
          <w:rFonts w:ascii="Arial" w:hAnsi="Arial" w:cs="Arial"/>
        </w:rPr>
        <w:t xml:space="preserve"> </w:t>
      </w:r>
      <w:r w:rsidR="006C0AED" w:rsidRPr="00CD59CC">
        <w:rPr>
          <w:rFonts w:ascii="Arial" w:hAnsi="Arial" w:cs="Arial"/>
        </w:rPr>
        <w:t>relations</w:t>
      </w:r>
      <w:r w:rsidR="007B7640" w:rsidRPr="00CD59CC">
        <w:rPr>
          <w:rFonts w:ascii="Arial" w:hAnsi="Arial" w:cs="Arial"/>
        </w:rPr>
        <w:t xml:space="preserve"> </w:t>
      </w:r>
      <w:r w:rsidR="006C0AED" w:rsidRPr="00CD59CC">
        <w:rPr>
          <w:rFonts w:ascii="Arial" w:hAnsi="Arial" w:cs="Arial"/>
        </w:rPr>
        <w:t>between</w:t>
      </w:r>
      <w:r w:rsidR="007B7640" w:rsidRPr="00CD59CC">
        <w:rPr>
          <w:rFonts w:ascii="Arial" w:hAnsi="Arial" w:cs="Arial"/>
        </w:rPr>
        <w:t xml:space="preserve"> </w:t>
      </w:r>
      <w:r w:rsidR="00DC7059" w:rsidRPr="00CD59CC">
        <w:rPr>
          <w:rFonts w:ascii="Arial" w:hAnsi="Arial" w:cs="Arial"/>
        </w:rPr>
        <w:t>the</w:t>
      </w:r>
      <w:r w:rsidR="007B7640" w:rsidRPr="00CD59CC">
        <w:rPr>
          <w:rFonts w:ascii="Arial" w:hAnsi="Arial" w:cs="Arial"/>
        </w:rPr>
        <w:t xml:space="preserve"> </w:t>
      </w:r>
      <w:r w:rsidR="006C0AED" w:rsidRPr="00CD59CC">
        <w:rPr>
          <w:rFonts w:ascii="Arial" w:hAnsi="Arial" w:cs="Arial"/>
        </w:rPr>
        <w:t>Roma</w:t>
      </w:r>
      <w:r w:rsidR="007B7640" w:rsidRPr="00CD59CC">
        <w:rPr>
          <w:rFonts w:ascii="Arial" w:hAnsi="Arial" w:cs="Arial"/>
        </w:rPr>
        <w:t xml:space="preserve"> </w:t>
      </w:r>
      <w:r w:rsidR="006C0AED" w:rsidRPr="00CD59CC">
        <w:rPr>
          <w:rFonts w:ascii="Arial" w:hAnsi="Arial" w:cs="Arial"/>
        </w:rPr>
        <w:t>and</w:t>
      </w:r>
      <w:r w:rsidR="007B7640" w:rsidRPr="00CD59CC">
        <w:rPr>
          <w:rFonts w:ascii="Arial" w:hAnsi="Arial" w:cs="Arial"/>
        </w:rPr>
        <w:t xml:space="preserve"> </w:t>
      </w:r>
      <w:r w:rsidR="00DC7059" w:rsidRPr="00CD59CC">
        <w:rPr>
          <w:rFonts w:ascii="Arial" w:hAnsi="Arial" w:cs="Arial"/>
        </w:rPr>
        <w:t>the</w:t>
      </w:r>
      <w:r w:rsidR="007B7640" w:rsidRPr="00CD59CC">
        <w:rPr>
          <w:rFonts w:ascii="Arial" w:hAnsi="Arial" w:cs="Arial"/>
        </w:rPr>
        <w:t xml:space="preserve"> </w:t>
      </w:r>
      <w:r w:rsidR="006C0AED" w:rsidRPr="00CD59CC">
        <w:rPr>
          <w:rFonts w:ascii="Arial" w:hAnsi="Arial" w:cs="Arial"/>
        </w:rPr>
        <w:t>non-Roma</w:t>
      </w:r>
      <w:r w:rsidR="007B7640" w:rsidRPr="00CD59CC">
        <w:rPr>
          <w:rFonts w:ascii="Arial" w:hAnsi="Arial" w:cs="Arial"/>
        </w:rPr>
        <w:t xml:space="preserve"> </w:t>
      </w:r>
      <w:r w:rsidR="006C0AED" w:rsidRPr="00CD59CC">
        <w:rPr>
          <w:rFonts w:ascii="Arial" w:hAnsi="Arial" w:cs="Arial"/>
        </w:rPr>
        <w:t>are</w:t>
      </w:r>
      <w:r w:rsidR="007B7640" w:rsidRPr="00CD59CC">
        <w:rPr>
          <w:rFonts w:ascii="Arial" w:hAnsi="Arial" w:cs="Arial"/>
        </w:rPr>
        <w:t xml:space="preserve"> </w:t>
      </w:r>
      <w:r w:rsidR="006C0AED" w:rsidRPr="00CD59CC">
        <w:rPr>
          <w:rFonts w:ascii="Arial" w:hAnsi="Arial" w:cs="Arial"/>
        </w:rPr>
        <w:t>the</w:t>
      </w:r>
      <w:r w:rsidR="007B7640" w:rsidRPr="00CD59CC">
        <w:rPr>
          <w:rFonts w:ascii="Arial" w:hAnsi="Arial" w:cs="Arial"/>
        </w:rPr>
        <w:t xml:space="preserve"> </w:t>
      </w:r>
      <w:r w:rsidR="006C0AED" w:rsidRPr="00CD59CC">
        <w:rPr>
          <w:rFonts w:ascii="Arial" w:hAnsi="Arial" w:cs="Arial"/>
        </w:rPr>
        <w:t>most</w:t>
      </w:r>
      <w:r w:rsidR="007B7640" w:rsidRPr="00CD59CC">
        <w:rPr>
          <w:rFonts w:ascii="Arial" w:hAnsi="Arial" w:cs="Arial"/>
        </w:rPr>
        <w:t xml:space="preserve"> </w:t>
      </w:r>
      <w:r w:rsidR="006C0AED" w:rsidRPr="00CD59CC">
        <w:rPr>
          <w:rFonts w:ascii="Arial" w:hAnsi="Arial" w:cs="Arial"/>
        </w:rPr>
        <w:t>strained.</w:t>
      </w:r>
      <w:r w:rsidR="007B7640" w:rsidRPr="00CD59CC">
        <w:rPr>
          <w:rFonts w:ascii="Arial" w:hAnsi="Arial" w:cs="Arial"/>
        </w:rPr>
        <w:t xml:space="preserve"> </w:t>
      </w:r>
      <w:r w:rsidR="00DC7059" w:rsidRPr="00CD59CC">
        <w:rPr>
          <w:rFonts w:ascii="Arial" w:hAnsi="Arial" w:cs="Arial"/>
        </w:rPr>
        <w:t>In</w:t>
      </w:r>
      <w:r w:rsidR="007B7640" w:rsidRPr="00CD59CC">
        <w:rPr>
          <w:rFonts w:ascii="Arial" w:hAnsi="Arial" w:cs="Arial"/>
        </w:rPr>
        <w:t xml:space="preserve"> </w:t>
      </w:r>
      <w:r w:rsidR="00DC7059" w:rsidRPr="00CD59CC">
        <w:rPr>
          <w:rFonts w:ascii="Arial" w:hAnsi="Arial" w:cs="Arial"/>
        </w:rPr>
        <w:t>such</w:t>
      </w:r>
      <w:r w:rsidR="007B7640" w:rsidRPr="00CD59CC">
        <w:rPr>
          <w:rFonts w:ascii="Arial" w:hAnsi="Arial" w:cs="Arial"/>
        </w:rPr>
        <w:t xml:space="preserve"> </w:t>
      </w:r>
      <w:r w:rsidR="00DC7059" w:rsidRPr="00CD59CC">
        <w:rPr>
          <w:rFonts w:ascii="Arial" w:hAnsi="Arial" w:cs="Arial"/>
        </w:rPr>
        <w:t>places</w:t>
      </w:r>
      <w:r w:rsidR="007B7640" w:rsidRPr="00CD59CC">
        <w:rPr>
          <w:rFonts w:ascii="Arial" w:hAnsi="Arial" w:cs="Arial"/>
        </w:rPr>
        <w:t xml:space="preserve"> </w:t>
      </w:r>
      <w:r w:rsidR="00DC7059" w:rsidRPr="00CD59CC">
        <w:rPr>
          <w:rFonts w:ascii="Arial" w:hAnsi="Arial" w:cs="Arial"/>
        </w:rPr>
        <w:t>it</w:t>
      </w:r>
      <w:r w:rsidR="007B7640" w:rsidRPr="00CD59CC">
        <w:rPr>
          <w:rFonts w:ascii="Arial" w:hAnsi="Arial" w:cs="Arial"/>
        </w:rPr>
        <w:t xml:space="preserve"> </w:t>
      </w:r>
      <w:r w:rsidR="00DC7059" w:rsidRPr="00CD59CC">
        <w:rPr>
          <w:rFonts w:ascii="Arial" w:hAnsi="Arial" w:cs="Arial"/>
        </w:rPr>
        <w:t>happens</w:t>
      </w:r>
      <w:r w:rsidR="007B7640" w:rsidRPr="00CD59CC">
        <w:rPr>
          <w:rFonts w:ascii="Arial" w:hAnsi="Arial" w:cs="Arial"/>
        </w:rPr>
        <w:t xml:space="preserve"> </w:t>
      </w:r>
      <w:r w:rsidR="00DC7059" w:rsidRPr="00CD59CC">
        <w:rPr>
          <w:rFonts w:ascii="Arial" w:hAnsi="Arial" w:cs="Arial"/>
        </w:rPr>
        <w:t>that</w:t>
      </w:r>
      <w:r w:rsidR="007B7640" w:rsidRPr="00CD59CC">
        <w:rPr>
          <w:rFonts w:ascii="Arial" w:hAnsi="Arial" w:cs="Arial"/>
        </w:rPr>
        <w:t xml:space="preserve"> </w:t>
      </w:r>
      <w:r w:rsidR="006C0AED" w:rsidRPr="00CD59CC">
        <w:rPr>
          <w:rFonts w:ascii="Arial" w:hAnsi="Arial" w:cs="Arial"/>
        </w:rPr>
        <w:t>municipal</w:t>
      </w:r>
      <w:r w:rsidR="007B7640" w:rsidRPr="00CD59CC">
        <w:rPr>
          <w:rFonts w:ascii="Arial" w:hAnsi="Arial" w:cs="Arial"/>
        </w:rPr>
        <w:t xml:space="preserve"> </w:t>
      </w:r>
      <w:r w:rsidR="006C0AED" w:rsidRPr="00CD59CC">
        <w:rPr>
          <w:rFonts w:ascii="Arial" w:hAnsi="Arial" w:cs="Arial"/>
        </w:rPr>
        <w:t>leaders</w:t>
      </w:r>
      <w:r w:rsidR="007B7640" w:rsidRPr="00CD59CC">
        <w:rPr>
          <w:rFonts w:ascii="Arial" w:hAnsi="Arial" w:cs="Arial"/>
        </w:rPr>
        <w:t xml:space="preserve"> </w:t>
      </w:r>
      <w:r w:rsidR="006C0AED" w:rsidRPr="00CD59CC">
        <w:rPr>
          <w:rFonts w:ascii="Arial" w:hAnsi="Arial" w:cs="Arial"/>
        </w:rPr>
        <w:t>use</w:t>
      </w:r>
      <w:r w:rsidR="007B7640" w:rsidRPr="00CD59CC">
        <w:rPr>
          <w:rFonts w:ascii="Arial" w:hAnsi="Arial" w:cs="Arial"/>
        </w:rPr>
        <w:t xml:space="preserve"> </w:t>
      </w:r>
      <w:r w:rsidR="006C0AED" w:rsidRPr="00CD59CC">
        <w:rPr>
          <w:rFonts w:ascii="Arial" w:hAnsi="Arial" w:cs="Arial"/>
        </w:rPr>
        <w:t>public</w:t>
      </w:r>
      <w:r w:rsidR="007B7640" w:rsidRPr="00CD59CC">
        <w:rPr>
          <w:rFonts w:ascii="Arial" w:hAnsi="Arial" w:cs="Arial"/>
        </w:rPr>
        <w:t xml:space="preserve"> </w:t>
      </w:r>
      <w:r w:rsidR="006C0AED" w:rsidRPr="00CD59CC">
        <w:rPr>
          <w:rFonts w:ascii="Arial" w:hAnsi="Arial" w:cs="Arial"/>
        </w:rPr>
        <w:t>work</w:t>
      </w:r>
      <w:r w:rsidR="007B7640" w:rsidRPr="00CD59CC">
        <w:rPr>
          <w:rFonts w:ascii="Arial" w:hAnsi="Arial" w:cs="Arial"/>
        </w:rPr>
        <w:t xml:space="preserve"> </w:t>
      </w:r>
      <w:r w:rsidR="006C0AED" w:rsidRPr="00CD59CC">
        <w:rPr>
          <w:rFonts w:ascii="Arial" w:hAnsi="Arial" w:cs="Arial"/>
        </w:rPr>
        <w:t>programmes</w:t>
      </w:r>
      <w:r w:rsidR="007B7640" w:rsidRPr="00CD59CC">
        <w:rPr>
          <w:rFonts w:ascii="Arial" w:hAnsi="Arial" w:cs="Arial"/>
        </w:rPr>
        <w:t xml:space="preserve"> </w:t>
      </w:r>
      <w:r w:rsidR="006C0AED" w:rsidRPr="00CD59CC">
        <w:rPr>
          <w:rFonts w:ascii="Arial" w:hAnsi="Arial" w:cs="Arial"/>
        </w:rPr>
        <w:t>and</w:t>
      </w:r>
      <w:r w:rsidR="007B7640" w:rsidRPr="00CD59CC">
        <w:rPr>
          <w:rFonts w:ascii="Arial" w:hAnsi="Arial" w:cs="Arial"/>
        </w:rPr>
        <w:t xml:space="preserve"> </w:t>
      </w:r>
      <w:r w:rsidR="006C0AED" w:rsidRPr="00CD59CC">
        <w:rPr>
          <w:rFonts w:ascii="Arial" w:hAnsi="Arial" w:cs="Arial"/>
        </w:rPr>
        <w:t>their</w:t>
      </w:r>
      <w:r w:rsidR="007B7640" w:rsidRPr="00CD59CC">
        <w:rPr>
          <w:rFonts w:ascii="Arial" w:hAnsi="Arial" w:cs="Arial"/>
        </w:rPr>
        <w:t xml:space="preserve"> </w:t>
      </w:r>
      <w:r w:rsidR="006C0AED" w:rsidRPr="00CD59CC">
        <w:rPr>
          <w:rFonts w:ascii="Arial" w:hAnsi="Arial" w:cs="Arial"/>
        </w:rPr>
        <w:t>official</w:t>
      </w:r>
      <w:r w:rsidR="007B7640" w:rsidRPr="00CD59CC">
        <w:rPr>
          <w:rFonts w:ascii="Arial" w:hAnsi="Arial" w:cs="Arial"/>
        </w:rPr>
        <w:t xml:space="preserve"> </w:t>
      </w:r>
      <w:r w:rsidR="006C0AED" w:rsidRPr="00CD59CC">
        <w:rPr>
          <w:rFonts w:ascii="Arial" w:hAnsi="Arial" w:cs="Arial"/>
        </w:rPr>
        <w:t>powers</w:t>
      </w:r>
      <w:r w:rsidR="007B7640" w:rsidRPr="00CD59CC">
        <w:rPr>
          <w:rFonts w:ascii="Arial" w:hAnsi="Arial" w:cs="Arial"/>
        </w:rPr>
        <w:t xml:space="preserve"> </w:t>
      </w:r>
      <w:r w:rsidR="006C0AED" w:rsidRPr="00CD59CC">
        <w:rPr>
          <w:rFonts w:ascii="Arial" w:hAnsi="Arial" w:cs="Arial"/>
        </w:rPr>
        <w:t>in</w:t>
      </w:r>
      <w:r w:rsidR="007B7640" w:rsidRPr="00CD59CC">
        <w:rPr>
          <w:rFonts w:ascii="Arial" w:hAnsi="Arial" w:cs="Arial"/>
        </w:rPr>
        <w:t xml:space="preserve"> </w:t>
      </w:r>
      <w:r w:rsidR="006C0AED" w:rsidRPr="00CD59CC">
        <w:rPr>
          <w:rFonts w:ascii="Arial" w:hAnsi="Arial" w:cs="Arial"/>
        </w:rPr>
        <w:t>order</w:t>
      </w:r>
      <w:r w:rsidR="007B7640" w:rsidRPr="00CD59CC">
        <w:rPr>
          <w:rFonts w:ascii="Arial" w:hAnsi="Arial" w:cs="Arial"/>
        </w:rPr>
        <w:t xml:space="preserve"> </w:t>
      </w:r>
      <w:r w:rsidR="006C0AED" w:rsidRPr="00CD59CC">
        <w:rPr>
          <w:rFonts w:ascii="Arial" w:hAnsi="Arial" w:cs="Arial"/>
        </w:rPr>
        <w:t>to</w:t>
      </w:r>
      <w:r w:rsidR="007B7640" w:rsidRPr="00CD59CC">
        <w:rPr>
          <w:rFonts w:ascii="Arial" w:hAnsi="Arial" w:cs="Arial"/>
        </w:rPr>
        <w:t xml:space="preserve"> </w:t>
      </w:r>
      <w:r w:rsidR="006C0AED" w:rsidRPr="00CD59CC">
        <w:rPr>
          <w:rFonts w:ascii="Arial" w:hAnsi="Arial" w:cs="Arial"/>
        </w:rPr>
        <w:t>control,</w:t>
      </w:r>
      <w:r w:rsidR="007B7640" w:rsidRPr="00CD59CC">
        <w:rPr>
          <w:rFonts w:ascii="Arial" w:hAnsi="Arial" w:cs="Arial"/>
        </w:rPr>
        <w:t xml:space="preserve"> </w:t>
      </w:r>
      <w:r w:rsidR="006C0AED" w:rsidRPr="00CD59CC">
        <w:rPr>
          <w:rFonts w:ascii="Arial" w:hAnsi="Arial" w:cs="Arial"/>
        </w:rPr>
        <w:t>intimidate</w:t>
      </w:r>
      <w:r w:rsidR="007B7640" w:rsidRPr="00CD59CC">
        <w:rPr>
          <w:rFonts w:ascii="Arial" w:hAnsi="Arial" w:cs="Arial"/>
        </w:rPr>
        <w:t xml:space="preserve"> </w:t>
      </w:r>
      <w:r w:rsidR="006C0AED" w:rsidRPr="00CD59CC">
        <w:rPr>
          <w:rFonts w:ascii="Arial" w:hAnsi="Arial" w:cs="Arial"/>
        </w:rPr>
        <w:t>and</w:t>
      </w:r>
      <w:r w:rsidR="007B7640" w:rsidRPr="00CD59CC">
        <w:rPr>
          <w:rFonts w:ascii="Arial" w:hAnsi="Arial" w:cs="Arial"/>
        </w:rPr>
        <w:t xml:space="preserve"> </w:t>
      </w:r>
      <w:r w:rsidR="006C0AED" w:rsidRPr="00CD59CC">
        <w:rPr>
          <w:rFonts w:ascii="Arial" w:hAnsi="Arial" w:cs="Arial"/>
        </w:rPr>
        <w:t>marginalise</w:t>
      </w:r>
      <w:r w:rsidR="007B7640" w:rsidRPr="00CD59CC">
        <w:rPr>
          <w:rFonts w:ascii="Arial" w:hAnsi="Arial" w:cs="Arial"/>
        </w:rPr>
        <w:t xml:space="preserve"> </w:t>
      </w:r>
      <w:r w:rsidR="006C0AED" w:rsidRPr="00CD59CC">
        <w:rPr>
          <w:rFonts w:ascii="Arial" w:hAnsi="Arial" w:cs="Arial"/>
        </w:rPr>
        <w:t>the</w:t>
      </w:r>
      <w:r w:rsidR="007B7640" w:rsidRPr="00CD59CC">
        <w:rPr>
          <w:rFonts w:ascii="Arial" w:hAnsi="Arial" w:cs="Arial"/>
        </w:rPr>
        <w:t xml:space="preserve"> </w:t>
      </w:r>
      <w:r w:rsidR="006C0AED" w:rsidRPr="00CD59CC">
        <w:rPr>
          <w:rFonts w:ascii="Arial" w:hAnsi="Arial" w:cs="Arial"/>
        </w:rPr>
        <w:t>local</w:t>
      </w:r>
      <w:r w:rsidR="007B7640" w:rsidRPr="00CD59CC">
        <w:rPr>
          <w:rFonts w:ascii="Arial" w:hAnsi="Arial" w:cs="Arial"/>
        </w:rPr>
        <w:t xml:space="preserve"> </w:t>
      </w:r>
      <w:r w:rsidR="006C0AED" w:rsidRPr="00CD59CC">
        <w:rPr>
          <w:rFonts w:ascii="Arial" w:hAnsi="Arial" w:cs="Arial"/>
        </w:rPr>
        <w:t>Roma</w:t>
      </w:r>
      <w:r w:rsidR="007B7640" w:rsidRPr="00CD59CC">
        <w:rPr>
          <w:rFonts w:ascii="Arial" w:hAnsi="Arial" w:cs="Arial"/>
        </w:rPr>
        <w:t xml:space="preserve"> </w:t>
      </w:r>
      <w:r w:rsidR="006C0AED" w:rsidRPr="00CD59CC">
        <w:rPr>
          <w:rFonts w:ascii="Arial" w:hAnsi="Arial" w:cs="Arial"/>
        </w:rPr>
        <w:t>population.</w:t>
      </w:r>
      <w:r w:rsidR="00DC7059" w:rsidRPr="00CD59CC">
        <w:rPr>
          <w:rStyle w:val="FootnoteReference"/>
          <w:rFonts w:ascii="Arial" w:hAnsi="Arial" w:cs="Arial"/>
        </w:rPr>
        <w:footnoteReference w:id="15"/>
      </w:r>
    </w:p>
    <w:p w14:paraId="4604600A" w14:textId="77777777" w:rsidR="006C0AED" w:rsidRPr="00CD59CC" w:rsidRDefault="006C0AED" w:rsidP="00CD59CC">
      <w:pPr>
        <w:rPr>
          <w:rFonts w:ascii="Arial" w:hAnsi="Arial" w:cs="Arial"/>
        </w:rPr>
      </w:pPr>
    </w:p>
    <w:p w14:paraId="30E5446A" w14:textId="77777777" w:rsidR="009E55B7" w:rsidRPr="00CD59CC" w:rsidRDefault="00DC7059" w:rsidP="00CD59CC">
      <w:pPr>
        <w:rPr>
          <w:rFonts w:ascii="Arial" w:hAnsi="Arial" w:cs="Arial"/>
        </w:rPr>
      </w:pPr>
      <w:r w:rsidRPr="00CD59CC">
        <w:rPr>
          <w:rFonts w:ascii="Arial" w:hAnsi="Arial" w:cs="Arial"/>
        </w:rPr>
        <w:t>W</w:t>
      </w:r>
      <w:r w:rsidR="009E55B7" w:rsidRPr="00CD59CC">
        <w:rPr>
          <w:rFonts w:ascii="Arial" w:hAnsi="Arial" w:cs="Arial"/>
        </w:rPr>
        <w:t>hereas</w:t>
      </w:r>
      <w:r w:rsidR="007B7640" w:rsidRPr="00CD59CC">
        <w:rPr>
          <w:rFonts w:ascii="Arial" w:hAnsi="Arial" w:cs="Arial"/>
        </w:rPr>
        <w:t xml:space="preserve"> </w:t>
      </w:r>
      <w:r w:rsidR="009E55B7" w:rsidRPr="00CD59CC">
        <w:rPr>
          <w:rFonts w:ascii="Arial" w:hAnsi="Arial" w:cs="Arial"/>
        </w:rPr>
        <w:t>the</w:t>
      </w:r>
      <w:r w:rsidR="007B7640" w:rsidRPr="00CD59CC">
        <w:rPr>
          <w:rFonts w:ascii="Arial" w:hAnsi="Arial" w:cs="Arial"/>
        </w:rPr>
        <w:t xml:space="preserve"> </w:t>
      </w:r>
      <w:r w:rsidR="009E55B7" w:rsidRPr="00CD59CC">
        <w:rPr>
          <w:rFonts w:ascii="Arial" w:hAnsi="Arial" w:cs="Arial"/>
        </w:rPr>
        <w:t>Commissioner</w:t>
      </w:r>
      <w:r w:rsidR="007B7640" w:rsidRPr="00CD59CC">
        <w:rPr>
          <w:rFonts w:ascii="Arial" w:hAnsi="Arial" w:cs="Arial"/>
        </w:rPr>
        <w:t xml:space="preserve"> </w:t>
      </w:r>
      <w:r w:rsidR="009E55B7" w:rsidRPr="00CD59CC">
        <w:rPr>
          <w:rFonts w:ascii="Arial" w:hAnsi="Arial" w:cs="Arial"/>
        </w:rPr>
        <w:t>expressed</w:t>
      </w:r>
      <w:r w:rsidR="007B7640" w:rsidRPr="00CD59CC">
        <w:rPr>
          <w:rFonts w:ascii="Arial" w:hAnsi="Arial" w:cs="Arial"/>
        </w:rPr>
        <w:t xml:space="preserve"> </w:t>
      </w:r>
      <w:r w:rsidR="009E55B7" w:rsidRPr="00CD59CC">
        <w:rPr>
          <w:rFonts w:ascii="Arial" w:hAnsi="Arial" w:cs="Arial"/>
        </w:rPr>
        <w:t>his</w:t>
      </w:r>
      <w:r w:rsidR="007B7640" w:rsidRPr="00CD59CC">
        <w:rPr>
          <w:rFonts w:ascii="Arial" w:hAnsi="Arial" w:cs="Arial"/>
        </w:rPr>
        <w:t xml:space="preserve"> </w:t>
      </w:r>
      <w:r w:rsidR="009E55B7" w:rsidRPr="00CD59CC">
        <w:rPr>
          <w:rFonts w:ascii="Arial" w:hAnsi="Arial" w:cs="Arial"/>
        </w:rPr>
        <w:t>concern</w:t>
      </w:r>
      <w:r w:rsidR="007B7640" w:rsidRPr="00CD59CC">
        <w:rPr>
          <w:rFonts w:ascii="Arial" w:hAnsi="Arial" w:cs="Arial"/>
        </w:rPr>
        <w:t xml:space="preserve"> </w:t>
      </w:r>
      <w:r w:rsidR="009E55B7" w:rsidRPr="00CD59CC">
        <w:rPr>
          <w:rFonts w:ascii="Arial" w:hAnsi="Arial" w:cs="Arial"/>
        </w:rPr>
        <w:t>in</w:t>
      </w:r>
      <w:r w:rsidR="007B7640" w:rsidRPr="00CD59CC">
        <w:rPr>
          <w:rFonts w:ascii="Arial" w:hAnsi="Arial" w:cs="Arial"/>
        </w:rPr>
        <w:t xml:space="preserve"> </w:t>
      </w:r>
      <w:r w:rsidR="009E55B7" w:rsidRPr="00CD59CC">
        <w:rPr>
          <w:rFonts w:ascii="Arial" w:hAnsi="Arial" w:cs="Arial"/>
        </w:rPr>
        <w:t>December</w:t>
      </w:r>
      <w:r w:rsidR="007B7640" w:rsidRPr="00CD59CC">
        <w:rPr>
          <w:rFonts w:ascii="Arial" w:hAnsi="Arial" w:cs="Arial"/>
        </w:rPr>
        <w:t xml:space="preserve"> </w:t>
      </w:r>
      <w:r w:rsidR="009E55B7" w:rsidRPr="00CD59CC">
        <w:rPr>
          <w:rFonts w:ascii="Arial" w:hAnsi="Arial" w:cs="Arial"/>
        </w:rPr>
        <w:t>2012,</w:t>
      </w:r>
      <w:r w:rsidR="007B7640" w:rsidRPr="00CD59CC">
        <w:rPr>
          <w:rFonts w:ascii="Arial" w:hAnsi="Arial" w:cs="Arial"/>
        </w:rPr>
        <w:t xml:space="preserve"> </w:t>
      </w:r>
      <w:r w:rsidR="009E55B7" w:rsidRPr="00CD59CC">
        <w:rPr>
          <w:rFonts w:ascii="Arial" w:hAnsi="Arial" w:cs="Arial"/>
        </w:rPr>
        <w:t>and</w:t>
      </w:r>
      <w:r w:rsidR="007B7640" w:rsidRPr="00CD59CC">
        <w:rPr>
          <w:rFonts w:ascii="Arial" w:hAnsi="Arial" w:cs="Arial"/>
        </w:rPr>
        <w:t xml:space="preserve"> </w:t>
      </w:r>
      <w:r w:rsidR="009E55B7" w:rsidRPr="00CD59CC">
        <w:rPr>
          <w:rFonts w:ascii="Arial" w:hAnsi="Arial" w:cs="Arial"/>
        </w:rPr>
        <w:t>called</w:t>
      </w:r>
      <w:r w:rsidR="007B7640" w:rsidRPr="00CD59CC">
        <w:rPr>
          <w:rFonts w:ascii="Arial" w:hAnsi="Arial" w:cs="Arial"/>
        </w:rPr>
        <w:t xml:space="preserve"> </w:t>
      </w:r>
      <w:r w:rsidR="009E55B7" w:rsidRPr="00CD59CC">
        <w:rPr>
          <w:rFonts w:ascii="Arial" w:hAnsi="Arial" w:cs="Arial"/>
        </w:rPr>
        <w:t>on</w:t>
      </w:r>
      <w:r w:rsidR="007B7640" w:rsidRPr="00CD59CC">
        <w:rPr>
          <w:rFonts w:ascii="Arial" w:hAnsi="Arial" w:cs="Arial"/>
        </w:rPr>
        <w:t xml:space="preserve"> </w:t>
      </w:r>
      <w:r w:rsidR="009E55B7" w:rsidRPr="00CD59CC">
        <w:rPr>
          <w:rFonts w:ascii="Arial" w:hAnsi="Arial" w:cs="Arial"/>
        </w:rPr>
        <w:t>the</w:t>
      </w:r>
      <w:r w:rsidR="007B7640" w:rsidRPr="00CD59CC">
        <w:rPr>
          <w:rFonts w:ascii="Arial" w:hAnsi="Arial" w:cs="Arial"/>
        </w:rPr>
        <w:t xml:space="preserve"> </w:t>
      </w:r>
      <w:r w:rsidR="009E55B7" w:rsidRPr="00CD59CC">
        <w:rPr>
          <w:rFonts w:ascii="Arial" w:hAnsi="Arial" w:cs="Arial"/>
        </w:rPr>
        <w:t>competent</w:t>
      </w:r>
      <w:r w:rsidR="007B7640" w:rsidRPr="00CD59CC">
        <w:rPr>
          <w:rFonts w:ascii="Arial" w:hAnsi="Arial" w:cs="Arial"/>
        </w:rPr>
        <w:t xml:space="preserve"> </w:t>
      </w:r>
      <w:r w:rsidR="009E55B7" w:rsidRPr="00CD59CC">
        <w:rPr>
          <w:rFonts w:ascii="Arial" w:hAnsi="Arial" w:cs="Arial"/>
        </w:rPr>
        <w:t>government</w:t>
      </w:r>
      <w:r w:rsidR="007B7640" w:rsidRPr="00CD59CC">
        <w:rPr>
          <w:rFonts w:ascii="Arial" w:hAnsi="Arial" w:cs="Arial"/>
        </w:rPr>
        <w:t xml:space="preserve"> </w:t>
      </w:r>
      <w:r w:rsidR="009E55B7" w:rsidRPr="00CD59CC">
        <w:rPr>
          <w:rFonts w:ascii="Arial" w:hAnsi="Arial" w:cs="Arial"/>
        </w:rPr>
        <w:t>officials</w:t>
      </w:r>
      <w:r w:rsidR="007B7640" w:rsidRPr="00CD59CC">
        <w:rPr>
          <w:rFonts w:ascii="Arial" w:hAnsi="Arial" w:cs="Arial"/>
        </w:rPr>
        <w:t xml:space="preserve"> </w:t>
      </w:r>
      <w:r w:rsidR="009E55B7" w:rsidRPr="00CD59CC">
        <w:rPr>
          <w:rFonts w:ascii="Arial" w:hAnsi="Arial" w:cs="Arial"/>
        </w:rPr>
        <w:t>to</w:t>
      </w:r>
      <w:r w:rsidR="007B7640" w:rsidRPr="00CD59CC">
        <w:rPr>
          <w:rFonts w:ascii="Arial" w:hAnsi="Arial" w:cs="Arial"/>
        </w:rPr>
        <w:t xml:space="preserve"> </w:t>
      </w:r>
      <w:r w:rsidR="009E55B7" w:rsidRPr="00CD59CC">
        <w:rPr>
          <w:rFonts w:ascii="Arial" w:hAnsi="Arial" w:cs="Arial"/>
        </w:rPr>
        <w:t>take</w:t>
      </w:r>
      <w:r w:rsidR="007B7640" w:rsidRPr="00CD59CC">
        <w:rPr>
          <w:rFonts w:ascii="Arial" w:hAnsi="Arial" w:cs="Arial"/>
        </w:rPr>
        <w:t xml:space="preserve"> </w:t>
      </w:r>
      <w:r w:rsidR="009E55B7" w:rsidRPr="00CD59CC">
        <w:rPr>
          <w:rFonts w:ascii="Arial" w:hAnsi="Arial" w:cs="Arial"/>
        </w:rPr>
        <w:t>the</w:t>
      </w:r>
      <w:r w:rsidR="007B7640" w:rsidRPr="00CD59CC">
        <w:rPr>
          <w:rFonts w:ascii="Arial" w:hAnsi="Arial" w:cs="Arial"/>
        </w:rPr>
        <w:t xml:space="preserve"> </w:t>
      </w:r>
      <w:r w:rsidR="009E55B7" w:rsidRPr="00CD59CC">
        <w:rPr>
          <w:rFonts w:ascii="Arial" w:hAnsi="Arial" w:cs="Arial"/>
        </w:rPr>
        <w:t>measures</w:t>
      </w:r>
      <w:r w:rsidR="007B7640" w:rsidRPr="00CD59CC">
        <w:rPr>
          <w:rFonts w:ascii="Arial" w:hAnsi="Arial" w:cs="Arial"/>
        </w:rPr>
        <w:t xml:space="preserve"> </w:t>
      </w:r>
      <w:r w:rsidR="009E55B7" w:rsidRPr="00CD59CC">
        <w:rPr>
          <w:rFonts w:ascii="Arial" w:hAnsi="Arial" w:cs="Arial"/>
        </w:rPr>
        <w:t>necessary</w:t>
      </w:r>
      <w:r w:rsidR="007B7640" w:rsidRPr="00CD59CC">
        <w:rPr>
          <w:rFonts w:ascii="Arial" w:hAnsi="Arial" w:cs="Arial"/>
        </w:rPr>
        <w:t xml:space="preserve"> </w:t>
      </w:r>
      <w:r w:rsidR="009E55B7" w:rsidRPr="00CD59CC">
        <w:rPr>
          <w:rFonts w:ascii="Arial" w:hAnsi="Arial" w:cs="Arial"/>
        </w:rPr>
        <w:t>to</w:t>
      </w:r>
      <w:r w:rsidR="007B7640" w:rsidRPr="00CD59CC">
        <w:rPr>
          <w:rFonts w:ascii="Arial" w:hAnsi="Arial" w:cs="Arial"/>
        </w:rPr>
        <w:t xml:space="preserve"> </w:t>
      </w:r>
      <w:r w:rsidR="009E55B7" w:rsidRPr="00CD59CC">
        <w:rPr>
          <w:rFonts w:ascii="Arial" w:hAnsi="Arial" w:cs="Arial"/>
        </w:rPr>
        <w:t>remedy</w:t>
      </w:r>
      <w:r w:rsidR="007B7640" w:rsidRPr="00CD59CC">
        <w:rPr>
          <w:rFonts w:ascii="Arial" w:hAnsi="Arial" w:cs="Arial"/>
        </w:rPr>
        <w:t xml:space="preserve"> </w:t>
      </w:r>
      <w:r w:rsidR="009E55B7" w:rsidRPr="00CD59CC">
        <w:rPr>
          <w:rFonts w:ascii="Arial" w:hAnsi="Arial" w:cs="Arial"/>
        </w:rPr>
        <w:t>these</w:t>
      </w:r>
      <w:r w:rsidR="007B7640" w:rsidRPr="00CD59CC">
        <w:rPr>
          <w:rFonts w:ascii="Arial" w:hAnsi="Arial" w:cs="Arial"/>
        </w:rPr>
        <w:t xml:space="preserve"> </w:t>
      </w:r>
      <w:r w:rsidR="009E55B7" w:rsidRPr="00CD59CC">
        <w:rPr>
          <w:rFonts w:ascii="Arial" w:hAnsi="Arial" w:cs="Arial"/>
        </w:rPr>
        <w:t>problems,</w:t>
      </w:r>
      <w:r w:rsidR="007B7640" w:rsidRPr="00CD59CC">
        <w:rPr>
          <w:rFonts w:ascii="Arial" w:hAnsi="Arial" w:cs="Arial"/>
        </w:rPr>
        <w:t xml:space="preserve"> </w:t>
      </w:r>
      <w:r w:rsidR="009E55B7" w:rsidRPr="00CD59CC">
        <w:rPr>
          <w:rFonts w:ascii="Arial" w:hAnsi="Arial" w:cs="Arial"/>
        </w:rPr>
        <w:t>even</w:t>
      </w:r>
      <w:r w:rsidR="007B7640" w:rsidRPr="00CD59CC">
        <w:rPr>
          <w:rFonts w:ascii="Arial" w:hAnsi="Arial" w:cs="Arial"/>
        </w:rPr>
        <w:t xml:space="preserve"> </w:t>
      </w:r>
      <w:r w:rsidR="009E55B7" w:rsidRPr="00CD59CC">
        <w:rPr>
          <w:rFonts w:ascii="Arial" w:hAnsi="Arial" w:cs="Arial"/>
        </w:rPr>
        <w:t>in</w:t>
      </w:r>
      <w:r w:rsidR="007B7640" w:rsidRPr="00CD59CC">
        <w:rPr>
          <w:rFonts w:ascii="Arial" w:hAnsi="Arial" w:cs="Arial"/>
        </w:rPr>
        <w:t xml:space="preserve"> </w:t>
      </w:r>
      <w:r w:rsidR="009E55B7" w:rsidRPr="00CD59CC">
        <w:rPr>
          <w:rFonts w:ascii="Arial" w:hAnsi="Arial" w:cs="Arial"/>
        </w:rPr>
        <w:t>his</w:t>
      </w:r>
      <w:r w:rsidR="007B7640" w:rsidRPr="00CD59CC">
        <w:rPr>
          <w:rFonts w:ascii="Arial" w:hAnsi="Arial" w:cs="Arial"/>
        </w:rPr>
        <w:t xml:space="preserve"> </w:t>
      </w:r>
      <w:r w:rsidR="009E55B7" w:rsidRPr="00CD59CC">
        <w:rPr>
          <w:rFonts w:ascii="Arial" w:hAnsi="Arial" w:cs="Arial"/>
        </w:rPr>
        <w:t>r</w:t>
      </w:r>
      <w:r w:rsidRPr="00CD59CC">
        <w:rPr>
          <w:rFonts w:ascii="Arial" w:hAnsi="Arial" w:cs="Arial"/>
        </w:rPr>
        <w:t>eport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year</w:t>
      </w:r>
      <w:r w:rsidR="007B7640" w:rsidRPr="00CD59CC">
        <w:rPr>
          <w:rFonts w:ascii="Arial" w:hAnsi="Arial" w:cs="Arial"/>
        </w:rPr>
        <w:t xml:space="preserve"> </w:t>
      </w:r>
      <w:r w:rsidRPr="00CD59CC">
        <w:rPr>
          <w:rFonts w:ascii="Arial" w:hAnsi="Arial" w:cs="Arial"/>
        </w:rPr>
        <w:t>2013</w:t>
      </w:r>
      <w:r w:rsidR="007B7640" w:rsidRPr="00CD59CC">
        <w:rPr>
          <w:rFonts w:ascii="Arial" w:hAnsi="Arial" w:cs="Arial"/>
        </w:rPr>
        <w:t xml:space="preserve"> </w:t>
      </w:r>
      <w:r w:rsidRPr="00CD59CC">
        <w:rPr>
          <w:rFonts w:ascii="Arial" w:hAnsi="Arial" w:cs="Arial"/>
        </w:rPr>
        <w:t>(published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March</w:t>
      </w:r>
      <w:r w:rsidR="007B7640" w:rsidRPr="00CD59CC">
        <w:rPr>
          <w:rFonts w:ascii="Arial" w:hAnsi="Arial" w:cs="Arial"/>
        </w:rPr>
        <w:t xml:space="preserve"> </w:t>
      </w:r>
      <w:r w:rsidRPr="00CD59CC">
        <w:rPr>
          <w:rFonts w:ascii="Arial" w:hAnsi="Arial" w:cs="Arial"/>
        </w:rPr>
        <w:t>2014)</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00C308D6" w:rsidRPr="00CD59CC">
        <w:rPr>
          <w:rFonts w:ascii="Arial" w:hAnsi="Arial" w:cs="Arial"/>
        </w:rPr>
        <w:t>conclude</w:t>
      </w:r>
      <w:r w:rsidR="007B7640" w:rsidRPr="00CD59CC">
        <w:rPr>
          <w:rFonts w:ascii="Arial" w:hAnsi="Arial" w:cs="Arial"/>
        </w:rPr>
        <w:t xml:space="preserve"> </w:t>
      </w:r>
      <w:r w:rsidR="00C308D6" w:rsidRPr="00CD59CC">
        <w:rPr>
          <w:rFonts w:ascii="Arial" w:hAnsi="Arial" w:cs="Arial"/>
        </w:rPr>
        <w:t>that</w:t>
      </w:r>
      <w:r w:rsidR="007B7640" w:rsidRPr="00CD59CC">
        <w:rPr>
          <w:rFonts w:ascii="Arial" w:hAnsi="Arial" w:cs="Arial"/>
        </w:rPr>
        <w:t xml:space="preserve"> </w:t>
      </w:r>
      <w:r w:rsidR="00C308D6" w:rsidRPr="00CD59CC">
        <w:rPr>
          <w:rFonts w:ascii="Arial" w:hAnsi="Arial" w:cs="Arial"/>
        </w:rPr>
        <w:t>one</w:t>
      </w:r>
      <w:r w:rsidR="007B7640" w:rsidRPr="00CD59CC">
        <w:rPr>
          <w:rFonts w:ascii="Arial" w:hAnsi="Arial" w:cs="Arial"/>
        </w:rPr>
        <w:t xml:space="preserve"> </w:t>
      </w:r>
      <w:r w:rsidR="00C308D6" w:rsidRPr="00CD59CC">
        <w:rPr>
          <w:rFonts w:ascii="Arial" w:hAnsi="Arial" w:cs="Arial"/>
        </w:rPr>
        <w:t>of</w:t>
      </w:r>
      <w:r w:rsidR="007B7640" w:rsidRPr="00CD59CC">
        <w:rPr>
          <w:rFonts w:ascii="Arial" w:hAnsi="Arial" w:cs="Arial"/>
        </w:rPr>
        <w:t xml:space="preserve"> </w:t>
      </w:r>
      <w:r w:rsidR="00C308D6" w:rsidRPr="00CD59CC">
        <w:rPr>
          <w:rFonts w:ascii="Arial" w:hAnsi="Arial" w:cs="Arial"/>
        </w:rPr>
        <w:t>the</w:t>
      </w:r>
      <w:r w:rsidR="007B7640" w:rsidRPr="00CD59CC">
        <w:rPr>
          <w:rFonts w:ascii="Arial" w:hAnsi="Arial" w:cs="Arial"/>
        </w:rPr>
        <w:t xml:space="preserve"> </w:t>
      </w:r>
      <w:r w:rsidR="00C308D6" w:rsidRPr="00CD59CC">
        <w:rPr>
          <w:rFonts w:ascii="Arial" w:hAnsi="Arial" w:cs="Arial"/>
        </w:rPr>
        <w:t>reasons</w:t>
      </w:r>
      <w:r w:rsidR="007B7640" w:rsidRPr="00CD59CC">
        <w:rPr>
          <w:rFonts w:ascii="Arial" w:hAnsi="Arial" w:cs="Arial"/>
        </w:rPr>
        <w:t xml:space="preserve"> </w:t>
      </w:r>
      <w:r w:rsidR="00C308D6" w:rsidRPr="00CD59CC">
        <w:rPr>
          <w:rFonts w:ascii="Arial" w:hAnsi="Arial" w:cs="Arial"/>
        </w:rPr>
        <w:t>why</w:t>
      </w:r>
      <w:r w:rsidR="007B7640" w:rsidRPr="00CD59CC">
        <w:rPr>
          <w:rFonts w:ascii="Arial" w:hAnsi="Arial" w:cs="Arial"/>
        </w:rPr>
        <w:t xml:space="preserve"> </w:t>
      </w:r>
      <w:r w:rsidR="00C308D6" w:rsidRPr="00CD59CC">
        <w:rPr>
          <w:rFonts w:ascii="Arial" w:hAnsi="Arial" w:cs="Arial"/>
        </w:rPr>
        <w:t>local</w:t>
      </w:r>
      <w:r w:rsidR="007B7640" w:rsidRPr="00CD59CC">
        <w:rPr>
          <w:rFonts w:ascii="Arial" w:hAnsi="Arial" w:cs="Arial"/>
        </w:rPr>
        <w:t xml:space="preserve"> </w:t>
      </w:r>
      <w:r w:rsidR="00C308D6" w:rsidRPr="00CD59CC">
        <w:rPr>
          <w:rFonts w:ascii="Arial" w:hAnsi="Arial" w:cs="Arial"/>
        </w:rPr>
        <w:t>Roma</w:t>
      </w:r>
      <w:r w:rsidR="007B7640" w:rsidRPr="00CD59CC">
        <w:rPr>
          <w:rFonts w:ascii="Arial" w:hAnsi="Arial" w:cs="Arial"/>
        </w:rPr>
        <w:t xml:space="preserve"> </w:t>
      </w:r>
      <w:r w:rsidR="00C308D6" w:rsidRPr="00CD59CC">
        <w:rPr>
          <w:rFonts w:ascii="Arial" w:hAnsi="Arial" w:cs="Arial"/>
        </w:rPr>
        <w:t>self-governments</w:t>
      </w:r>
      <w:r w:rsidR="007B7640" w:rsidRPr="00CD59CC">
        <w:rPr>
          <w:rFonts w:ascii="Arial" w:hAnsi="Arial" w:cs="Arial"/>
        </w:rPr>
        <w:t xml:space="preserve"> </w:t>
      </w:r>
      <w:r w:rsidR="00C308D6" w:rsidRPr="00CD59CC">
        <w:rPr>
          <w:rFonts w:ascii="Arial" w:hAnsi="Arial" w:cs="Arial"/>
        </w:rPr>
        <w:t>cannot</w:t>
      </w:r>
      <w:r w:rsidR="007B7640" w:rsidRPr="00CD59CC">
        <w:rPr>
          <w:rFonts w:ascii="Arial" w:hAnsi="Arial" w:cs="Arial"/>
        </w:rPr>
        <w:t xml:space="preserve"> </w:t>
      </w:r>
      <w:r w:rsidR="00C308D6" w:rsidRPr="00CD59CC">
        <w:rPr>
          <w:rFonts w:ascii="Arial" w:hAnsi="Arial" w:cs="Arial"/>
        </w:rPr>
        <w:t>properly</w:t>
      </w:r>
      <w:r w:rsidR="007B7640" w:rsidRPr="00CD59CC">
        <w:rPr>
          <w:rFonts w:ascii="Arial" w:hAnsi="Arial" w:cs="Arial"/>
        </w:rPr>
        <w:t xml:space="preserve"> </w:t>
      </w:r>
      <w:r w:rsidR="00C308D6" w:rsidRPr="00CD59CC">
        <w:rPr>
          <w:rFonts w:ascii="Arial" w:hAnsi="Arial" w:cs="Arial"/>
        </w:rPr>
        <w:t>fulfil</w:t>
      </w:r>
      <w:r w:rsidR="007B7640" w:rsidRPr="00CD59CC">
        <w:rPr>
          <w:rFonts w:ascii="Arial" w:hAnsi="Arial" w:cs="Arial"/>
        </w:rPr>
        <w:t xml:space="preserve"> </w:t>
      </w:r>
      <w:r w:rsidR="00C308D6" w:rsidRPr="00CD59CC">
        <w:rPr>
          <w:rFonts w:ascii="Arial" w:hAnsi="Arial" w:cs="Arial"/>
        </w:rPr>
        <w:t>their</w:t>
      </w:r>
      <w:r w:rsidR="007B7640" w:rsidRPr="00CD59CC">
        <w:rPr>
          <w:rFonts w:ascii="Arial" w:hAnsi="Arial" w:cs="Arial"/>
        </w:rPr>
        <w:t xml:space="preserve"> </w:t>
      </w:r>
      <w:r w:rsidR="00C308D6" w:rsidRPr="00CD59CC">
        <w:rPr>
          <w:rFonts w:ascii="Arial" w:hAnsi="Arial" w:cs="Arial"/>
        </w:rPr>
        <w:t>functions</w:t>
      </w:r>
      <w:r w:rsidR="007B7640" w:rsidRPr="00CD59CC">
        <w:rPr>
          <w:rFonts w:ascii="Arial" w:hAnsi="Arial" w:cs="Arial"/>
        </w:rPr>
        <w:t xml:space="preserve"> </w:t>
      </w:r>
      <w:r w:rsidR="00C308D6" w:rsidRPr="00CD59CC">
        <w:rPr>
          <w:rFonts w:ascii="Arial" w:hAnsi="Arial" w:cs="Arial"/>
        </w:rPr>
        <w:t>is</w:t>
      </w:r>
      <w:r w:rsidR="007B7640" w:rsidRPr="00CD59CC">
        <w:rPr>
          <w:rFonts w:ascii="Arial" w:hAnsi="Arial" w:cs="Arial"/>
        </w:rPr>
        <w:t xml:space="preserve"> </w:t>
      </w:r>
      <w:r w:rsidR="00C308D6" w:rsidRPr="00CD59CC">
        <w:rPr>
          <w:rFonts w:ascii="Arial" w:hAnsi="Arial" w:cs="Arial"/>
        </w:rPr>
        <w:t>that</w:t>
      </w:r>
      <w:r w:rsidR="007B7640" w:rsidRPr="00CD59CC">
        <w:rPr>
          <w:rFonts w:ascii="Arial" w:hAnsi="Arial" w:cs="Arial"/>
        </w:rPr>
        <w:t xml:space="preserve"> </w:t>
      </w:r>
      <w:r w:rsidR="00C308D6" w:rsidRPr="00CD59CC">
        <w:rPr>
          <w:rFonts w:ascii="Arial" w:hAnsi="Arial" w:cs="Arial"/>
        </w:rPr>
        <w:t>“a</w:t>
      </w:r>
      <w:r w:rsidR="007B7640" w:rsidRPr="00CD59CC">
        <w:rPr>
          <w:rFonts w:ascii="Arial" w:hAnsi="Arial" w:cs="Arial"/>
        </w:rPr>
        <w:t xml:space="preserve"> </w:t>
      </w:r>
      <w:r w:rsidR="00C308D6" w:rsidRPr="00CD59CC">
        <w:rPr>
          <w:rFonts w:ascii="Arial" w:hAnsi="Arial" w:cs="Arial"/>
        </w:rPr>
        <w:t>significant</w:t>
      </w:r>
      <w:r w:rsidR="007B7640" w:rsidRPr="00CD59CC">
        <w:rPr>
          <w:rFonts w:ascii="Arial" w:hAnsi="Arial" w:cs="Arial"/>
        </w:rPr>
        <w:t xml:space="preserve"> </w:t>
      </w:r>
      <w:r w:rsidR="00C308D6" w:rsidRPr="00CD59CC">
        <w:rPr>
          <w:rFonts w:ascii="Arial" w:hAnsi="Arial" w:cs="Arial"/>
        </w:rPr>
        <w:t>proportion</w:t>
      </w:r>
      <w:r w:rsidR="007B7640" w:rsidRPr="00CD59CC">
        <w:rPr>
          <w:rFonts w:ascii="Arial" w:hAnsi="Arial" w:cs="Arial"/>
        </w:rPr>
        <w:t xml:space="preserve"> </w:t>
      </w:r>
      <w:r w:rsidR="00C308D6" w:rsidRPr="00CD59CC">
        <w:rPr>
          <w:rFonts w:ascii="Arial" w:hAnsi="Arial" w:cs="Arial"/>
        </w:rPr>
        <w:t>of</w:t>
      </w:r>
      <w:r w:rsidR="007B7640" w:rsidRPr="00CD59CC">
        <w:rPr>
          <w:rFonts w:ascii="Arial" w:hAnsi="Arial" w:cs="Arial"/>
        </w:rPr>
        <w:t xml:space="preserve"> </w:t>
      </w:r>
      <w:r w:rsidR="00C308D6" w:rsidRPr="00CD59CC">
        <w:rPr>
          <w:rFonts w:ascii="Arial" w:hAnsi="Arial" w:cs="Arial"/>
        </w:rPr>
        <w:t>the</w:t>
      </w:r>
      <w:r w:rsidR="007B7640" w:rsidRPr="00CD59CC">
        <w:rPr>
          <w:rFonts w:ascii="Arial" w:hAnsi="Arial" w:cs="Arial"/>
        </w:rPr>
        <w:t xml:space="preserve"> </w:t>
      </w:r>
      <w:r w:rsidR="00C308D6" w:rsidRPr="00CD59CC">
        <w:rPr>
          <w:rFonts w:ascii="Arial" w:hAnsi="Arial" w:cs="Arial"/>
        </w:rPr>
        <w:t>representatives</w:t>
      </w:r>
      <w:r w:rsidR="007B7640" w:rsidRPr="00CD59CC">
        <w:rPr>
          <w:rFonts w:ascii="Arial" w:hAnsi="Arial" w:cs="Arial"/>
        </w:rPr>
        <w:t xml:space="preserve"> </w:t>
      </w:r>
      <w:r w:rsidR="00C308D6" w:rsidRPr="00CD59CC">
        <w:rPr>
          <w:rFonts w:ascii="Arial" w:hAnsi="Arial" w:cs="Arial"/>
        </w:rPr>
        <w:t>of</w:t>
      </w:r>
      <w:r w:rsidR="007B7640" w:rsidRPr="00CD59CC">
        <w:rPr>
          <w:rFonts w:ascii="Arial" w:hAnsi="Arial" w:cs="Arial"/>
        </w:rPr>
        <w:t xml:space="preserve"> </w:t>
      </w:r>
      <w:r w:rsidR="00C308D6" w:rsidRPr="00CD59CC">
        <w:rPr>
          <w:rFonts w:ascii="Arial" w:hAnsi="Arial" w:cs="Arial"/>
        </w:rPr>
        <w:t>the</w:t>
      </w:r>
      <w:r w:rsidR="007B7640" w:rsidRPr="00CD59CC">
        <w:rPr>
          <w:rFonts w:ascii="Arial" w:hAnsi="Arial" w:cs="Arial"/>
        </w:rPr>
        <w:t xml:space="preserve"> </w:t>
      </w:r>
      <w:r w:rsidR="00C308D6" w:rsidRPr="00CD59CC">
        <w:rPr>
          <w:rFonts w:ascii="Arial" w:hAnsi="Arial" w:cs="Arial"/>
        </w:rPr>
        <w:t>Roma</w:t>
      </w:r>
      <w:r w:rsidR="007B7640" w:rsidRPr="00CD59CC">
        <w:rPr>
          <w:rFonts w:ascii="Arial" w:hAnsi="Arial" w:cs="Arial"/>
        </w:rPr>
        <w:t xml:space="preserve"> </w:t>
      </w:r>
      <w:r w:rsidR="00C308D6" w:rsidRPr="00CD59CC">
        <w:rPr>
          <w:rFonts w:ascii="Arial" w:hAnsi="Arial" w:cs="Arial"/>
        </w:rPr>
        <w:t>minority</w:t>
      </w:r>
      <w:r w:rsidR="007B7640" w:rsidRPr="00CD59CC">
        <w:rPr>
          <w:rFonts w:ascii="Arial" w:hAnsi="Arial" w:cs="Arial"/>
        </w:rPr>
        <w:t xml:space="preserve"> </w:t>
      </w:r>
      <w:r w:rsidR="00C308D6" w:rsidRPr="00CD59CC">
        <w:rPr>
          <w:rFonts w:ascii="Arial" w:hAnsi="Arial" w:cs="Arial"/>
        </w:rPr>
        <w:t>self-governments</w:t>
      </w:r>
      <w:r w:rsidR="007B7640" w:rsidRPr="00CD59CC">
        <w:rPr>
          <w:rFonts w:ascii="Arial" w:hAnsi="Arial" w:cs="Arial"/>
        </w:rPr>
        <w:t xml:space="preserve"> </w:t>
      </w:r>
      <w:r w:rsidR="00C308D6" w:rsidRPr="00CD59CC">
        <w:rPr>
          <w:rFonts w:ascii="Arial" w:hAnsi="Arial" w:cs="Arial"/>
        </w:rPr>
        <w:t>get</w:t>
      </w:r>
      <w:r w:rsidR="007B7640" w:rsidRPr="00CD59CC">
        <w:rPr>
          <w:rFonts w:ascii="Arial" w:hAnsi="Arial" w:cs="Arial"/>
        </w:rPr>
        <w:t xml:space="preserve"> </w:t>
      </w:r>
      <w:r w:rsidR="00C308D6" w:rsidRPr="00CD59CC">
        <w:rPr>
          <w:rFonts w:ascii="Arial" w:hAnsi="Arial" w:cs="Arial"/>
        </w:rPr>
        <w:t>into</w:t>
      </w:r>
      <w:r w:rsidR="007B7640" w:rsidRPr="00CD59CC">
        <w:rPr>
          <w:rFonts w:ascii="Arial" w:hAnsi="Arial" w:cs="Arial"/>
        </w:rPr>
        <w:t xml:space="preserve"> </w:t>
      </w:r>
      <w:r w:rsidR="00C308D6" w:rsidRPr="00CD59CC">
        <w:rPr>
          <w:rFonts w:ascii="Arial" w:hAnsi="Arial" w:cs="Arial"/>
        </w:rPr>
        <w:t>a</w:t>
      </w:r>
      <w:r w:rsidR="007B7640" w:rsidRPr="00CD59CC">
        <w:rPr>
          <w:rFonts w:ascii="Arial" w:hAnsi="Arial" w:cs="Arial"/>
        </w:rPr>
        <w:t xml:space="preserve"> </w:t>
      </w:r>
      <w:r w:rsidR="00C308D6" w:rsidRPr="00CD59CC">
        <w:rPr>
          <w:rFonts w:ascii="Arial" w:hAnsi="Arial" w:cs="Arial"/>
        </w:rPr>
        <w:t>position</w:t>
      </w:r>
      <w:r w:rsidR="007B7640" w:rsidRPr="00CD59CC">
        <w:rPr>
          <w:rFonts w:ascii="Arial" w:hAnsi="Arial" w:cs="Arial"/>
        </w:rPr>
        <w:t xml:space="preserve"> </w:t>
      </w:r>
      <w:r w:rsidR="00C308D6" w:rsidRPr="00CD59CC">
        <w:rPr>
          <w:rFonts w:ascii="Arial" w:hAnsi="Arial" w:cs="Arial"/>
        </w:rPr>
        <w:t>in</w:t>
      </w:r>
      <w:r w:rsidR="007B7640" w:rsidRPr="00CD59CC">
        <w:rPr>
          <w:rFonts w:ascii="Arial" w:hAnsi="Arial" w:cs="Arial"/>
        </w:rPr>
        <w:t xml:space="preserve"> </w:t>
      </w:r>
      <w:r w:rsidR="00C308D6" w:rsidRPr="00CD59CC">
        <w:rPr>
          <w:rFonts w:ascii="Arial" w:hAnsi="Arial" w:cs="Arial"/>
        </w:rPr>
        <w:t>which</w:t>
      </w:r>
      <w:r w:rsidR="007B7640" w:rsidRPr="00CD59CC">
        <w:rPr>
          <w:rFonts w:ascii="Arial" w:hAnsi="Arial" w:cs="Arial"/>
        </w:rPr>
        <w:t xml:space="preserve"> </w:t>
      </w:r>
      <w:r w:rsidR="00C308D6" w:rsidRPr="00CD59CC">
        <w:rPr>
          <w:rFonts w:ascii="Arial" w:hAnsi="Arial" w:cs="Arial"/>
        </w:rPr>
        <w:t>they</w:t>
      </w:r>
      <w:r w:rsidR="007B7640" w:rsidRPr="00CD59CC">
        <w:rPr>
          <w:rFonts w:ascii="Arial" w:hAnsi="Arial" w:cs="Arial"/>
        </w:rPr>
        <w:t xml:space="preserve"> </w:t>
      </w:r>
      <w:r w:rsidR="00C308D6" w:rsidRPr="00CD59CC">
        <w:rPr>
          <w:rFonts w:ascii="Arial" w:hAnsi="Arial" w:cs="Arial"/>
        </w:rPr>
        <w:t>are</w:t>
      </w:r>
      <w:r w:rsidR="007B7640" w:rsidRPr="00CD59CC">
        <w:rPr>
          <w:rFonts w:ascii="Arial" w:hAnsi="Arial" w:cs="Arial"/>
        </w:rPr>
        <w:t xml:space="preserve"> </w:t>
      </w:r>
      <w:r w:rsidR="00C308D6" w:rsidRPr="00CD59CC">
        <w:rPr>
          <w:rFonts w:ascii="Arial" w:hAnsi="Arial" w:cs="Arial"/>
        </w:rPr>
        <w:t>dependent</w:t>
      </w:r>
      <w:r w:rsidR="007B7640" w:rsidRPr="00CD59CC">
        <w:rPr>
          <w:rFonts w:ascii="Arial" w:hAnsi="Arial" w:cs="Arial"/>
        </w:rPr>
        <w:t xml:space="preserve"> </w:t>
      </w:r>
      <w:r w:rsidR="00C308D6" w:rsidRPr="00CD59CC">
        <w:rPr>
          <w:rFonts w:ascii="Arial" w:hAnsi="Arial" w:cs="Arial"/>
        </w:rPr>
        <w:t>upon</w:t>
      </w:r>
      <w:r w:rsidR="007B7640" w:rsidRPr="00CD59CC">
        <w:rPr>
          <w:rFonts w:ascii="Arial" w:hAnsi="Arial" w:cs="Arial"/>
        </w:rPr>
        <w:t xml:space="preserve"> </w:t>
      </w:r>
      <w:r w:rsidR="00C308D6" w:rsidRPr="00CD59CC">
        <w:rPr>
          <w:rFonts w:ascii="Arial" w:hAnsi="Arial" w:cs="Arial"/>
        </w:rPr>
        <w:t>the</w:t>
      </w:r>
      <w:r w:rsidR="007B7640" w:rsidRPr="00CD59CC">
        <w:rPr>
          <w:rFonts w:ascii="Arial" w:hAnsi="Arial" w:cs="Arial"/>
        </w:rPr>
        <w:t xml:space="preserve"> </w:t>
      </w:r>
      <w:r w:rsidR="00C308D6" w:rsidRPr="00CD59CC">
        <w:rPr>
          <w:rFonts w:ascii="Arial" w:hAnsi="Arial" w:cs="Arial"/>
        </w:rPr>
        <w:t>leadership</w:t>
      </w:r>
      <w:r w:rsidR="007B7640" w:rsidRPr="00CD59CC">
        <w:rPr>
          <w:rFonts w:ascii="Arial" w:hAnsi="Arial" w:cs="Arial"/>
        </w:rPr>
        <w:t xml:space="preserve"> </w:t>
      </w:r>
      <w:r w:rsidR="00C308D6" w:rsidRPr="00CD59CC">
        <w:rPr>
          <w:rFonts w:ascii="Arial" w:hAnsi="Arial" w:cs="Arial"/>
        </w:rPr>
        <w:t>of</w:t>
      </w:r>
      <w:r w:rsidR="007B7640" w:rsidRPr="00CD59CC">
        <w:rPr>
          <w:rFonts w:ascii="Arial" w:hAnsi="Arial" w:cs="Arial"/>
        </w:rPr>
        <w:t xml:space="preserve"> </w:t>
      </w:r>
      <w:r w:rsidR="00C308D6" w:rsidRPr="00CD59CC">
        <w:rPr>
          <w:rFonts w:ascii="Arial" w:hAnsi="Arial" w:cs="Arial"/>
        </w:rPr>
        <w:t>the</w:t>
      </w:r>
      <w:r w:rsidR="007B7640" w:rsidRPr="00CD59CC">
        <w:rPr>
          <w:rFonts w:ascii="Arial" w:hAnsi="Arial" w:cs="Arial"/>
        </w:rPr>
        <w:t xml:space="preserve"> </w:t>
      </w:r>
      <w:r w:rsidR="00C308D6" w:rsidRPr="00CD59CC">
        <w:rPr>
          <w:rFonts w:ascii="Arial" w:hAnsi="Arial" w:cs="Arial"/>
        </w:rPr>
        <w:t>local</w:t>
      </w:r>
      <w:r w:rsidR="007B7640" w:rsidRPr="00CD59CC">
        <w:rPr>
          <w:rFonts w:ascii="Arial" w:hAnsi="Arial" w:cs="Arial"/>
        </w:rPr>
        <w:t xml:space="preserve"> </w:t>
      </w:r>
      <w:r w:rsidR="00C308D6" w:rsidRPr="00CD59CC">
        <w:rPr>
          <w:rFonts w:ascii="Arial" w:hAnsi="Arial" w:cs="Arial"/>
        </w:rPr>
        <w:t>council.</w:t>
      </w:r>
      <w:r w:rsidR="007B7640" w:rsidRPr="00CD59CC">
        <w:rPr>
          <w:rFonts w:ascii="Arial" w:hAnsi="Arial" w:cs="Arial"/>
        </w:rPr>
        <w:t xml:space="preserve"> </w:t>
      </w:r>
      <w:r w:rsidR="00C308D6" w:rsidRPr="00CD59CC">
        <w:rPr>
          <w:rFonts w:ascii="Arial" w:hAnsi="Arial" w:cs="Arial"/>
        </w:rPr>
        <w:t>A</w:t>
      </w:r>
      <w:r w:rsidR="007B7640" w:rsidRPr="00CD59CC">
        <w:rPr>
          <w:rFonts w:ascii="Arial" w:hAnsi="Arial" w:cs="Arial"/>
        </w:rPr>
        <w:t xml:space="preserve"> </w:t>
      </w:r>
      <w:r w:rsidR="00C308D6" w:rsidRPr="00CD59CC">
        <w:rPr>
          <w:rFonts w:ascii="Arial" w:hAnsi="Arial" w:cs="Arial"/>
        </w:rPr>
        <w:t>[Roma</w:t>
      </w:r>
      <w:r w:rsidR="007B7640" w:rsidRPr="00CD59CC">
        <w:rPr>
          <w:rFonts w:ascii="Arial" w:hAnsi="Arial" w:cs="Arial"/>
        </w:rPr>
        <w:t xml:space="preserve"> </w:t>
      </w:r>
      <w:r w:rsidR="00C308D6" w:rsidRPr="00CD59CC">
        <w:rPr>
          <w:rFonts w:ascii="Arial" w:hAnsi="Arial" w:cs="Arial"/>
        </w:rPr>
        <w:t>minority</w:t>
      </w:r>
      <w:r w:rsidR="007B7640" w:rsidRPr="00CD59CC">
        <w:rPr>
          <w:rFonts w:ascii="Arial" w:hAnsi="Arial" w:cs="Arial"/>
        </w:rPr>
        <w:t xml:space="preserve"> </w:t>
      </w:r>
      <w:r w:rsidR="00C308D6" w:rsidRPr="00CD59CC">
        <w:rPr>
          <w:rFonts w:ascii="Arial" w:hAnsi="Arial" w:cs="Arial"/>
        </w:rPr>
        <w:t>self-government]</w:t>
      </w:r>
      <w:r w:rsidR="007B7640" w:rsidRPr="00CD59CC">
        <w:rPr>
          <w:rFonts w:ascii="Arial" w:hAnsi="Arial" w:cs="Arial"/>
        </w:rPr>
        <w:t xml:space="preserve"> </w:t>
      </w:r>
      <w:r w:rsidR="00C308D6" w:rsidRPr="00CD59CC">
        <w:rPr>
          <w:rFonts w:ascii="Arial" w:hAnsi="Arial" w:cs="Arial"/>
        </w:rPr>
        <w:t>president</w:t>
      </w:r>
      <w:r w:rsidR="007B7640" w:rsidRPr="00CD59CC">
        <w:rPr>
          <w:rFonts w:ascii="Arial" w:hAnsi="Arial" w:cs="Arial"/>
        </w:rPr>
        <w:t xml:space="preserve"> </w:t>
      </w:r>
      <w:r w:rsidR="00C308D6" w:rsidRPr="00CD59CC">
        <w:rPr>
          <w:rFonts w:ascii="Arial" w:hAnsi="Arial" w:cs="Arial"/>
        </w:rPr>
        <w:t>is</w:t>
      </w:r>
      <w:r w:rsidR="007B7640" w:rsidRPr="00CD59CC">
        <w:rPr>
          <w:rFonts w:ascii="Arial" w:hAnsi="Arial" w:cs="Arial"/>
        </w:rPr>
        <w:t xml:space="preserve"> </w:t>
      </w:r>
      <w:r w:rsidR="00C308D6" w:rsidRPr="00CD59CC">
        <w:rPr>
          <w:rFonts w:ascii="Arial" w:hAnsi="Arial" w:cs="Arial"/>
        </w:rPr>
        <w:t>not</w:t>
      </w:r>
      <w:r w:rsidR="007B7640" w:rsidRPr="00CD59CC">
        <w:rPr>
          <w:rFonts w:ascii="Arial" w:hAnsi="Arial" w:cs="Arial"/>
        </w:rPr>
        <w:t xml:space="preserve"> </w:t>
      </w:r>
      <w:r w:rsidR="00C308D6" w:rsidRPr="00CD59CC">
        <w:rPr>
          <w:rFonts w:ascii="Arial" w:hAnsi="Arial" w:cs="Arial"/>
        </w:rPr>
        <w:t>and</w:t>
      </w:r>
      <w:r w:rsidR="007B7640" w:rsidRPr="00CD59CC">
        <w:rPr>
          <w:rFonts w:ascii="Arial" w:hAnsi="Arial" w:cs="Arial"/>
        </w:rPr>
        <w:t xml:space="preserve"> </w:t>
      </w:r>
      <w:r w:rsidR="00C308D6" w:rsidRPr="00CD59CC">
        <w:rPr>
          <w:rFonts w:ascii="Arial" w:hAnsi="Arial" w:cs="Arial"/>
        </w:rPr>
        <w:t>cannot</w:t>
      </w:r>
      <w:r w:rsidR="007B7640" w:rsidRPr="00CD59CC">
        <w:rPr>
          <w:rFonts w:ascii="Arial" w:hAnsi="Arial" w:cs="Arial"/>
        </w:rPr>
        <w:t xml:space="preserve"> </w:t>
      </w:r>
      <w:r w:rsidR="00C308D6" w:rsidRPr="00CD59CC">
        <w:rPr>
          <w:rFonts w:ascii="Arial" w:hAnsi="Arial" w:cs="Arial"/>
        </w:rPr>
        <w:t>be</w:t>
      </w:r>
      <w:r w:rsidR="007B7640" w:rsidRPr="00CD59CC">
        <w:rPr>
          <w:rFonts w:ascii="Arial" w:hAnsi="Arial" w:cs="Arial"/>
        </w:rPr>
        <w:t xml:space="preserve"> </w:t>
      </w:r>
      <w:r w:rsidR="00C308D6" w:rsidRPr="00CD59CC">
        <w:rPr>
          <w:rFonts w:ascii="Arial" w:hAnsi="Arial" w:cs="Arial"/>
        </w:rPr>
        <w:t>in</w:t>
      </w:r>
      <w:r w:rsidR="007B7640" w:rsidRPr="00CD59CC">
        <w:rPr>
          <w:rFonts w:ascii="Arial" w:hAnsi="Arial" w:cs="Arial"/>
        </w:rPr>
        <w:t xml:space="preserve"> </w:t>
      </w:r>
      <w:r w:rsidR="00C308D6" w:rsidRPr="00CD59CC">
        <w:rPr>
          <w:rFonts w:ascii="Arial" w:hAnsi="Arial" w:cs="Arial"/>
        </w:rPr>
        <w:t>a</w:t>
      </w:r>
      <w:r w:rsidR="007B7640" w:rsidRPr="00CD59CC">
        <w:rPr>
          <w:rFonts w:ascii="Arial" w:hAnsi="Arial" w:cs="Arial"/>
        </w:rPr>
        <w:t xml:space="preserve"> </w:t>
      </w:r>
      <w:r w:rsidR="00C308D6" w:rsidRPr="00CD59CC">
        <w:rPr>
          <w:rFonts w:ascii="Arial" w:hAnsi="Arial" w:cs="Arial"/>
        </w:rPr>
        <w:t>position</w:t>
      </w:r>
      <w:r w:rsidR="007B7640" w:rsidRPr="00CD59CC">
        <w:rPr>
          <w:rFonts w:ascii="Arial" w:hAnsi="Arial" w:cs="Arial"/>
        </w:rPr>
        <w:t xml:space="preserve"> </w:t>
      </w:r>
      <w:r w:rsidR="00C308D6" w:rsidRPr="00CD59CC">
        <w:rPr>
          <w:rFonts w:ascii="Arial" w:hAnsi="Arial" w:cs="Arial"/>
        </w:rPr>
        <w:t>to</w:t>
      </w:r>
      <w:r w:rsidR="007B7640" w:rsidRPr="00CD59CC">
        <w:rPr>
          <w:rFonts w:ascii="Arial" w:hAnsi="Arial" w:cs="Arial"/>
        </w:rPr>
        <w:t xml:space="preserve"> </w:t>
      </w:r>
      <w:r w:rsidR="00C308D6" w:rsidRPr="00CD59CC">
        <w:rPr>
          <w:rFonts w:ascii="Arial" w:hAnsi="Arial" w:cs="Arial"/>
        </w:rPr>
        <w:t>negotiate</w:t>
      </w:r>
      <w:r w:rsidR="007B7640" w:rsidRPr="00CD59CC">
        <w:rPr>
          <w:rFonts w:ascii="Arial" w:hAnsi="Arial" w:cs="Arial"/>
        </w:rPr>
        <w:t xml:space="preserve"> </w:t>
      </w:r>
      <w:r w:rsidR="00C308D6" w:rsidRPr="00CD59CC">
        <w:rPr>
          <w:rFonts w:ascii="Arial" w:hAnsi="Arial" w:cs="Arial"/>
        </w:rPr>
        <w:t>if</w:t>
      </w:r>
      <w:r w:rsidR="007B7640" w:rsidRPr="00CD59CC">
        <w:rPr>
          <w:rFonts w:ascii="Arial" w:hAnsi="Arial" w:cs="Arial"/>
        </w:rPr>
        <w:t xml:space="preserve"> </w:t>
      </w:r>
      <w:r w:rsidR="00C308D6" w:rsidRPr="00CD59CC">
        <w:rPr>
          <w:rFonts w:ascii="Arial" w:hAnsi="Arial" w:cs="Arial"/>
        </w:rPr>
        <w:t>he/she</w:t>
      </w:r>
      <w:r w:rsidR="007B7640" w:rsidRPr="00CD59CC">
        <w:rPr>
          <w:rFonts w:ascii="Arial" w:hAnsi="Arial" w:cs="Arial"/>
        </w:rPr>
        <w:t xml:space="preserve"> </w:t>
      </w:r>
      <w:r w:rsidR="00C308D6" w:rsidRPr="00CD59CC">
        <w:rPr>
          <w:rFonts w:ascii="Arial" w:hAnsi="Arial" w:cs="Arial"/>
        </w:rPr>
        <w:t>is</w:t>
      </w:r>
      <w:r w:rsidR="007B7640" w:rsidRPr="00CD59CC">
        <w:rPr>
          <w:rFonts w:ascii="Arial" w:hAnsi="Arial" w:cs="Arial"/>
        </w:rPr>
        <w:t xml:space="preserve"> </w:t>
      </w:r>
      <w:r w:rsidR="00C308D6" w:rsidRPr="00CD59CC">
        <w:rPr>
          <w:rFonts w:ascii="Arial" w:hAnsi="Arial" w:cs="Arial"/>
        </w:rPr>
        <w:t>a</w:t>
      </w:r>
      <w:r w:rsidR="007B7640" w:rsidRPr="00CD59CC">
        <w:rPr>
          <w:rFonts w:ascii="Arial" w:hAnsi="Arial" w:cs="Arial"/>
        </w:rPr>
        <w:t xml:space="preserve"> </w:t>
      </w:r>
      <w:r w:rsidR="00C308D6" w:rsidRPr="00CD59CC">
        <w:rPr>
          <w:rFonts w:ascii="Arial" w:hAnsi="Arial" w:cs="Arial"/>
        </w:rPr>
        <w:t>public</w:t>
      </w:r>
      <w:r w:rsidR="007B7640" w:rsidRPr="00CD59CC">
        <w:rPr>
          <w:rFonts w:ascii="Arial" w:hAnsi="Arial" w:cs="Arial"/>
        </w:rPr>
        <w:t xml:space="preserve"> </w:t>
      </w:r>
      <w:r w:rsidR="00C308D6" w:rsidRPr="00CD59CC">
        <w:rPr>
          <w:rFonts w:ascii="Arial" w:hAnsi="Arial" w:cs="Arial"/>
        </w:rPr>
        <w:t>worker</w:t>
      </w:r>
      <w:r w:rsidR="007B7640" w:rsidRPr="00CD59CC">
        <w:rPr>
          <w:rFonts w:ascii="Arial" w:hAnsi="Arial" w:cs="Arial"/>
        </w:rPr>
        <w:t xml:space="preserve"> </w:t>
      </w:r>
      <w:r w:rsidR="00C308D6" w:rsidRPr="00CD59CC">
        <w:rPr>
          <w:rFonts w:ascii="Arial" w:hAnsi="Arial" w:cs="Arial"/>
        </w:rPr>
        <w:t>employed</w:t>
      </w:r>
      <w:r w:rsidR="007B7640" w:rsidRPr="00CD59CC">
        <w:rPr>
          <w:rFonts w:ascii="Arial" w:hAnsi="Arial" w:cs="Arial"/>
        </w:rPr>
        <w:t xml:space="preserve"> </w:t>
      </w:r>
      <w:r w:rsidR="00C308D6" w:rsidRPr="00CD59CC">
        <w:rPr>
          <w:rFonts w:ascii="Arial" w:hAnsi="Arial" w:cs="Arial"/>
        </w:rPr>
        <w:t>by</w:t>
      </w:r>
      <w:r w:rsidR="007B7640" w:rsidRPr="00CD59CC">
        <w:rPr>
          <w:rFonts w:ascii="Arial" w:hAnsi="Arial" w:cs="Arial"/>
        </w:rPr>
        <w:t xml:space="preserve"> </w:t>
      </w:r>
      <w:r w:rsidR="00C308D6" w:rsidRPr="00CD59CC">
        <w:rPr>
          <w:rFonts w:ascii="Arial" w:hAnsi="Arial" w:cs="Arial"/>
        </w:rPr>
        <w:t>the</w:t>
      </w:r>
      <w:r w:rsidR="007B7640" w:rsidRPr="00CD59CC">
        <w:rPr>
          <w:rFonts w:ascii="Arial" w:hAnsi="Arial" w:cs="Arial"/>
        </w:rPr>
        <w:t xml:space="preserve"> </w:t>
      </w:r>
      <w:r w:rsidR="00C308D6" w:rsidRPr="00CD59CC">
        <w:rPr>
          <w:rFonts w:ascii="Arial" w:hAnsi="Arial" w:cs="Arial"/>
        </w:rPr>
        <w:t>mayor.”</w:t>
      </w:r>
      <w:r w:rsidR="00C308D6" w:rsidRPr="00CD59CC">
        <w:rPr>
          <w:rStyle w:val="FootnoteReference"/>
          <w:rFonts w:ascii="Arial" w:hAnsi="Arial" w:cs="Arial"/>
        </w:rPr>
        <w:footnoteReference w:id="16"/>
      </w:r>
    </w:p>
    <w:p w14:paraId="667E55BF" w14:textId="77777777" w:rsidR="009309FA" w:rsidRPr="00CD59CC" w:rsidRDefault="009309FA" w:rsidP="00CD59CC">
      <w:pPr>
        <w:rPr>
          <w:rFonts w:ascii="Arial" w:hAnsi="Arial" w:cs="Arial"/>
        </w:rPr>
      </w:pPr>
    </w:p>
    <w:p w14:paraId="17AC65EB" w14:textId="74A9521F" w:rsidR="002B5BCD" w:rsidRPr="006F5D91" w:rsidRDefault="002B5BCD" w:rsidP="006F5D91">
      <w:pPr>
        <w:pStyle w:val="Heading1"/>
      </w:pPr>
      <w:bookmarkStart w:id="19" w:name="_Toc220221132"/>
      <w:r w:rsidRPr="00CD59CC">
        <w:br w:type="page"/>
      </w:r>
      <w:bookmarkStart w:id="20" w:name="_Toc342402758"/>
      <w:bookmarkStart w:id="21" w:name="_Toc392758702"/>
      <w:bookmarkStart w:id="22" w:name="_Toc329163594"/>
      <w:bookmarkStart w:id="23" w:name="_Toc366846311"/>
      <w:bookmarkEnd w:id="19"/>
      <w:r w:rsidR="00D63D93" w:rsidRPr="006F5D91">
        <w:lastRenderedPageBreak/>
        <w:t>GENERAL</w:t>
      </w:r>
      <w:r w:rsidR="007B7640" w:rsidRPr="006F5D91">
        <w:t xml:space="preserve"> </w:t>
      </w:r>
      <w:r w:rsidR="00D63D93" w:rsidRPr="006F5D91">
        <w:t>LEGAL</w:t>
      </w:r>
      <w:r w:rsidR="007B7640" w:rsidRPr="006F5D91">
        <w:t xml:space="preserve"> </w:t>
      </w:r>
      <w:r w:rsidR="00D63D93" w:rsidRPr="006F5D91">
        <w:t>FRAMEWORK</w:t>
      </w:r>
      <w:bookmarkEnd w:id="20"/>
      <w:bookmarkEnd w:id="21"/>
      <w:bookmarkEnd w:id="22"/>
      <w:bookmarkEnd w:id="23"/>
    </w:p>
    <w:p w14:paraId="4BCEA091" w14:textId="77777777" w:rsidR="002B5BCD" w:rsidRPr="00CD59CC" w:rsidRDefault="002B5BCD" w:rsidP="00CD59CC">
      <w:pPr>
        <w:rPr>
          <w:rFonts w:ascii="Arial" w:hAnsi="Arial" w:cs="Arial"/>
        </w:rPr>
      </w:pPr>
    </w:p>
    <w:p w14:paraId="50F2BD5B" w14:textId="77777777" w:rsidR="002B5BCD" w:rsidRPr="00CD59CC" w:rsidRDefault="002B5BCD" w:rsidP="00CD59CC">
      <w:pPr>
        <w:rPr>
          <w:rFonts w:ascii="Arial" w:hAnsi="Arial" w:cs="Arial"/>
          <w:b/>
          <w:bCs/>
        </w:rPr>
      </w:pPr>
      <w:r w:rsidRPr="00CD59CC">
        <w:rPr>
          <w:rFonts w:ascii="Arial" w:hAnsi="Arial" w:cs="Arial"/>
          <w:b/>
          <w:bCs/>
        </w:rPr>
        <w:t>Constitutional</w:t>
      </w:r>
      <w:r w:rsidR="007B7640" w:rsidRPr="00CD59CC">
        <w:rPr>
          <w:rFonts w:ascii="Arial" w:hAnsi="Arial" w:cs="Arial"/>
          <w:b/>
          <w:bCs/>
        </w:rPr>
        <w:t xml:space="preserve"> </w:t>
      </w:r>
      <w:r w:rsidRPr="00CD59CC">
        <w:rPr>
          <w:rFonts w:ascii="Arial" w:hAnsi="Arial" w:cs="Arial"/>
          <w:b/>
          <w:bCs/>
        </w:rPr>
        <w:t>provisions</w:t>
      </w:r>
      <w:r w:rsidR="007B7640" w:rsidRPr="00CD59CC">
        <w:rPr>
          <w:rFonts w:ascii="Arial" w:hAnsi="Arial" w:cs="Arial"/>
          <w:b/>
          <w:bCs/>
        </w:rPr>
        <w:t xml:space="preserve"> </w:t>
      </w:r>
      <w:r w:rsidRPr="00CD59CC">
        <w:rPr>
          <w:rFonts w:ascii="Arial" w:hAnsi="Arial" w:cs="Arial"/>
          <w:b/>
          <w:bCs/>
        </w:rPr>
        <w:t>on</w:t>
      </w:r>
      <w:r w:rsidR="007B7640" w:rsidRPr="00CD59CC">
        <w:rPr>
          <w:rFonts w:ascii="Arial" w:hAnsi="Arial" w:cs="Arial"/>
          <w:b/>
          <w:bCs/>
        </w:rPr>
        <w:t xml:space="preserve"> </w:t>
      </w:r>
      <w:r w:rsidRPr="00CD59CC">
        <w:rPr>
          <w:rFonts w:ascii="Arial" w:hAnsi="Arial" w:cs="Arial"/>
          <w:b/>
          <w:bCs/>
        </w:rPr>
        <w:t>protection</w:t>
      </w:r>
      <w:r w:rsidR="007B7640" w:rsidRPr="00CD59CC">
        <w:rPr>
          <w:rFonts w:ascii="Arial" w:hAnsi="Arial" w:cs="Arial"/>
          <w:b/>
          <w:bCs/>
        </w:rPr>
        <w:t xml:space="preserve"> </w:t>
      </w:r>
      <w:r w:rsidRPr="00CD59CC">
        <w:rPr>
          <w:rFonts w:ascii="Arial" w:hAnsi="Arial" w:cs="Arial"/>
          <w:b/>
          <w:bCs/>
        </w:rPr>
        <w:t>against</w:t>
      </w:r>
      <w:r w:rsidR="007B7640" w:rsidRPr="00CD59CC">
        <w:rPr>
          <w:rFonts w:ascii="Arial" w:hAnsi="Arial" w:cs="Arial"/>
          <w:b/>
          <w:bCs/>
        </w:rPr>
        <w:t xml:space="preserve"> </w:t>
      </w:r>
      <w:r w:rsidRPr="00CD59CC">
        <w:rPr>
          <w:rFonts w:ascii="Arial" w:hAnsi="Arial" w:cs="Arial"/>
          <w:b/>
          <w:bCs/>
        </w:rPr>
        <w:t>discrimination</w:t>
      </w:r>
      <w:r w:rsidR="007B7640" w:rsidRPr="00CD59CC">
        <w:rPr>
          <w:rFonts w:ascii="Arial" w:hAnsi="Arial" w:cs="Arial"/>
          <w:b/>
          <w:bCs/>
        </w:rPr>
        <w:t xml:space="preserve"> </w:t>
      </w:r>
      <w:r w:rsidRPr="00CD59CC">
        <w:rPr>
          <w:rFonts w:ascii="Arial" w:hAnsi="Arial" w:cs="Arial"/>
          <w:b/>
          <w:bCs/>
        </w:rPr>
        <w:t>and</w:t>
      </w:r>
      <w:r w:rsidR="007B7640" w:rsidRPr="00CD59CC">
        <w:rPr>
          <w:rFonts w:ascii="Arial" w:hAnsi="Arial" w:cs="Arial"/>
          <w:b/>
          <w:bCs/>
        </w:rPr>
        <w:t xml:space="preserve"> </w:t>
      </w:r>
      <w:r w:rsidRPr="00CD59CC">
        <w:rPr>
          <w:rFonts w:ascii="Arial" w:hAnsi="Arial" w:cs="Arial"/>
          <w:b/>
          <w:bCs/>
        </w:rPr>
        <w:t>the</w:t>
      </w:r>
      <w:r w:rsidR="007B7640" w:rsidRPr="00CD59CC">
        <w:rPr>
          <w:rFonts w:ascii="Arial" w:hAnsi="Arial" w:cs="Arial"/>
          <w:b/>
          <w:bCs/>
        </w:rPr>
        <w:t xml:space="preserve"> </w:t>
      </w:r>
      <w:r w:rsidRPr="00CD59CC">
        <w:rPr>
          <w:rFonts w:ascii="Arial" w:hAnsi="Arial" w:cs="Arial"/>
          <w:b/>
          <w:bCs/>
        </w:rPr>
        <w:t>promotion</w:t>
      </w:r>
      <w:r w:rsidR="007B7640" w:rsidRPr="00CD59CC">
        <w:rPr>
          <w:rFonts w:ascii="Arial" w:hAnsi="Arial" w:cs="Arial"/>
          <w:b/>
          <w:bCs/>
        </w:rPr>
        <w:t xml:space="preserve"> </w:t>
      </w:r>
      <w:r w:rsidRPr="00CD59CC">
        <w:rPr>
          <w:rFonts w:ascii="Arial" w:hAnsi="Arial" w:cs="Arial"/>
          <w:b/>
          <w:bCs/>
        </w:rPr>
        <w:t>of</w:t>
      </w:r>
      <w:r w:rsidR="007B7640" w:rsidRPr="00CD59CC">
        <w:rPr>
          <w:rFonts w:ascii="Arial" w:hAnsi="Arial" w:cs="Arial"/>
          <w:b/>
          <w:bCs/>
        </w:rPr>
        <w:t xml:space="preserve"> </w:t>
      </w:r>
      <w:r w:rsidRPr="00CD59CC">
        <w:rPr>
          <w:rFonts w:ascii="Arial" w:hAnsi="Arial" w:cs="Arial"/>
          <w:b/>
          <w:bCs/>
        </w:rPr>
        <w:t>equality</w:t>
      </w:r>
    </w:p>
    <w:p w14:paraId="0B572E5E" w14:textId="77777777" w:rsidR="002B5BCD" w:rsidRPr="00CD59CC" w:rsidRDefault="002B5BCD" w:rsidP="00CD59CC">
      <w:pPr>
        <w:rPr>
          <w:rFonts w:ascii="Arial" w:hAnsi="Arial" w:cs="Arial"/>
        </w:rPr>
      </w:pPr>
    </w:p>
    <w:p w14:paraId="2A9A8B9D" w14:textId="77777777" w:rsidR="002B5BCD" w:rsidRPr="00CD59CC" w:rsidRDefault="002B5BCD" w:rsidP="00CD59CC">
      <w:pPr>
        <w:numPr>
          <w:ilvl w:val="0"/>
          <w:numId w:val="1"/>
        </w:numPr>
        <w:ind w:left="567" w:hanging="567"/>
        <w:rPr>
          <w:rFonts w:ascii="Arial" w:hAnsi="Arial" w:cs="Arial"/>
          <w:i/>
        </w:rPr>
      </w:pPr>
      <w:r w:rsidRPr="00CD59CC">
        <w:rPr>
          <w:rFonts w:ascii="Arial" w:hAnsi="Arial" w:cs="Arial"/>
          <w:i/>
        </w:rPr>
        <w:t>Briefly</w:t>
      </w:r>
      <w:r w:rsidR="007B7640" w:rsidRPr="00CD59CC">
        <w:rPr>
          <w:rFonts w:ascii="Arial" w:hAnsi="Arial" w:cs="Arial"/>
          <w:i/>
        </w:rPr>
        <w:t xml:space="preserve"> </w:t>
      </w:r>
      <w:r w:rsidRPr="00CD59CC">
        <w:rPr>
          <w:rFonts w:ascii="Arial" w:hAnsi="Arial" w:cs="Arial"/>
          <w:i/>
        </w:rPr>
        <w:t>specify</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covered</w:t>
      </w:r>
      <w:r w:rsidR="007B7640" w:rsidRPr="00CD59CC">
        <w:rPr>
          <w:rFonts w:ascii="Arial" w:hAnsi="Arial" w:cs="Arial"/>
          <w:i/>
        </w:rPr>
        <w:t xml:space="preserve"> </w:t>
      </w:r>
      <w:r w:rsidRPr="00CD59CC">
        <w:rPr>
          <w:rFonts w:ascii="Arial" w:hAnsi="Arial" w:cs="Arial"/>
          <w:i/>
        </w:rPr>
        <w:t>(explicitly</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implicitly)</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material</w:t>
      </w:r>
      <w:r w:rsidR="007B7640" w:rsidRPr="00CD59CC">
        <w:rPr>
          <w:rFonts w:ascii="Arial" w:hAnsi="Arial" w:cs="Arial"/>
          <w:i/>
        </w:rPr>
        <w:t xml:space="preserve"> </w:t>
      </w:r>
      <w:r w:rsidRPr="00CD59CC">
        <w:rPr>
          <w:rFonts w:ascii="Arial" w:hAnsi="Arial" w:cs="Arial"/>
          <w:i/>
        </w:rPr>
        <w:t>scope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relevant</w:t>
      </w:r>
      <w:r w:rsidR="007B7640" w:rsidRPr="00CD59CC">
        <w:rPr>
          <w:rFonts w:ascii="Arial" w:hAnsi="Arial" w:cs="Arial"/>
          <w:i/>
        </w:rPr>
        <w:t xml:space="preserve"> </w:t>
      </w:r>
      <w:r w:rsidRPr="00CD59CC">
        <w:rPr>
          <w:rFonts w:ascii="Arial" w:hAnsi="Arial" w:cs="Arial"/>
          <w:i/>
        </w:rPr>
        <w:t>provisions.</w:t>
      </w:r>
      <w:r w:rsidR="007B7640" w:rsidRPr="00CD59CC">
        <w:rPr>
          <w:rFonts w:ascii="Arial" w:hAnsi="Arial" w:cs="Arial"/>
          <w:i/>
        </w:rPr>
        <w:t xml:space="preserve"> </w:t>
      </w:r>
      <w:r w:rsidRPr="00CD59CC">
        <w:rPr>
          <w:rFonts w:ascii="Arial" w:hAnsi="Arial" w:cs="Arial"/>
          <w:i/>
        </w:rPr>
        <w:t>Do</w:t>
      </w:r>
      <w:r w:rsidR="007B7640" w:rsidRPr="00CD59CC">
        <w:rPr>
          <w:rFonts w:ascii="Arial" w:hAnsi="Arial" w:cs="Arial"/>
          <w:i/>
        </w:rPr>
        <w:t xml:space="preserve"> </w:t>
      </w:r>
      <w:r w:rsidRPr="00CD59CC">
        <w:rPr>
          <w:rFonts w:ascii="Arial" w:hAnsi="Arial" w:cs="Arial"/>
          <w:i/>
        </w:rPr>
        <w:t>they</w:t>
      </w:r>
      <w:r w:rsidR="007B7640" w:rsidRPr="00CD59CC">
        <w:rPr>
          <w:rFonts w:ascii="Arial" w:hAnsi="Arial" w:cs="Arial"/>
          <w:i/>
        </w:rPr>
        <w:t xml:space="preserve"> </w:t>
      </w:r>
      <w:r w:rsidRPr="00CD59CC">
        <w:rPr>
          <w:rFonts w:ascii="Arial" w:hAnsi="Arial" w:cs="Arial"/>
          <w:i/>
        </w:rPr>
        <w:t>apply</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all</w:t>
      </w:r>
      <w:r w:rsidR="007B7640" w:rsidRPr="00CD59CC">
        <w:rPr>
          <w:rFonts w:ascii="Arial" w:hAnsi="Arial" w:cs="Arial"/>
          <w:i/>
        </w:rPr>
        <w:t xml:space="preserve"> </w:t>
      </w:r>
      <w:r w:rsidRPr="00CD59CC">
        <w:rPr>
          <w:rFonts w:ascii="Arial" w:hAnsi="Arial" w:cs="Arial"/>
          <w:i/>
        </w:rPr>
        <w:t>areas</w:t>
      </w:r>
      <w:r w:rsidR="007B7640" w:rsidRPr="00CD59CC">
        <w:rPr>
          <w:rFonts w:ascii="Arial" w:hAnsi="Arial" w:cs="Arial"/>
          <w:i/>
        </w:rPr>
        <w:t xml:space="preserve"> </w:t>
      </w:r>
      <w:r w:rsidRPr="00CD59CC">
        <w:rPr>
          <w:rFonts w:ascii="Arial" w:hAnsi="Arial" w:cs="Arial"/>
          <w:i/>
        </w:rPr>
        <w:t>covered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Directives?</w:t>
      </w:r>
      <w:r w:rsidR="007B7640" w:rsidRPr="00CD59CC">
        <w:rPr>
          <w:rFonts w:ascii="Arial" w:hAnsi="Arial" w:cs="Arial"/>
          <w:i/>
        </w:rPr>
        <w:t xml:space="preserve"> </w:t>
      </w:r>
      <w:r w:rsidRPr="00CD59CC">
        <w:rPr>
          <w:rFonts w:ascii="Arial" w:hAnsi="Arial" w:cs="Arial"/>
          <w:i/>
        </w:rPr>
        <w:t>Are</w:t>
      </w:r>
      <w:r w:rsidR="007B7640" w:rsidRPr="00CD59CC">
        <w:rPr>
          <w:rFonts w:ascii="Arial" w:hAnsi="Arial" w:cs="Arial"/>
          <w:i/>
        </w:rPr>
        <w:t xml:space="preserve"> </w:t>
      </w:r>
      <w:r w:rsidRPr="00CD59CC">
        <w:rPr>
          <w:rFonts w:ascii="Arial" w:hAnsi="Arial" w:cs="Arial"/>
          <w:i/>
        </w:rPr>
        <w:t>they</w:t>
      </w:r>
      <w:r w:rsidR="007B7640" w:rsidRPr="00CD59CC">
        <w:rPr>
          <w:rFonts w:ascii="Arial" w:hAnsi="Arial" w:cs="Arial"/>
          <w:i/>
        </w:rPr>
        <w:t xml:space="preserve"> </w:t>
      </w:r>
      <w:r w:rsidRPr="00CD59CC">
        <w:rPr>
          <w:rFonts w:ascii="Arial" w:hAnsi="Arial" w:cs="Arial"/>
          <w:i/>
        </w:rPr>
        <w:t>broader</w:t>
      </w:r>
      <w:r w:rsidR="007B7640" w:rsidRPr="00CD59CC">
        <w:rPr>
          <w:rFonts w:ascii="Arial" w:hAnsi="Arial" w:cs="Arial"/>
          <w:i/>
        </w:rPr>
        <w:t xml:space="preserve"> </w:t>
      </w:r>
      <w:r w:rsidRPr="00CD59CC">
        <w:rPr>
          <w:rFonts w:ascii="Arial" w:hAnsi="Arial" w:cs="Arial"/>
          <w:i/>
        </w:rPr>
        <w:t>than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material</w:t>
      </w:r>
      <w:r w:rsidR="007B7640" w:rsidRPr="00CD59CC">
        <w:rPr>
          <w:rFonts w:ascii="Arial" w:hAnsi="Arial" w:cs="Arial"/>
          <w:i/>
        </w:rPr>
        <w:t xml:space="preserve"> </w:t>
      </w:r>
      <w:r w:rsidRPr="00CD59CC">
        <w:rPr>
          <w:rFonts w:ascii="Arial" w:hAnsi="Arial" w:cs="Arial"/>
          <w:i/>
        </w:rPr>
        <w:t>scope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Directives?</w:t>
      </w:r>
    </w:p>
    <w:p w14:paraId="05EADA1C" w14:textId="77777777" w:rsidR="002B5BCD" w:rsidRPr="00CD59CC" w:rsidRDefault="002B5BCD" w:rsidP="00CD59CC">
      <w:pPr>
        <w:ind w:left="567" w:hanging="567"/>
        <w:rPr>
          <w:rFonts w:ascii="Arial" w:hAnsi="Arial" w:cs="Arial"/>
        </w:rPr>
      </w:pPr>
    </w:p>
    <w:p w14:paraId="1DBE1002" w14:textId="77777777" w:rsidR="00087D37" w:rsidRPr="00CD59CC" w:rsidRDefault="00087D37"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cornerstone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existing</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clause</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XV</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p>
    <w:p w14:paraId="1F78DA2C" w14:textId="77777777" w:rsidR="00087D37" w:rsidRPr="00CD59CC" w:rsidRDefault="00087D37" w:rsidP="00CD59CC">
      <w:pPr>
        <w:rPr>
          <w:rFonts w:ascii="Arial" w:hAnsi="Arial" w:cs="Arial"/>
        </w:rPr>
      </w:pPr>
    </w:p>
    <w:p w14:paraId="7A567B5C" w14:textId="77777777" w:rsidR="00087D37" w:rsidRPr="00BB4E9F" w:rsidRDefault="00087D37" w:rsidP="00BB4E9F">
      <w:pPr>
        <w:pStyle w:val="Quote"/>
      </w:pPr>
      <w:r w:rsidRPr="006F0AF2">
        <w:t>Every</w:t>
      </w:r>
      <w:r w:rsidR="007B7640" w:rsidRPr="006F0AF2">
        <w:t xml:space="preserve"> </w:t>
      </w:r>
      <w:r w:rsidRPr="00C86D09">
        <w:t>person</w:t>
      </w:r>
      <w:r w:rsidR="007B7640" w:rsidRPr="00C86D09">
        <w:t xml:space="preserve"> </w:t>
      </w:r>
      <w:r w:rsidRPr="00BB4E9F">
        <w:t>shall</w:t>
      </w:r>
      <w:r w:rsidR="007B7640" w:rsidRPr="00BB4E9F">
        <w:t xml:space="preserve"> </w:t>
      </w:r>
      <w:r w:rsidRPr="00BB4E9F">
        <w:t>be</w:t>
      </w:r>
      <w:r w:rsidR="007B7640" w:rsidRPr="00BB4E9F">
        <w:t xml:space="preserve"> </w:t>
      </w:r>
      <w:r w:rsidRPr="00BB4E9F">
        <w:t>equal</w:t>
      </w:r>
      <w:r w:rsidR="007B7640" w:rsidRPr="00BB4E9F">
        <w:t xml:space="preserve"> </w:t>
      </w:r>
      <w:r w:rsidRPr="00BB4E9F">
        <w:t>before</w:t>
      </w:r>
      <w:r w:rsidR="007B7640" w:rsidRPr="00BB4E9F">
        <w:t xml:space="preserve"> </w:t>
      </w:r>
      <w:r w:rsidRPr="00BB4E9F">
        <w:t>the</w:t>
      </w:r>
      <w:r w:rsidR="007B7640" w:rsidRPr="00BB4E9F">
        <w:t xml:space="preserve"> </w:t>
      </w:r>
      <w:r w:rsidRPr="00BB4E9F">
        <w:t>law.</w:t>
      </w:r>
      <w:r w:rsidR="007B7640" w:rsidRPr="00BB4E9F">
        <w:t xml:space="preserve"> </w:t>
      </w:r>
      <w:r w:rsidRPr="00BB4E9F">
        <w:t>Every</w:t>
      </w:r>
      <w:r w:rsidR="007B7640" w:rsidRPr="00BB4E9F">
        <w:t xml:space="preserve"> </w:t>
      </w:r>
      <w:r w:rsidRPr="00BB4E9F">
        <w:t>human</w:t>
      </w:r>
      <w:r w:rsidR="007B7640" w:rsidRPr="00BB4E9F">
        <w:t xml:space="preserve"> </w:t>
      </w:r>
      <w:r w:rsidRPr="00BB4E9F">
        <w:t>being</w:t>
      </w:r>
      <w:r w:rsidR="007B7640" w:rsidRPr="00BB4E9F">
        <w:t xml:space="preserve"> </w:t>
      </w:r>
      <w:r w:rsidRPr="00BB4E9F">
        <w:t>shall</w:t>
      </w:r>
      <w:r w:rsidR="007B7640" w:rsidRPr="00BB4E9F">
        <w:t xml:space="preserve"> </w:t>
      </w:r>
      <w:r w:rsidRPr="00BB4E9F">
        <w:t>have</w:t>
      </w:r>
      <w:r w:rsidR="007B7640" w:rsidRPr="00BB4E9F">
        <w:t xml:space="preserve"> </w:t>
      </w:r>
      <w:r w:rsidRPr="00BB4E9F">
        <w:t>legal</w:t>
      </w:r>
      <w:r w:rsidR="007B7640" w:rsidRPr="00BB4E9F">
        <w:t xml:space="preserve"> </w:t>
      </w:r>
      <w:r w:rsidRPr="00BB4E9F">
        <w:t>capacity.</w:t>
      </w:r>
    </w:p>
    <w:p w14:paraId="62C76D29" w14:textId="77777777" w:rsidR="00087D37" w:rsidRPr="00BB4E9F" w:rsidRDefault="00087D37" w:rsidP="00BB4E9F">
      <w:pPr>
        <w:pStyle w:val="Quote"/>
      </w:pPr>
      <w:r w:rsidRPr="00BB4E9F">
        <w:t>Hungary</w:t>
      </w:r>
      <w:r w:rsidR="007B7640" w:rsidRPr="00BB4E9F">
        <w:t xml:space="preserve"> </w:t>
      </w:r>
      <w:r w:rsidRPr="00BB4E9F">
        <w:t>shall</w:t>
      </w:r>
      <w:r w:rsidR="007B7640" w:rsidRPr="00BB4E9F">
        <w:t xml:space="preserve"> </w:t>
      </w:r>
      <w:r w:rsidRPr="00BB4E9F">
        <w:t>ensure</w:t>
      </w:r>
      <w:r w:rsidR="007B7640" w:rsidRPr="00BB4E9F">
        <w:t xml:space="preserve"> </w:t>
      </w:r>
      <w:r w:rsidRPr="00BB4E9F">
        <w:t>fundamental</w:t>
      </w:r>
      <w:r w:rsidR="007B7640" w:rsidRPr="00BB4E9F">
        <w:t xml:space="preserve"> </w:t>
      </w:r>
      <w:r w:rsidRPr="00BB4E9F">
        <w:t>rights</w:t>
      </w:r>
      <w:r w:rsidR="007B7640" w:rsidRPr="00BB4E9F">
        <w:t xml:space="preserve"> </w:t>
      </w:r>
      <w:r w:rsidRPr="00BB4E9F">
        <w:t>to</w:t>
      </w:r>
      <w:r w:rsidR="007B7640" w:rsidRPr="00BB4E9F">
        <w:t xml:space="preserve"> </w:t>
      </w:r>
      <w:r w:rsidRPr="00BB4E9F">
        <w:t>every</w:t>
      </w:r>
      <w:r w:rsidR="007B7640" w:rsidRPr="00BB4E9F">
        <w:t xml:space="preserve"> </w:t>
      </w:r>
      <w:r w:rsidRPr="00BB4E9F">
        <w:t>person</w:t>
      </w:r>
      <w:r w:rsidR="007B7640" w:rsidRPr="00BB4E9F">
        <w:t xml:space="preserve"> </w:t>
      </w:r>
      <w:r w:rsidRPr="00BB4E9F">
        <w:t>without</w:t>
      </w:r>
      <w:r w:rsidR="007B7640" w:rsidRPr="00BB4E9F">
        <w:t xml:space="preserve"> </w:t>
      </w:r>
      <w:r w:rsidRPr="00BB4E9F">
        <w:t>any</w:t>
      </w:r>
      <w:r w:rsidR="007B7640" w:rsidRPr="00BB4E9F">
        <w:t xml:space="preserve"> </w:t>
      </w:r>
      <w:r w:rsidRPr="00BB4E9F">
        <w:t>discrimination</w:t>
      </w:r>
      <w:r w:rsidR="007B7640" w:rsidRPr="00BB4E9F">
        <w:t xml:space="preserve"> </w:t>
      </w:r>
      <w:r w:rsidRPr="00BB4E9F">
        <w:t>on</w:t>
      </w:r>
      <w:r w:rsidR="007B7640" w:rsidRPr="00BB4E9F">
        <w:t xml:space="preserve"> </w:t>
      </w:r>
      <w:r w:rsidRPr="00BB4E9F">
        <w:t>the</w:t>
      </w:r>
      <w:r w:rsidR="007B7640" w:rsidRPr="00BB4E9F">
        <w:t xml:space="preserve"> </w:t>
      </w:r>
      <w:r w:rsidRPr="00BB4E9F">
        <w:t>grounds</w:t>
      </w:r>
      <w:r w:rsidR="007B7640" w:rsidRPr="00BB4E9F">
        <w:t xml:space="preserve"> </w:t>
      </w:r>
      <w:r w:rsidRPr="00BB4E9F">
        <w:t>of</w:t>
      </w:r>
      <w:r w:rsidR="007B7640" w:rsidRPr="00BB4E9F">
        <w:t xml:space="preserve"> </w:t>
      </w:r>
      <w:r w:rsidRPr="00BB4E9F">
        <w:t>race,</w:t>
      </w:r>
      <w:r w:rsidR="007B7640" w:rsidRPr="00BB4E9F">
        <w:t xml:space="preserve"> </w:t>
      </w:r>
      <w:r w:rsidRPr="00BB4E9F">
        <w:t>colour,</w:t>
      </w:r>
      <w:r w:rsidR="007B7640" w:rsidRPr="00BB4E9F">
        <w:t xml:space="preserve"> </w:t>
      </w:r>
      <w:r w:rsidRPr="00BB4E9F">
        <w:t>gender,</w:t>
      </w:r>
      <w:r w:rsidR="007B7640" w:rsidRPr="00BB4E9F">
        <w:t xml:space="preserve"> </w:t>
      </w:r>
      <w:r w:rsidRPr="00BB4E9F">
        <w:t>disability,</w:t>
      </w:r>
      <w:r w:rsidR="007B7640" w:rsidRPr="00BB4E9F">
        <w:t xml:space="preserve"> </w:t>
      </w:r>
      <w:r w:rsidRPr="00BB4E9F">
        <w:t>language,</w:t>
      </w:r>
      <w:r w:rsidR="007B7640" w:rsidRPr="00BB4E9F">
        <w:t xml:space="preserve"> </w:t>
      </w:r>
      <w:r w:rsidRPr="00BB4E9F">
        <w:t>religion,</w:t>
      </w:r>
      <w:r w:rsidR="007B7640" w:rsidRPr="00BB4E9F">
        <w:t xml:space="preserve"> </w:t>
      </w:r>
      <w:r w:rsidRPr="00BB4E9F">
        <w:t>political</w:t>
      </w:r>
      <w:r w:rsidR="007B7640" w:rsidRPr="00BB4E9F">
        <w:t xml:space="preserve"> </w:t>
      </w:r>
      <w:r w:rsidRPr="00BB4E9F">
        <w:t>or</w:t>
      </w:r>
      <w:r w:rsidR="007B7640" w:rsidRPr="00BB4E9F">
        <w:t xml:space="preserve"> </w:t>
      </w:r>
      <w:r w:rsidRPr="00BB4E9F">
        <w:t>other</w:t>
      </w:r>
      <w:r w:rsidR="007B7640" w:rsidRPr="00BB4E9F">
        <w:t xml:space="preserve"> </w:t>
      </w:r>
      <w:r w:rsidRPr="00BB4E9F">
        <w:t>opinion,</w:t>
      </w:r>
      <w:r w:rsidR="007B7640" w:rsidRPr="00BB4E9F">
        <w:t xml:space="preserve"> </w:t>
      </w:r>
      <w:r w:rsidRPr="00BB4E9F">
        <w:t>national</w:t>
      </w:r>
      <w:r w:rsidR="007B7640" w:rsidRPr="00BB4E9F">
        <w:t xml:space="preserve"> </w:t>
      </w:r>
      <w:r w:rsidRPr="00BB4E9F">
        <w:t>or</w:t>
      </w:r>
      <w:r w:rsidR="007B7640" w:rsidRPr="00BB4E9F">
        <w:t xml:space="preserve"> </w:t>
      </w:r>
      <w:r w:rsidRPr="00BB4E9F">
        <w:t>social</w:t>
      </w:r>
      <w:r w:rsidR="007B7640" w:rsidRPr="00BB4E9F">
        <w:t xml:space="preserve"> </w:t>
      </w:r>
      <w:r w:rsidRPr="00BB4E9F">
        <w:t>origin,</w:t>
      </w:r>
      <w:r w:rsidR="007B7640" w:rsidRPr="00BB4E9F">
        <w:t xml:space="preserve"> </w:t>
      </w:r>
      <w:r w:rsidRPr="00BB4E9F">
        <w:t>property,</w:t>
      </w:r>
      <w:r w:rsidR="007B7640" w:rsidRPr="00BB4E9F">
        <w:t xml:space="preserve"> </w:t>
      </w:r>
      <w:r w:rsidRPr="00BB4E9F">
        <w:t>birth</w:t>
      </w:r>
      <w:r w:rsidR="007B7640" w:rsidRPr="00BB4E9F">
        <w:t xml:space="preserve"> </w:t>
      </w:r>
      <w:r w:rsidRPr="00BB4E9F">
        <w:t>or</w:t>
      </w:r>
      <w:r w:rsidR="007B7640" w:rsidRPr="00BB4E9F">
        <w:t xml:space="preserve"> </w:t>
      </w:r>
      <w:r w:rsidRPr="00BB4E9F">
        <w:t>on</w:t>
      </w:r>
      <w:r w:rsidR="007B7640" w:rsidRPr="00BB4E9F">
        <w:t xml:space="preserve"> </w:t>
      </w:r>
      <w:r w:rsidRPr="00BB4E9F">
        <w:t>any</w:t>
      </w:r>
      <w:r w:rsidR="007B7640" w:rsidRPr="00BB4E9F">
        <w:t xml:space="preserve"> </w:t>
      </w:r>
      <w:r w:rsidRPr="00BB4E9F">
        <w:t>other</w:t>
      </w:r>
      <w:r w:rsidR="007B7640" w:rsidRPr="00BB4E9F">
        <w:t xml:space="preserve"> </w:t>
      </w:r>
      <w:r w:rsidRPr="00BB4E9F">
        <w:t>ground.</w:t>
      </w:r>
      <w:r w:rsidR="007B7640" w:rsidRPr="00BB4E9F">
        <w:t xml:space="preserve"> </w:t>
      </w:r>
    </w:p>
    <w:p w14:paraId="17B397BD" w14:textId="77777777" w:rsidR="00087D37" w:rsidRPr="00BB4E9F" w:rsidRDefault="00087D37" w:rsidP="00BB4E9F">
      <w:pPr>
        <w:pStyle w:val="Quote"/>
      </w:pPr>
      <w:r w:rsidRPr="00BB4E9F">
        <w:t>Women</w:t>
      </w:r>
      <w:r w:rsidR="007B7640" w:rsidRPr="00BB4E9F">
        <w:t xml:space="preserve"> </w:t>
      </w:r>
      <w:r w:rsidRPr="00BB4E9F">
        <w:t>and</w:t>
      </w:r>
      <w:r w:rsidR="007B7640" w:rsidRPr="00BB4E9F">
        <w:t xml:space="preserve"> </w:t>
      </w:r>
      <w:r w:rsidRPr="00BB4E9F">
        <w:t>men</w:t>
      </w:r>
      <w:r w:rsidR="007B7640" w:rsidRPr="00BB4E9F">
        <w:t xml:space="preserve"> </w:t>
      </w:r>
      <w:r w:rsidRPr="00BB4E9F">
        <w:t>shall</w:t>
      </w:r>
      <w:r w:rsidR="007B7640" w:rsidRPr="00BB4E9F">
        <w:t xml:space="preserve"> </w:t>
      </w:r>
      <w:r w:rsidRPr="00BB4E9F">
        <w:t>have</w:t>
      </w:r>
      <w:r w:rsidR="007B7640" w:rsidRPr="00BB4E9F">
        <w:t xml:space="preserve"> </w:t>
      </w:r>
      <w:r w:rsidRPr="00BB4E9F">
        <w:t>equal</w:t>
      </w:r>
      <w:r w:rsidR="007B7640" w:rsidRPr="00BB4E9F">
        <w:t xml:space="preserve"> </w:t>
      </w:r>
      <w:r w:rsidRPr="00BB4E9F">
        <w:t>rights.</w:t>
      </w:r>
    </w:p>
    <w:p w14:paraId="5FD0D8F8" w14:textId="77777777" w:rsidR="00087D37" w:rsidRPr="00BB4E9F" w:rsidRDefault="00087D37" w:rsidP="00BB4E9F">
      <w:pPr>
        <w:pStyle w:val="Quote"/>
      </w:pPr>
      <w:r w:rsidRPr="00BB4E9F">
        <w:t>Hungary</w:t>
      </w:r>
      <w:r w:rsidR="007B7640" w:rsidRPr="00BB4E9F">
        <w:t xml:space="preserve"> </w:t>
      </w:r>
      <w:r w:rsidRPr="00BB4E9F">
        <w:t>shall</w:t>
      </w:r>
      <w:r w:rsidR="007B7640" w:rsidRPr="00BB4E9F">
        <w:t xml:space="preserve"> </w:t>
      </w:r>
      <w:r w:rsidRPr="00BB4E9F">
        <w:t>take</w:t>
      </w:r>
      <w:r w:rsidR="007B7640" w:rsidRPr="00BB4E9F">
        <w:t xml:space="preserve"> </w:t>
      </w:r>
      <w:r w:rsidRPr="00BB4E9F">
        <w:t>special</w:t>
      </w:r>
      <w:r w:rsidR="007B7640" w:rsidRPr="00BB4E9F">
        <w:t xml:space="preserve"> </w:t>
      </w:r>
      <w:r w:rsidRPr="00BB4E9F">
        <w:t>measures</w:t>
      </w:r>
      <w:r w:rsidR="007B7640" w:rsidRPr="00BB4E9F">
        <w:t xml:space="preserve"> </w:t>
      </w:r>
      <w:r w:rsidRPr="00BB4E9F">
        <w:t>promote</w:t>
      </w:r>
      <w:r w:rsidR="007B7640" w:rsidRPr="00BB4E9F">
        <w:t xml:space="preserve"> </w:t>
      </w:r>
      <w:r w:rsidRPr="00BB4E9F">
        <w:t>the</w:t>
      </w:r>
      <w:r w:rsidR="007B7640" w:rsidRPr="00BB4E9F">
        <w:t xml:space="preserve"> </w:t>
      </w:r>
      <w:r w:rsidRPr="00BB4E9F">
        <w:t>realisation</w:t>
      </w:r>
      <w:r w:rsidR="007B7640" w:rsidRPr="00BB4E9F">
        <w:t xml:space="preserve"> </w:t>
      </w:r>
      <w:r w:rsidRPr="00BB4E9F">
        <w:t>of</w:t>
      </w:r>
      <w:r w:rsidR="007B7640" w:rsidRPr="00BB4E9F">
        <w:t xml:space="preserve"> </w:t>
      </w:r>
      <w:r w:rsidRPr="00BB4E9F">
        <w:t>equal</w:t>
      </w:r>
      <w:r w:rsidR="007B7640" w:rsidRPr="00BB4E9F">
        <w:t xml:space="preserve"> </w:t>
      </w:r>
      <w:r w:rsidRPr="00BB4E9F">
        <w:t>opportunities.</w:t>
      </w:r>
    </w:p>
    <w:p w14:paraId="6A207B7B" w14:textId="77777777" w:rsidR="00087D37" w:rsidRPr="00BB4E9F" w:rsidRDefault="00087D37" w:rsidP="00BB4E9F">
      <w:pPr>
        <w:pStyle w:val="Quote"/>
      </w:pPr>
      <w:r w:rsidRPr="00BB4E9F">
        <w:t>Hungary</w:t>
      </w:r>
      <w:r w:rsidR="007B7640" w:rsidRPr="00BB4E9F">
        <w:t xml:space="preserve"> </w:t>
      </w:r>
      <w:r w:rsidRPr="00BB4E9F">
        <w:t>shall</w:t>
      </w:r>
      <w:r w:rsidR="007B7640" w:rsidRPr="00BB4E9F">
        <w:t xml:space="preserve"> </w:t>
      </w:r>
      <w:r w:rsidRPr="00BB4E9F">
        <w:t>take</w:t>
      </w:r>
      <w:r w:rsidR="007B7640" w:rsidRPr="00BB4E9F">
        <w:t xml:space="preserve"> </w:t>
      </w:r>
      <w:r w:rsidRPr="00BB4E9F">
        <w:t>special</w:t>
      </w:r>
      <w:r w:rsidR="007B7640" w:rsidRPr="00BB4E9F">
        <w:t xml:space="preserve"> </w:t>
      </w:r>
      <w:r w:rsidRPr="00BB4E9F">
        <w:t>measures</w:t>
      </w:r>
      <w:r w:rsidR="007B7640" w:rsidRPr="00BB4E9F">
        <w:t xml:space="preserve"> </w:t>
      </w:r>
      <w:r w:rsidRPr="00BB4E9F">
        <w:t>to</w:t>
      </w:r>
      <w:r w:rsidR="007B7640" w:rsidRPr="00BB4E9F">
        <w:t xml:space="preserve"> </w:t>
      </w:r>
      <w:r w:rsidRPr="00BB4E9F">
        <w:t>protect</w:t>
      </w:r>
      <w:r w:rsidR="007B7640" w:rsidRPr="00BB4E9F">
        <w:t xml:space="preserve"> </w:t>
      </w:r>
      <w:r w:rsidRPr="00BB4E9F">
        <w:t>children,</w:t>
      </w:r>
      <w:r w:rsidR="007B7640" w:rsidRPr="00BB4E9F">
        <w:t xml:space="preserve"> </w:t>
      </w:r>
      <w:r w:rsidRPr="00BB4E9F">
        <w:t>women,</w:t>
      </w:r>
      <w:r w:rsidR="007B7640" w:rsidRPr="00BB4E9F">
        <w:t xml:space="preserve"> </w:t>
      </w:r>
      <w:r w:rsidRPr="00BB4E9F">
        <w:t>the</w:t>
      </w:r>
      <w:r w:rsidR="007B7640" w:rsidRPr="00BB4E9F">
        <w:t xml:space="preserve"> </w:t>
      </w:r>
      <w:r w:rsidRPr="00BB4E9F">
        <w:t>elderly,</w:t>
      </w:r>
      <w:r w:rsidR="007B7640" w:rsidRPr="00BB4E9F">
        <w:t xml:space="preserve"> </w:t>
      </w:r>
      <w:r w:rsidRPr="00BB4E9F">
        <w:t>and</w:t>
      </w:r>
      <w:r w:rsidR="007B7640" w:rsidRPr="00BB4E9F">
        <w:t xml:space="preserve"> </w:t>
      </w:r>
      <w:r w:rsidRPr="00BB4E9F">
        <w:t>persons</w:t>
      </w:r>
      <w:r w:rsidR="007B7640" w:rsidRPr="00BB4E9F">
        <w:t xml:space="preserve"> </w:t>
      </w:r>
      <w:r w:rsidRPr="00BB4E9F">
        <w:t>with</w:t>
      </w:r>
      <w:r w:rsidR="007B7640" w:rsidRPr="00BB4E9F">
        <w:t xml:space="preserve"> </w:t>
      </w:r>
      <w:r w:rsidRPr="00BB4E9F">
        <w:t>disabilities.</w:t>
      </w:r>
    </w:p>
    <w:p w14:paraId="7B2E1245" w14:textId="77777777" w:rsidR="00087D37" w:rsidRPr="00CD59CC" w:rsidRDefault="00087D37" w:rsidP="00CD59CC">
      <w:pPr>
        <w:rPr>
          <w:rFonts w:ascii="Arial" w:hAnsi="Arial" w:cs="Arial"/>
        </w:rPr>
      </w:pPr>
    </w:p>
    <w:p w14:paraId="317FD32F" w14:textId="77777777" w:rsidR="00087D37" w:rsidRPr="00CD59CC" w:rsidRDefault="00087D37" w:rsidP="00CD59CC">
      <w:pPr>
        <w:rPr>
          <w:rFonts w:ascii="Arial" w:hAnsi="Arial" w:cs="Arial"/>
        </w:rPr>
      </w:pPr>
      <w:r w:rsidRPr="00CD59CC">
        <w:rPr>
          <w:rFonts w:ascii="Arial" w:hAnsi="Arial" w:cs="Arial"/>
        </w:rPr>
        <w:t>Hungary</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came</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force</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January</w:t>
      </w:r>
      <w:r w:rsidR="007B7640" w:rsidRPr="00CD59CC">
        <w:rPr>
          <w:rFonts w:ascii="Arial" w:hAnsi="Arial" w:cs="Arial"/>
        </w:rPr>
        <w:t xml:space="preserve"> </w:t>
      </w:r>
      <w:r w:rsidRPr="00CD59CC">
        <w:rPr>
          <w:rFonts w:ascii="Arial" w:hAnsi="Arial" w:cs="Arial"/>
        </w:rPr>
        <w:t>2012.</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standards</w:t>
      </w:r>
      <w:r w:rsidR="007B7640" w:rsidRPr="00CD59CC">
        <w:rPr>
          <w:rFonts w:ascii="Arial" w:hAnsi="Arial" w:cs="Arial"/>
        </w:rPr>
        <w:t xml:space="preserve"> </w:t>
      </w:r>
      <w:r w:rsidRPr="00CD59CC">
        <w:rPr>
          <w:rFonts w:ascii="Arial" w:hAnsi="Arial" w:cs="Arial"/>
        </w:rPr>
        <w:t>developed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Old</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XX</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1949</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Republic</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w:t>
      </w:r>
      <w:r w:rsidR="00450F36" w:rsidRPr="00CD59CC">
        <w:rPr>
          <w:rFonts w:ascii="Arial" w:hAnsi="Arial" w:cs="Arial"/>
        </w:rPr>
        <w:t>onst</w:t>
      </w:r>
      <w:r w:rsidRPr="00CD59CC">
        <w:rPr>
          <w:rFonts w:ascii="Arial" w:hAnsi="Arial" w:cs="Arial"/>
        </w:rPr>
        <w:t>itutional</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(CC)</w:t>
      </w:r>
      <w:r w:rsidR="007B7640" w:rsidRPr="00CD59CC">
        <w:rPr>
          <w:rFonts w:ascii="Arial" w:hAnsi="Arial" w:cs="Arial"/>
        </w:rPr>
        <w:t xml:space="preserve"> </w:t>
      </w:r>
      <w:r w:rsidRPr="00CD59CC">
        <w:rPr>
          <w:rFonts w:ascii="Arial" w:hAnsi="Arial" w:cs="Arial"/>
        </w:rPr>
        <w:t>stated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22/2012.</w:t>
      </w:r>
      <w:r w:rsidR="007B7640" w:rsidRPr="00CD59CC">
        <w:rPr>
          <w:rFonts w:ascii="Arial" w:hAnsi="Arial" w:cs="Arial"/>
        </w:rPr>
        <w:t xml:space="preserve"> </w:t>
      </w:r>
      <w:r w:rsidRPr="00CD59CC">
        <w:rPr>
          <w:rFonts w:ascii="Arial" w:hAnsi="Arial" w:cs="Arial"/>
        </w:rPr>
        <w:t>(V.</w:t>
      </w:r>
      <w:r w:rsidR="007B7640" w:rsidRPr="00CD59CC">
        <w:rPr>
          <w:rFonts w:ascii="Arial" w:hAnsi="Arial" w:cs="Arial"/>
        </w:rPr>
        <w:t xml:space="preserve"> </w:t>
      </w:r>
      <w:r w:rsidRPr="00CD59CC">
        <w:rPr>
          <w:rFonts w:ascii="Arial" w:hAnsi="Arial" w:cs="Arial"/>
        </w:rPr>
        <w:t>11.):</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CC</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arguments</w:t>
      </w:r>
      <w:r w:rsidR="007B7640" w:rsidRPr="00CD59CC">
        <w:rPr>
          <w:rFonts w:ascii="Arial" w:hAnsi="Arial" w:cs="Arial"/>
        </w:rPr>
        <w:t xml:space="preserve"> </w:t>
      </w:r>
      <w:r w:rsidRPr="00CD59CC">
        <w:rPr>
          <w:rFonts w:ascii="Arial" w:hAnsi="Arial" w:cs="Arial"/>
        </w:rPr>
        <w:t>included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previous</w:t>
      </w:r>
      <w:r w:rsidR="007B7640" w:rsidRPr="00CD59CC">
        <w:rPr>
          <w:rFonts w:ascii="Arial" w:hAnsi="Arial" w:cs="Arial"/>
        </w:rPr>
        <w:t xml:space="preserve"> </w:t>
      </w:r>
      <w:r w:rsidRPr="00CD59CC">
        <w:rPr>
          <w:rFonts w:ascii="Arial" w:hAnsi="Arial" w:cs="Arial"/>
        </w:rPr>
        <w:t>decisions</w:t>
      </w:r>
      <w:r w:rsidR="007B7640" w:rsidRPr="00CD59CC">
        <w:rPr>
          <w:rFonts w:ascii="Arial" w:hAnsi="Arial" w:cs="Arial"/>
        </w:rPr>
        <w:t xml:space="preserve"> </w:t>
      </w:r>
      <w:r w:rsidRPr="00CD59CC">
        <w:rPr>
          <w:rFonts w:ascii="Arial" w:hAnsi="Arial" w:cs="Arial"/>
        </w:rPr>
        <w:t>adopted</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came</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force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concrete</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interpretation</w:t>
      </w:r>
      <w:r w:rsidR="007B7640" w:rsidRPr="00CD59CC">
        <w:rPr>
          <w:rFonts w:ascii="Arial" w:hAnsi="Arial" w:cs="Arial"/>
        </w:rPr>
        <w:t xml:space="preserve"> </w:t>
      </w:r>
      <w:r w:rsidRPr="00CD59CC">
        <w:rPr>
          <w:rFonts w:ascii="Arial" w:hAnsi="Arial" w:cs="Arial"/>
        </w:rPr>
        <w:t>rules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conclusions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CC</w:t>
      </w:r>
      <w:r w:rsidR="007B7640" w:rsidRPr="00CD59CC">
        <w:rPr>
          <w:rFonts w:ascii="Arial" w:hAnsi="Arial" w:cs="Arial"/>
        </w:rPr>
        <w:t xml:space="preserve"> </w:t>
      </w:r>
      <w:r w:rsidRPr="00CD59CC">
        <w:rPr>
          <w:rFonts w:ascii="Arial" w:hAnsi="Arial" w:cs="Arial"/>
        </w:rPr>
        <w:t>pertaining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basic</w:t>
      </w:r>
      <w:r w:rsidR="007B7640" w:rsidRPr="00CD59CC">
        <w:rPr>
          <w:rFonts w:ascii="Arial" w:hAnsi="Arial" w:cs="Arial"/>
        </w:rPr>
        <w:t xml:space="preserve"> </w:t>
      </w:r>
      <w:r w:rsidRPr="00CD59CC">
        <w:rPr>
          <w:rFonts w:ascii="Arial" w:hAnsi="Arial" w:cs="Arial"/>
        </w:rPr>
        <w:t>values,</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freedoms,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institutions,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altered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remain</w:t>
      </w:r>
      <w:r w:rsidR="007B7640" w:rsidRPr="00CD59CC">
        <w:rPr>
          <w:rFonts w:ascii="Arial" w:hAnsi="Arial" w:cs="Arial"/>
        </w:rPr>
        <w:t xml:space="preserve"> </w:t>
      </w:r>
      <w:r w:rsidRPr="00CD59CC">
        <w:rPr>
          <w:rFonts w:ascii="Arial" w:hAnsi="Arial" w:cs="Arial"/>
        </w:rPr>
        <w:t>valid.</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comparison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regulation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similar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considerable</w:t>
      </w:r>
      <w:r w:rsidR="007B7640" w:rsidRPr="00CD59CC">
        <w:rPr>
          <w:rFonts w:ascii="Arial" w:hAnsi="Arial" w:cs="Arial"/>
        </w:rPr>
        <w:t xml:space="preserve"> </w:t>
      </w:r>
      <w:r w:rsidRPr="00CD59CC">
        <w:rPr>
          <w:rFonts w:ascii="Arial" w:hAnsi="Arial" w:cs="Arial"/>
        </w:rPr>
        <w:t>extent,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content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over.”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line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CC</w:t>
      </w:r>
      <w:r w:rsidR="007B7640" w:rsidRPr="00CD59CC">
        <w:rPr>
          <w:rFonts w:ascii="Arial" w:hAnsi="Arial" w:cs="Arial"/>
        </w:rPr>
        <w:t xml:space="preserve"> </w:t>
      </w:r>
      <w:r w:rsidRPr="00CD59CC">
        <w:rPr>
          <w:rFonts w:ascii="Arial" w:hAnsi="Arial" w:cs="Arial"/>
        </w:rPr>
        <w:t>routinely</w:t>
      </w:r>
      <w:r w:rsidR="007B7640" w:rsidRPr="00CD59CC">
        <w:rPr>
          <w:rFonts w:ascii="Arial" w:hAnsi="Arial" w:cs="Arial"/>
        </w:rPr>
        <w:t xml:space="preserve"> </w:t>
      </w:r>
      <w:r w:rsidRPr="00CD59CC">
        <w:rPr>
          <w:rFonts w:ascii="Arial" w:hAnsi="Arial" w:cs="Arial"/>
        </w:rPr>
        <w:t>relied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previous</w:t>
      </w:r>
      <w:r w:rsidR="007B7640" w:rsidRPr="00CD59CC">
        <w:rPr>
          <w:rFonts w:ascii="Arial" w:hAnsi="Arial" w:cs="Arial"/>
        </w:rPr>
        <w:t xml:space="preserve"> </w:t>
      </w:r>
      <w:r w:rsidRPr="00CD59CC">
        <w:rPr>
          <w:rFonts w:ascii="Arial" w:hAnsi="Arial" w:cs="Arial"/>
        </w:rPr>
        <w:t>jurisprudence</w:t>
      </w:r>
      <w:r w:rsidR="007B7640" w:rsidRPr="00CD59CC">
        <w:rPr>
          <w:rFonts w:ascii="Arial" w:hAnsi="Arial" w:cs="Arial"/>
        </w:rPr>
        <w:t xml:space="preserve"> </w:t>
      </w:r>
      <w:r w:rsidRPr="00CD59CC">
        <w:rPr>
          <w:rFonts w:ascii="Arial" w:hAnsi="Arial" w:cs="Arial"/>
        </w:rPr>
        <w:t>developed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Old</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adjudicating</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brought</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p>
    <w:p w14:paraId="0FD57E21" w14:textId="77777777" w:rsidR="00087D37" w:rsidRPr="00CD59CC" w:rsidRDefault="00087D37" w:rsidP="00CD59CC">
      <w:pPr>
        <w:rPr>
          <w:rFonts w:ascii="Arial" w:hAnsi="Arial" w:cs="Arial"/>
        </w:rPr>
      </w:pPr>
    </w:p>
    <w:p w14:paraId="0C54797B" w14:textId="21EDF85B" w:rsidR="0075319E" w:rsidRPr="00CD59CC" w:rsidRDefault="0075319E" w:rsidP="00CD59CC">
      <w:pPr>
        <w:rPr>
          <w:rFonts w:ascii="Arial" w:hAnsi="Arial" w:cs="Arial"/>
        </w:rPr>
      </w:pPr>
      <w:r w:rsidRPr="00CD59CC">
        <w:rPr>
          <w:rFonts w:ascii="Arial" w:hAnsi="Arial" w:cs="Arial"/>
        </w:rPr>
        <w:t>T</w:t>
      </w:r>
      <w:r w:rsidR="00087D37" w:rsidRPr="00CD59CC">
        <w:rPr>
          <w:rFonts w:ascii="Arial" w:hAnsi="Arial" w:cs="Arial"/>
        </w:rPr>
        <w:t>he</w:t>
      </w:r>
      <w:r w:rsidR="007B7640" w:rsidRPr="00CD59CC">
        <w:rPr>
          <w:rFonts w:ascii="Arial" w:hAnsi="Arial" w:cs="Arial"/>
        </w:rPr>
        <w:t xml:space="preserve"> </w:t>
      </w:r>
      <w:r w:rsidR="00087D37" w:rsidRPr="00CD59CC">
        <w:rPr>
          <w:rFonts w:ascii="Arial" w:hAnsi="Arial" w:cs="Arial"/>
        </w:rPr>
        <w:t>Fourth</w:t>
      </w:r>
      <w:r w:rsidR="007B7640" w:rsidRPr="00CD59CC">
        <w:rPr>
          <w:rFonts w:ascii="Arial" w:hAnsi="Arial" w:cs="Arial"/>
        </w:rPr>
        <w:t xml:space="preserve"> </w:t>
      </w:r>
      <w:r w:rsidR="00087D37" w:rsidRPr="00CD59CC">
        <w:rPr>
          <w:rFonts w:ascii="Arial" w:hAnsi="Arial" w:cs="Arial"/>
        </w:rPr>
        <w:t>Amendment</w:t>
      </w:r>
      <w:r w:rsidR="007B7640" w:rsidRPr="00CD59CC">
        <w:rPr>
          <w:rFonts w:ascii="Arial" w:hAnsi="Arial" w:cs="Arial"/>
        </w:rPr>
        <w:t xml:space="preserve"> </w:t>
      </w:r>
      <w:r w:rsidR="00087D37" w:rsidRPr="00CD59CC">
        <w:rPr>
          <w:rFonts w:ascii="Arial" w:hAnsi="Arial" w:cs="Arial"/>
        </w:rPr>
        <w:t>of</w:t>
      </w:r>
      <w:r w:rsidR="007B7640" w:rsidRPr="00CD59CC">
        <w:rPr>
          <w:rFonts w:ascii="Arial" w:hAnsi="Arial" w:cs="Arial"/>
        </w:rPr>
        <w:t xml:space="preserve"> </w:t>
      </w:r>
      <w:r w:rsidR="00087D37" w:rsidRPr="00CD59CC">
        <w:rPr>
          <w:rFonts w:ascii="Arial" w:hAnsi="Arial" w:cs="Arial"/>
        </w:rPr>
        <w:t>the</w:t>
      </w:r>
      <w:r w:rsidR="007B7640" w:rsidRPr="00CD59CC">
        <w:rPr>
          <w:rFonts w:ascii="Arial" w:hAnsi="Arial" w:cs="Arial"/>
        </w:rPr>
        <w:t xml:space="preserve"> </w:t>
      </w:r>
      <w:r w:rsidR="00087D37" w:rsidRPr="00CD59CC">
        <w:rPr>
          <w:rFonts w:ascii="Arial" w:hAnsi="Arial" w:cs="Arial"/>
        </w:rPr>
        <w:t>Fundamental</w:t>
      </w:r>
      <w:r w:rsidR="007B7640" w:rsidRPr="00CD59CC">
        <w:rPr>
          <w:rFonts w:ascii="Arial" w:hAnsi="Arial" w:cs="Arial"/>
        </w:rPr>
        <w:t xml:space="preserve"> </w:t>
      </w:r>
      <w:r w:rsidR="00087D37" w:rsidRPr="00CD59CC">
        <w:rPr>
          <w:rFonts w:ascii="Arial" w:hAnsi="Arial" w:cs="Arial"/>
        </w:rPr>
        <w:t>Law</w:t>
      </w:r>
      <w:r w:rsidR="007B7640" w:rsidRPr="00CD59CC">
        <w:rPr>
          <w:rFonts w:ascii="Arial" w:hAnsi="Arial" w:cs="Arial"/>
        </w:rPr>
        <w:t xml:space="preserve"> </w:t>
      </w:r>
      <w:r w:rsidR="00087D37" w:rsidRPr="00CD59CC">
        <w:rPr>
          <w:rFonts w:ascii="Arial" w:hAnsi="Arial" w:cs="Arial"/>
        </w:rPr>
        <w:t>(adopted</w:t>
      </w:r>
      <w:r w:rsidR="007B7640" w:rsidRPr="00CD59CC">
        <w:rPr>
          <w:rFonts w:ascii="Arial" w:hAnsi="Arial" w:cs="Arial"/>
        </w:rPr>
        <w:t xml:space="preserve"> </w:t>
      </w:r>
      <w:r w:rsidR="00087D37" w:rsidRPr="00CD59CC">
        <w:rPr>
          <w:rFonts w:ascii="Arial" w:hAnsi="Arial" w:cs="Arial"/>
        </w:rPr>
        <w:t>in</w:t>
      </w:r>
      <w:r w:rsidR="007B7640" w:rsidRPr="00CD59CC">
        <w:rPr>
          <w:rFonts w:ascii="Arial" w:hAnsi="Arial" w:cs="Arial"/>
        </w:rPr>
        <w:t xml:space="preserve"> </w:t>
      </w:r>
      <w:r w:rsidR="00087D37" w:rsidRPr="00CD59CC">
        <w:rPr>
          <w:rFonts w:ascii="Arial" w:hAnsi="Arial" w:cs="Arial"/>
        </w:rPr>
        <w:t>March</w:t>
      </w:r>
      <w:r w:rsidR="007B7640" w:rsidRPr="00CD59CC">
        <w:rPr>
          <w:rFonts w:ascii="Arial" w:hAnsi="Arial" w:cs="Arial"/>
        </w:rPr>
        <w:t xml:space="preserve"> </w:t>
      </w:r>
      <w:r w:rsidR="00087D37" w:rsidRPr="00CD59CC">
        <w:rPr>
          <w:rFonts w:ascii="Arial" w:hAnsi="Arial" w:cs="Arial"/>
        </w:rPr>
        <w:t>2013)</w:t>
      </w:r>
      <w:r w:rsidR="007B7640" w:rsidRPr="00CD59CC">
        <w:rPr>
          <w:rFonts w:ascii="Arial" w:hAnsi="Arial" w:cs="Arial"/>
        </w:rPr>
        <w:t xml:space="preserve"> </w:t>
      </w:r>
      <w:r w:rsidR="00087D37" w:rsidRPr="00CD59CC">
        <w:rPr>
          <w:rFonts w:ascii="Arial" w:hAnsi="Arial" w:cs="Arial"/>
        </w:rPr>
        <w:t>proclaims</w:t>
      </w:r>
      <w:r w:rsidR="007B7640" w:rsidRPr="00CD59CC">
        <w:rPr>
          <w:rFonts w:ascii="Arial" w:hAnsi="Arial" w:cs="Arial"/>
        </w:rPr>
        <w:t xml:space="preserve"> </w:t>
      </w:r>
      <w:r w:rsidR="00087D37" w:rsidRPr="00CD59CC">
        <w:rPr>
          <w:rFonts w:ascii="Arial" w:hAnsi="Arial" w:cs="Arial"/>
        </w:rPr>
        <w:t>that</w:t>
      </w:r>
      <w:r w:rsidR="007B7640" w:rsidRPr="00CD59CC">
        <w:rPr>
          <w:rFonts w:ascii="Arial" w:hAnsi="Arial" w:cs="Arial"/>
        </w:rPr>
        <w:t xml:space="preserve"> </w:t>
      </w:r>
      <w:r w:rsidR="00087D37" w:rsidRPr="00CD59CC">
        <w:rPr>
          <w:rFonts w:ascii="Arial" w:hAnsi="Arial" w:cs="Arial"/>
        </w:rPr>
        <w:t>those</w:t>
      </w:r>
      <w:r w:rsidR="007B7640" w:rsidRPr="00CD59CC">
        <w:rPr>
          <w:rFonts w:ascii="Arial" w:hAnsi="Arial" w:cs="Arial"/>
        </w:rPr>
        <w:t xml:space="preserve"> </w:t>
      </w:r>
      <w:r w:rsidR="00087D37" w:rsidRPr="00CD59CC">
        <w:rPr>
          <w:rFonts w:ascii="Arial" w:hAnsi="Arial" w:cs="Arial"/>
        </w:rPr>
        <w:t>decisions</w:t>
      </w:r>
      <w:r w:rsidR="007B7640" w:rsidRPr="00CD59CC">
        <w:rPr>
          <w:rFonts w:ascii="Arial" w:hAnsi="Arial" w:cs="Arial"/>
        </w:rPr>
        <w:t xml:space="preserve"> </w:t>
      </w:r>
      <w:r w:rsidR="00087D37" w:rsidRPr="00CD59CC">
        <w:rPr>
          <w:rFonts w:ascii="Arial" w:hAnsi="Arial" w:cs="Arial"/>
        </w:rPr>
        <w:t>of</w:t>
      </w:r>
      <w:r w:rsidR="007B7640" w:rsidRPr="00CD59CC">
        <w:rPr>
          <w:rFonts w:ascii="Arial" w:hAnsi="Arial" w:cs="Arial"/>
        </w:rPr>
        <w:t xml:space="preserve"> </w:t>
      </w:r>
      <w:r w:rsidR="00087D37" w:rsidRPr="00CD59CC">
        <w:rPr>
          <w:rFonts w:ascii="Arial" w:hAnsi="Arial" w:cs="Arial"/>
        </w:rPr>
        <w:t>the</w:t>
      </w:r>
      <w:r w:rsidR="007B7640" w:rsidRPr="00CD59CC">
        <w:rPr>
          <w:rFonts w:ascii="Arial" w:hAnsi="Arial" w:cs="Arial"/>
        </w:rPr>
        <w:t xml:space="preserve"> </w:t>
      </w:r>
      <w:r w:rsidR="00087D37" w:rsidRPr="00CD59CC">
        <w:rPr>
          <w:rFonts w:ascii="Arial" w:hAnsi="Arial" w:cs="Arial"/>
        </w:rPr>
        <w:t>CC</w:t>
      </w:r>
      <w:r w:rsidR="007B7640" w:rsidRPr="00CD59CC">
        <w:rPr>
          <w:rFonts w:ascii="Arial" w:hAnsi="Arial" w:cs="Arial"/>
        </w:rPr>
        <w:t xml:space="preserve"> </w:t>
      </w:r>
      <w:r w:rsidR="00087D37" w:rsidRPr="00CD59CC">
        <w:rPr>
          <w:rFonts w:ascii="Arial" w:hAnsi="Arial" w:cs="Arial"/>
        </w:rPr>
        <w:t>which</w:t>
      </w:r>
      <w:r w:rsidR="007B7640" w:rsidRPr="00CD59CC">
        <w:rPr>
          <w:rFonts w:ascii="Arial" w:hAnsi="Arial" w:cs="Arial"/>
        </w:rPr>
        <w:t xml:space="preserve"> </w:t>
      </w:r>
      <w:r w:rsidR="00087D37" w:rsidRPr="00CD59CC">
        <w:rPr>
          <w:rFonts w:ascii="Arial" w:hAnsi="Arial" w:cs="Arial"/>
        </w:rPr>
        <w:t>were</w:t>
      </w:r>
      <w:r w:rsidR="007B7640" w:rsidRPr="00CD59CC">
        <w:rPr>
          <w:rFonts w:ascii="Arial" w:hAnsi="Arial" w:cs="Arial"/>
        </w:rPr>
        <w:t xml:space="preserve"> </w:t>
      </w:r>
      <w:r w:rsidR="00087D37" w:rsidRPr="00CD59CC">
        <w:rPr>
          <w:rFonts w:ascii="Arial" w:hAnsi="Arial" w:cs="Arial"/>
        </w:rPr>
        <w:t>delivered</w:t>
      </w:r>
      <w:r w:rsidR="007B7640" w:rsidRPr="00CD59CC">
        <w:rPr>
          <w:rFonts w:ascii="Arial" w:hAnsi="Arial" w:cs="Arial"/>
        </w:rPr>
        <w:t xml:space="preserve"> </w:t>
      </w:r>
      <w:r w:rsidR="00087D37" w:rsidRPr="00CD59CC">
        <w:rPr>
          <w:rFonts w:ascii="Arial" w:hAnsi="Arial" w:cs="Arial"/>
        </w:rPr>
        <w:t>before</w:t>
      </w:r>
      <w:r w:rsidR="007B7640" w:rsidRPr="00CD59CC">
        <w:rPr>
          <w:rFonts w:ascii="Arial" w:hAnsi="Arial" w:cs="Arial"/>
        </w:rPr>
        <w:t xml:space="preserve"> </w:t>
      </w:r>
      <w:r w:rsidR="00087D37" w:rsidRPr="00CD59CC">
        <w:rPr>
          <w:rFonts w:ascii="Arial" w:hAnsi="Arial" w:cs="Arial"/>
        </w:rPr>
        <w:t>the</w:t>
      </w:r>
      <w:r w:rsidR="007B7640" w:rsidRPr="00CD59CC">
        <w:rPr>
          <w:rFonts w:ascii="Arial" w:hAnsi="Arial" w:cs="Arial"/>
        </w:rPr>
        <w:t xml:space="preserve"> </w:t>
      </w:r>
      <w:r w:rsidR="00087D37" w:rsidRPr="00CD59CC">
        <w:rPr>
          <w:rFonts w:ascii="Arial" w:hAnsi="Arial" w:cs="Arial"/>
        </w:rPr>
        <w:t>coming</w:t>
      </w:r>
      <w:r w:rsidR="007B7640" w:rsidRPr="00CD59CC">
        <w:rPr>
          <w:rFonts w:ascii="Arial" w:hAnsi="Arial" w:cs="Arial"/>
        </w:rPr>
        <w:t xml:space="preserve"> </w:t>
      </w:r>
      <w:r w:rsidR="00087D37" w:rsidRPr="00CD59CC">
        <w:rPr>
          <w:rFonts w:ascii="Arial" w:hAnsi="Arial" w:cs="Arial"/>
        </w:rPr>
        <w:t>into</w:t>
      </w:r>
      <w:r w:rsidR="007B7640" w:rsidRPr="00CD59CC">
        <w:rPr>
          <w:rFonts w:ascii="Arial" w:hAnsi="Arial" w:cs="Arial"/>
        </w:rPr>
        <w:t xml:space="preserve"> </w:t>
      </w:r>
      <w:r w:rsidR="00087D37" w:rsidRPr="00CD59CC">
        <w:rPr>
          <w:rFonts w:ascii="Arial" w:hAnsi="Arial" w:cs="Arial"/>
        </w:rPr>
        <w:t>force</w:t>
      </w:r>
      <w:r w:rsidR="007B7640" w:rsidRPr="00CD59CC">
        <w:rPr>
          <w:rFonts w:ascii="Arial" w:hAnsi="Arial" w:cs="Arial"/>
        </w:rPr>
        <w:t xml:space="preserve"> </w:t>
      </w:r>
      <w:r w:rsidR="00087D37" w:rsidRPr="00CD59CC">
        <w:rPr>
          <w:rFonts w:ascii="Arial" w:hAnsi="Arial" w:cs="Arial"/>
        </w:rPr>
        <w:t>of</w:t>
      </w:r>
      <w:r w:rsidR="007B7640" w:rsidRPr="00CD59CC">
        <w:rPr>
          <w:rFonts w:ascii="Arial" w:hAnsi="Arial" w:cs="Arial"/>
        </w:rPr>
        <w:t xml:space="preserve"> </w:t>
      </w:r>
      <w:r w:rsidR="00087D37" w:rsidRPr="00CD59CC">
        <w:rPr>
          <w:rFonts w:ascii="Arial" w:hAnsi="Arial" w:cs="Arial"/>
        </w:rPr>
        <w:t>the</w:t>
      </w:r>
      <w:r w:rsidR="007B7640" w:rsidRPr="00CD59CC">
        <w:rPr>
          <w:rFonts w:ascii="Arial" w:hAnsi="Arial" w:cs="Arial"/>
        </w:rPr>
        <w:t xml:space="preserve"> </w:t>
      </w:r>
      <w:r w:rsidR="00087D37" w:rsidRPr="00CD59CC">
        <w:rPr>
          <w:rFonts w:ascii="Arial" w:hAnsi="Arial" w:cs="Arial"/>
        </w:rPr>
        <w:t>Fundamental</w:t>
      </w:r>
      <w:r w:rsidR="007B7640" w:rsidRPr="00CD59CC">
        <w:rPr>
          <w:rFonts w:ascii="Arial" w:hAnsi="Arial" w:cs="Arial"/>
        </w:rPr>
        <w:t xml:space="preserve"> </w:t>
      </w:r>
      <w:r w:rsidR="00087D37" w:rsidRPr="00CD59CC">
        <w:rPr>
          <w:rFonts w:ascii="Arial" w:hAnsi="Arial" w:cs="Arial"/>
        </w:rPr>
        <w:t>Law</w:t>
      </w:r>
      <w:r w:rsidR="007B7640" w:rsidRPr="00CD59CC">
        <w:rPr>
          <w:rFonts w:ascii="Arial" w:hAnsi="Arial" w:cs="Arial"/>
        </w:rPr>
        <w:t xml:space="preserve"> </w:t>
      </w:r>
      <w:r w:rsidR="00087D37" w:rsidRPr="00CD59CC">
        <w:rPr>
          <w:rFonts w:ascii="Arial" w:hAnsi="Arial" w:cs="Arial"/>
        </w:rPr>
        <w:t>“lose</w:t>
      </w:r>
      <w:r w:rsidR="007B7640" w:rsidRPr="00CD59CC">
        <w:rPr>
          <w:rFonts w:ascii="Arial" w:hAnsi="Arial" w:cs="Arial"/>
        </w:rPr>
        <w:t xml:space="preserve"> </w:t>
      </w:r>
      <w:r w:rsidR="00087D37" w:rsidRPr="00CD59CC">
        <w:rPr>
          <w:rFonts w:ascii="Arial" w:hAnsi="Arial" w:cs="Arial"/>
        </w:rPr>
        <w:t>their</w:t>
      </w:r>
      <w:r w:rsidR="007B7640" w:rsidRPr="00CD59CC">
        <w:rPr>
          <w:rFonts w:ascii="Arial" w:hAnsi="Arial" w:cs="Arial"/>
        </w:rPr>
        <w:t xml:space="preserve"> </w:t>
      </w:r>
      <w:r w:rsidR="00087D37" w:rsidRPr="00CD59CC">
        <w:rPr>
          <w:rFonts w:ascii="Arial" w:hAnsi="Arial" w:cs="Arial"/>
        </w:rPr>
        <w:t>effect”.</w:t>
      </w:r>
      <w:r w:rsidR="007B7640" w:rsidRPr="00CD59CC">
        <w:rPr>
          <w:rFonts w:ascii="Arial" w:hAnsi="Arial" w:cs="Arial"/>
        </w:rPr>
        <w:t xml:space="preserve"> </w:t>
      </w:r>
      <w:r w:rsidR="00087D37" w:rsidRPr="00CD59CC">
        <w:rPr>
          <w:rFonts w:ascii="Arial" w:hAnsi="Arial" w:cs="Arial"/>
        </w:rPr>
        <w:t>It</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somewhat</w:t>
      </w:r>
      <w:r w:rsidR="007B7640" w:rsidRPr="00CD59CC">
        <w:rPr>
          <w:rFonts w:ascii="Arial" w:hAnsi="Arial" w:cs="Arial"/>
        </w:rPr>
        <w:t xml:space="preserve"> </w:t>
      </w:r>
      <w:r w:rsidR="00087D37" w:rsidRPr="00CD59CC">
        <w:rPr>
          <w:rFonts w:ascii="Arial" w:hAnsi="Arial" w:cs="Arial"/>
        </w:rPr>
        <w:t>unclear</w:t>
      </w:r>
      <w:r w:rsidR="007B7640" w:rsidRPr="00CD59CC">
        <w:rPr>
          <w:rFonts w:ascii="Arial" w:hAnsi="Arial" w:cs="Arial"/>
        </w:rPr>
        <w:t xml:space="preserve"> </w:t>
      </w:r>
      <w:r w:rsidR="00087D37" w:rsidRPr="00CD59CC">
        <w:rPr>
          <w:rFonts w:ascii="Arial" w:hAnsi="Arial" w:cs="Arial"/>
        </w:rPr>
        <w:t>and</w:t>
      </w:r>
      <w:r w:rsidR="007B7640" w:rsidRPr="00CD59CC">
        <w:rPr>
          <w:rFonts w:ascii="Arial" w:hAnsi="Arial" w:cs="Arial"/>
        </w:rPr>
        <w:t xml:space="preserve"> </w:t>
      </w:r>
      <w:r w:rsidR="00087D37" w:rsidRPr="00CD59CC">
        <w:rPr>
          <w:rFonts w:ascii="Arial" w:hAnsi="Arial" w:cs="Arial"/>
        </w:rPr>
        <w:t>therefore</w:t>
      </w:r>
      <w:r w:rsidR="007B7640" w:rsidRPr="00CD59CC">
        <w:rPr>
          <w:rFonts w:ascii="Arial" w:hAnsi="Arial" w:cs="Arial"/>
        </w:rPr>
        <w:t xml:space="preserve"> </w:t>
      </w:r>
      <w:r w:rsidR="00087D37" w:rsidRPr="00CD59CC">
        <w:rPr>
          <w:rFonts w:ascii="Arial" w:hAnsi="Arial" w:cs="Arial"/>
        </w:rPr>
        <w:t>debated</w:t>
      </w:r>
      <w:r w:rsidR="007B7640" w:rsidRPr="00CD59CC">
        <w:rPr>
          <w:rFonts w:ascii="Arial" w:hAnsi="Arial" w:cs="Arial"/>
        </w:rPr>
        <w:t xml:space="preserve"> </w:t>
      </w:r>
      <w:r w:rsidR="00087D37" w:rsidRPr="00CD59CC">
        <w:rPr>
          <w:rFonts w:ascii="Arial" w:hAnsi="Arial" w:cs="Arial"/>
        </w:rPr>
        <w:t>at</w:t>
      </w:r>
      <w:r w:rsidR="007B7640" w:rsidRPr="00CD59CC">
        <w:rPr>
          <w:rFonts w:ascii="Arial" w:hAnsi="Arial" w:cs="Arial"/>
        </w:rPr>
        <w:t xml:space="preserve"> </w:t>
      </w:r>
      <w:r w:rsidR="00087D37" w:rsidRPr="00CD59CC">
        <w:rPr>
          <w:rFonts w:ascii="Arial" w:hAnsi="Arial" w:cs="Arial"/>
        </w:rPr>
        <w:t>length</w:t>
      </w:r>
      <w:r w:rsidR="007B7640" w:rsidRPr="00CD59CC">
        <w:rPr>
          <w:rFonts w:ascii="Arial" w:hAnsi="Arial" w:cs="Arial"/>
        </w:rPr>
        <w:t xml:space="preserve"> </w:t>
      </w:r>
      <w:r w:rsidR="00087D37" w:rsidRPr="00CD59CC">
        <w:rPr>
          <w:rFonts w:ascii="Arial" w:hAnsi="Arial" w:cs="Arial"/>
        </w:rPr>
        <w:t>by</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00087D37" w:rsidRPr="00CD59CC">
        <w:rPr>
          <w:rFonts w:ascii="Arial" w:hAnsi="Arial" w:cs="Arial"/>
        </w:rPr>
        <w:t>professionals</w:t>
      </w:r>
      <w:r w:rsidR="007B7640" w:rsidRPr="00CD59CC">
        <w:rPr>
          <w:rFonts w:ascii="Arial" w:hAnsi="Arial" w:cs="Arial"/>
        </w:rPr>
        <w:t xml:space="preserve"> </w:t>
      </w:r>
      <w:r w:rsidR="00087D37" w:rsidRPr="00CD59CC">
        <w:rPr>
          <w:rFonts w:ascii="Arial" w:hAnsi="Arial" w:cs="Arial"/>
        </w:rPr>
        <w:t>what</w:t>
      </w:r>
      <w:r w:rsidR="007B7640" w:rsidRPr="00CD59CC">
        <w:rPr>
          <w:rFonts w:ascii="Arial" w:hAnsi="Arial" w:cs="Arial"/>
        </w:rPr>
        <w:t xml:space="preserve"> </w:t>
      </w:r>
      <w:r w:rsidR="00087D37" w:rsidRPr="00CD59CC">
        <w:rPr>
          <w:rFonts w:ascii="Arial" w:hAnsi="Arial" w:cs="Arial"/>
        </w:rPr>
        <w:t>this</w:t>
      </w:r>
      <w:r w:rsidR="007B7640" w:rsidRPr="00CD59CC">
        <w:rPr>
          <w:rFonts w:ascii="Arial" w:hAnsi="Arial" w:cs="Arial"/>
        </w:rPr>
        <w:t xml:space="preserve"> </w:t>
      </w:r>
      <w:r w:rsidR="00087D37" w:rsidRPr="00CD59CC">
        <w:rPr>
          <w:rFonts w:ascii="Arial" w:hAnsi="Arial" w:cs="Arial"/>
        </w:rPr>
        <w:t>meant</w:t>
      </w:r>
      <w:r w:rsidR="007B7640" w:rsidRPr="00CD59CC">
        <w:rPr>
          <w:rFonts w:ascii="Arial" w:hAnsi="Arial" w:cs="Arial"/>
        </w:rPr>
        <w:t xml:space="preserve"> </w:t>
      </w:r>
      <w:r w:rsidR="00087D37" w:rsidRPr="00CD59CC">
        <w:rPr>
          <w:rFonts w:ascii="Arial" w:hAnsi="Arial" w:cs="Arial"/>
        </w:rPr>
        <w:t>in</w:t>
      </w:r>
      <w:r w:rsidR="007B7640" w:rsidRPr="00CD59CC">
        <w:rPr>
          <w:rFonts w:ascii="Arial" w:hAnsi="Arial" w:cs="Arial"/>
        </w:rPr>
        <w:t xml:space="preserve"> </w:t>
      </w:r>
      <w:r w:rsidR="00087D37" w:rsidRPr="00CD59CC">
        <w:rPr>
          <w:rFonts w:ascii="Arial" w:hAnsi="Arial" w:cs="Arial"/>
        </w:rPr>
        <w:t>terms</w:t>
      </w:r>
      <w:r w:rsidR="007B7640" w:rsidRPr="00CD59CC">
        <w:rPr>
          <w:rFonts w:ascii="Arial" w:hAnsi="Arial" w:cs="Arial"/>
        </w:rPr>
        <w:t xml:space="preserve"> </w:t>
      </w:r>
      <w:r w:rsidR="00087D37" w:rsidRPr="00CD59CC">
        <w:rPr>
          <w:rFonts w:ascii="Arial" w:hAnsi="Arial" w:cs="Arial"/>
        </w:rPr>
        <w:t>of</w:t>
      </w:r>
      <w:r w:rsidR="007B7640" w:rsidRPr="00CD59CC">
        <w:rPr>
          <w:rFonts w:ascii="Arial" w:hAnsi="Arial" w:cs="Arial"/>
        </w:rPr>
        <w:t xml:space="preserve"> </w:t>
      </w:r>
      <w:r w:rsidR="00087D37" w:rsidRPr="00CD59CC">
        <w:rPr>
          <w:rFonts w:ascii="Arial" w:hAnsi="Arial" w:cs="Arial"/>
        </w:rPr>
        <w:t>the</w:t>
      </w:r>
      <w:r w:rsidR="007B7640" w:rsidRPr="00CD59CC">
        <w:rPr>
          <w:rFonts w:ascii="Arial" w:hAnsi="Arial" w:cs="Arial"/>
        </w:rPr>
        <w:t xml:space="preserve"> </w:t>
      </w:r>
      <w:r w:rsidR="00087D37" w:rsidRPr="00CD59CC">
        <w:rPr>
          <w:rFonts w:ascii="Arial" w:hAnsi="Arial" w:cs="Arial"/>
        </w:rPr>
        <w:t>applicability</w:t>
      </w:r>
      <w:r w:rsidR="007B7640" w:rsidRPr="00CD59CC">
        <w:rPr>
          <w:rFonts w:ascii="Arial" w:hAnsi="Arial" w:cs="Arial"/>
        </w:rPr>
        <w:t xml:space="preserve"> </w:t>
      </w:r>
      <w:r w:rsidR="00087D37" w:rsidRPr="00CD59CC">
        <w:rPr>
          <w:rFonts w:ascii="Arial" w:hAnsi="Arial" w:cs="Arial"/>
        </w:rPr>
        <w:t>of</w:t>
      </w:r>
      <w:r w:rsidR="007B7640" w:rsidRPr="00CD59CC">
        <w:rPr>
          <w:rFonts w:ascii="Arial" w:hAnsi="Arial" w:cs="Arial"/>
        </w:rPr>
        <w:t xml:space="preserve"> </w:t>
      </w:r>
      <w:r w:rsidR="00087D37" w:rsidRPr="00CD59CC">
        <w:rPr>
          <w:rFonts w:ascii="Arial" w:hAnsi="Arial" w:cs="Arial"/>
        </w:rPr>
        <w:t>the</w:t>
      </w:r>
      <w:r w:rsidR="007B7640" w:rsidRPr="00CD59CC">
        <w:rPr>
          <w:rFonts w:ascii="Arial" w:hAnsi="Arial" w:cs="Arial"/>
        </w:rPr>
        <w:t xml:space="preserve"> </w:t>
      </w:r>
      <w:r w:rsidR="00087D37" w:rsidRPr="00CD59CC">
        <w:rPr>
          <w:rFonts w:ascii="Arial" w:hAnsi="Arial" w:cs="Arial"/>
        </w:rPr>
        <w:t>old</w:t>
      </w:r>
      <w:r w:rsidR="007B7640" w:rsidRPr="00CD59CC">
        <w:rPr>
          <w:rFonts w:ascii="Arial" w:hAnsi="Arial" w:cs="Arial"/>
        </w:rPr>
        <w:t xml:space="preserve"> </w:t>
      </w:r>
      <w:r w:rsidR="00087D37" w:rsidRPr="00CD59CC">
        <w:rPr>
          <w:rFonts w:ascii="Arial" w:hAnsi="Arial" w:cs="Arial"/>
        </w:rPr>
        <w:t>decisions,</w:t>
      </w:r>
      <w:r w:rsidR="007B7640" w:rsidRPr="00CD59CC">
        <w:rPr>
          <w:rFonts w:ascii="Arial" w:hAnsi="Arial" w:cs="Arial"/>
        </w:rPr>
        <w:t xml:space="preserve"> </w:t>
      </w:r>
      <w:r w:rsidR="00087D37" w:rsidRPr="00CD59CC">
        <w:rPr>
          <w:rFonts w:ascii="Arial" w:hAnsi="Arial" w:cs="Arial"/>
        </w:rPr>
        <w:t>but</w:t>
      </w:r>
      <w:r w:rsidR="007B7640" w:rsidRPr="00CD59CC">
        <w:rPr>
          <w:rFonts w:ascii="Arial" w:hAnsi="Arial" w:cs="Arial"/>
        </w:rPr>
        <w:t xml:space="preserve"> </w:t>
      </w:r>
      <w:r w:rsidR="00087D37" w:rsidRPr="00CD59CC">
        <w:rPr>
          <w:rFonts w:ascii="Arial" w:hAnsi="Arial" w:cs="Arial"/>
        </w:rPr>
        <w:t>ultimately</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13/2013.</w:t>
      </w:r>
      <w:r w:rsidR="007B7640" w:rsidRPr="00CD59CC">
        <w:rPr>
          <w:rFonts w:ascii="Arial" w:hAnsi="Arial" w:cs="Arial"/>
        </w:rPr>
        <w:t xml:space="preserve"> </w:t>
      </w:r>
      <w:r w:rsidRPr="00CD59CC">
        <w:rPr>
          <w:rFonts w:ascii="Arial" w:hAnsi="Arial" w:cs="Arial"/>
        </w:rPr>
        <w:t>(VI.</w:t>
      </w:r>
      <w:r w:rsidR="007B7640" w:rsidRPr="00CD59CC">
        <w:rPr>
          <w:rFonts w:ascii="Arial" w:hAnsi="Arial" w:cs="Arial"/>
        </w:rPr>
        <w:t xml:space="preserve"> </w:t>
      </w:r>
      <w:r w:rsidRPr="00CD59CC">
        <w:rPr>
          <w:rFonts w:ascii="Arial" w:hAnsi="Arial" w:cs="Arial"/>
        </w:rPr>
        <w:t>17.)</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00087D37" w:rsidRPr="00CD59CC">
        <w:rPr>
          <w:rFonts w:ascii="Arial" w:hAnsi="Arial" w:cs="Arial"/>
        </w:rPr>
        <w:t>the</w:t>
      </w:r>
      <w:r w:rsidR="007B7640" w:rsidRPr="00CD59CC">
        <w:rPr>
          <w:rFonts w:ascii="Arial" w:hAnsi="Arial" w:cs="Arial"/>
        </w:rPr>
        <w:t xml:space="preserve"> </w:t>
      </w:r>
      <w:r w:rsidR="00087D37" w:rsidRPr="00CD59CC">
        <w:rPr>
          <w:rFonts w:ascii="Arial" w:hAnsi="Arial" w:cs="Arial"/>
        </w:rPr>
        <w:t>CC</w:t>
      </w:r>
      <w:r w:rsidR="007B7640" w:rsidRPr="00CD59CC">
        <w:rPr>
          <w:rFonts w:ascii="Arial" w:hAnsi="Arial" w:cs="Arial"/>
        </w:rPr>
        <w:t xml:space="preserve"> </w:t>
      </w:r>
      <w:r w:rsidRPr="00CD59CC">
        <w:rPr>
          <w:rFonts w:ascii="Arial" w:hAnsi="Arial" w:cs="Arial"/>
        </w:rPr>
        <w:t>proclaimed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apply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arguments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principles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worked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earlier</w:t>
      </w:r>
      <w:r w:rsidR="007B7640" w:rsidRPr="00CD59CC">
        <w:rPr>
          <w:rFonts w:ascii="Arial" w:hAnsi="Arial" w:cs="Arial"/>
        </w:rPr>
        <w:t xml:space="preserve"> </w:t>
      </w:r>
      <w:r w:rsidRPr="00CD59CC">
        <w:rPr>
          <w:rFonts w:ascii="Arial" w:hAnsi="Arial" w:cs="Arial"/>
        </w:rPr>
        <w:t>decisions,</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substantive</w:t>
      </w:r>
      <w:r w:rsidR="007B7640" w:rsidRPr="00CD59CC">
        <w:rPr>
          <w:rFonts w:ascii="Arial" w:hAnsi="Arial" w:cs="Arial"/>
        </w:rPr>
        <w:t xml:space="preserve"> </w:t>
      </w:r>
      <w:r w:rsidRPr="00CD59CC">
        <w:rPr>
          <w:rFonts w:ascii="Arial" w:hAnsi="Arial" w:cs="Arial"/>
        </w:rPr>
        <w:t>identity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lastRenderedPageBreak/>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particular</w:t>
      </w:r>
      <w:r w:rsidR="007B7640" w:rsidRPr="00CD59CC">
        <w:rPr>
          <w:rFonts w:ascii="Arial" w:hAnsi="Arial" w:cs="Arial"/>
        </w:rPr>
        <w:t xml:space="preserve"> </w:t>
      </w:r>
      <w:r w:rsidRPr="00CD59CC">
        <w:rPr>
          <w:rFonts w:ascii="Arial" w:hAnsi="Arial" w:cs="Arial"/>
        </w:rPr>
        <w:t>provision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[Old]</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contextual</w:t>
      </w:r>
      <w:r w:rsidR="007B7640" w:rsidRPr="00CD59CC">
        <w:rPr>
          <w:rFonts w:ascii="Arial" w:hAnsi="Arial" w:cs="Arial"/>
        </w:rPr>
        <w:t xml:space="preserve"> </w:t>
      </w:r>
      <w:r w:rsidRPr="00CD59CC">
        <w:rPr>
          <w:rFonts w:ascii="Arial" w:hAnsi="Arial" w:cs="Arial"/>
        </w:rPr>
        <w:t>identity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interpretive</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actual</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application</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seem</w:t>
      </w:r>
      <w:r w:rsidR="007B7640" w:rsidRPr="00CD59CC">
        <w:rPr>
          <w:rFonts w:ascii="Arial" w:hAnsi="Arial" w:cs="Arial"/>
        </w:rPr>
        <w:t xml:space="preserve"> </w:t>
      </w:r>
      <w:r w:rsidRPr="00CD59CC">
        <w:rPr>
          <w:rFonts w:ascii="Arial" w:hAnsi="Arial" w:cs="Arial"/>
        </w:rPr>
        <w:t>inappropriate.</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presumption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principles</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forth</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CC</w:t>
      </w:r>
      <w:r w:rsidR="007B7640" w:rsidRPr="00CD59CC">
        <w:rPr>
          <w:rFonts w:ascii="Arial" w:hAnsi="Arial" w:cs="Arial"/>
        </w:rPr>
        <w:t xml:space="preserve"> </w:t>
      </w:r>
      <w:r w:rsidRPr="00CD59CC">
        <w:rPr>
          <w:rFonts w:ascii="Arial" w:hAnsi="Arial" w:cs="Arial"/>
        </w:rPr>
        <w:t>decisions</w:t>
      </w:r>
      <w:r w:rsidR="007B7640" w:rsidRPr="00CD59CC">
        <w:rPr>
          <w:rFonts w:ascii="Arial" w:hAnsi="Arial" w:cs="Arial"/>
        </w:rPr>
        <w:t xml:space="preserve"> </w:t>
      </w:r>
      <w:r w:rsidRPr="00CD59CC">
        <w:rPr>
          <w:rFonts w:ascii="Arial" w:hAnsi="Arial" w:cs="Arial"/>
        </w:rPr>
        <w:t>referred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below</w:t>
      </w:r>
      <w:r w:rsidR="007B7640" w:rsidRPr="00CD59CC">
        <w:rPr>
          <w:rFonts w:ascii="Arial" w:hAnsi="Arial" w:cs="Arial"/>
        </w:rPr>
        <w:t xml:space="preserve"> </w:t>
      </w:r>
      <w:r w:rsidRPr="00CD59CC">
        <w:rPr>
          <w:rFonts w:ascii="Arial" w:hAnsi="Arial" w:cs="Arial"/>
        </w:rPr>
        <w:t>remain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applicable.</w:t>
      </w:r>
    </w:p>
    <w:p w14:paraId="1FC50DB8" w14:textId="77777777" w:rsidR="0075319E" w:rsidRPr="00CD59CC" w:rsidRDefault="0075319E" w:rsidP="00CD59CC">
      <w:pPr>
        <w:rPr>
          <w:rFonts w:ascii="Arial" w:hAnsi="Arial" w:cs="Arial"/>
        </w:rPr>
      </w:pPr>
    </w:p>
    <w:p w14:paraId="65AC21DC" w14:textId="77777777" w:rsidR="00087D37" w:rsidRPr="00CD59CC" w:rsidRDefault="00087D37" w:rsidP="00CD59CC">
      <w:pPr>
        <w:rPr>
          <w:rFonts w:ascii="Arial" w:hAnsi="Arial" w:cs="Arial"/>
        </w:rPr>
      </w:pP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70/A</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non-discrimination</w:t>
      </w:r>
      <w:r w:rsidR="007B7640" w:rsidRPr="00CD59CC">
        <w:rPr>
          <w:rFonts w:ascii="Arial" w:hAnsi="Arial" w:cs="Arial"/>
        </w:rPr>
        <w:t xml:space="preserve"> </w:t>
      </w:r>
      <w:r w:rsidRPr="00CD59CC">
        <w:rPr>
          <w:rFonts w:ascii="Arial" w:hAnsi="Arial" w:cs="Arial"/>
        </w:rPr>
        <w:t>clause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Old</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referred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61/1992</w:t>
      </w:r>
      <w:r w:rsidR="007B7640" w:rsidRPr="00CD59CC">
        <w:rPr>
          <w:rFonts w:ascii="Arial" w:hAnsi="Arial" w:cs="Arial"/>
        </w:rPr>
        <w:t xml:space="preserve"> </w:t>
      </w:r>
      <w:r w:rsidRPr="00CD59CC">
        <w:rPr>
          <w:rFonts w:ascii="Arial" w:hAnsi="Arial" w:cs="Arial"/>
        </w:rPr>
        <w:t>(XI.</w:t>
      </w:r>
      <w:r w:rsidR="007B7640" w:rsidRPr="00CD59CC">
        <w:rPr>
          <w:rFonts w:ascii="Arial" w:hAnsi="Arial" w:cs="Arial"/>
        </w:rPr>
        <w:t xml:space="preserve"> </w:t>
      </w:r>
      <w:r w:rsidRPr="00CD59CC">
        <w:rPr>
          <w:rFonts w:ascii="Arial" w:hAnsi="Arial" w:cs="Arial"/>
        </w:rPr>
        <w:t>20.),</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extended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non-discrimination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whole</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p>
    <w:p w14:paraId="179BE2D8" w14:textId="77777777" w:rsidR="00087D37" w:rsidRPr="00CD59CC" w:rsidRDefault="00087D37" w:rsidP="00CD59CC">
      <w:pPr>
        <w:rPr>
          <w:rFonts w:ascii="Arial" w:hAnsi="Arial" w:cs="Arial"/>
        </w:rPr>
      </w:pPr>
    </w:p>
    <w:p w14:paraId="525A3DDA" w14:textId="77777777" w:rsidR="00087D37" w:rsidRPr="00CD59CC" w:rsidRDefault="00087D37" w:rsidP="00CD59CC">
      <w:pPr>
        <w:rPr>
          <w:rFonts w:ascii="Arial" w:hAnsi="Arial" w:cs="Arial"/>
        </w:rPr>
      </w:pPr>
      <w:r w:rsidRPr="00CD59CC">
        <w:rPr>
          <w:rFonts w:ascii="Arial" w:hAnsi="Arial" w:cs="Arial"/>
        </w:rPr>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seen,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list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remained</w:t>
      </w:r>
      <w:r w:rsidR="007B7640" w:rsidRPr="00CD59CC">
        <w:rPr>
          <w:rFonts w:ascii="Arial" w:hAnsi="Arial" w:cs="Arial"/>
        </w:rPr>
        <w:t xml:space="preserve"> </w:t>
      </w:r>
      <w:r w:rsidRPr="00CD59CC">
        <w:rPr>
          <w:rFonts w:ascii="Arial" w:hAnsi="Arial" w:cs="Arial"/>
        </w:rPr>
        <w:t>open</w:t>
      </w:r>
      <w:r w:rsidR="007B7640" w:rsidRPr="00CD59CC">
        <w:rPr>
          <w:rFonts w:ascii="Arial" w:hAnsi="Arial" w:cs="Arial"/>
        </w:rPr>
        <w:t xml:space="preserve"> </w:t>
      </w:r>
      <w:r w:rsidRPr="00CD59CC">
        <w:rPr>
          <w:rFonts w:ascii="Arial" w:hAnsi="Arial" w:cs="Arial"/>
        </w:rPr>
        <w:t>ended,</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provision</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interpreted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covering</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mentioned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(including</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beyond.</w:t>
      </w:r>
      <w:r w:rsidR="007B7640" w:rsidRPr="00CD59CC">
        <w:rPr>
          <w:rFonts w:ascii="Arial" w:hAnsi="Arial" w:cs="Arial"/>
        </w:rPr>
        <w:t xml:space="preserve"> </w:t>
      </w:r>
    </w:p>
    <w:p w14:paraId="6B03B5AD" w14:textId="77777777" w:rsidR="00087D37" w:rsidRPr="00CD59CC" w:rsidRDefault="00087D37" w:rsidP="00CD59CC">
      <w:pPr>
        <w:rPr>
          <w:rFonts w:ascii="Arial" w:hAnsi="Arial" w:cs="Arial"/>
        </w:rPr>
      </w:pPr>
    </w:p>
    <w:p w14:paraId="085D93C1" w14:textId="77777777" w:rsidR="00087D37" w:rsidRPr="00CD59CC" w:rsidRDefault="00087D37"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jurisdiction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70/A</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Old</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consistently</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being</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70/A.</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20/1999</w:t>
      </w:r>
      <w:r w:rsidR="007B7640" w:rsidRPr="00CD59CC">
        <w:rPr>
          <w:rFonts w:ascii="Arial" w:hAnsi="Arial" w:cs="Arial"/>
        </w:rPr>
        <w:t xml:space="preserve"> </w:t>
      </w:r>
      <w:r w:rsidRPr="00CD59CC">
        <w:rPr>
          <w:rFonts w:ascii="Arial" w:hAnsi="Arial" w:cs="Arial"/>
        </w:rPr>
        <w:t>(VI.</w:t>
      </w:r>
      <w:r w:rsidR="007B7640" w:rsidRPr="00CD59CC">
        <w:rPr>
          <w:rFonts w:ascii="Arial" w:hAnsi="Arial" w:cs="Arial"/>
        </w:rPr>
        <w:t xml:space="preserve"> </w:t>
      </w:r>
      <w:r w:rsidRPr="00CD59CC">
        <w:rPr>
          <w:rFonts w:ascii="Arial" w:hAnsi="Arial" w:cs="Arial"/>
        </w:rPr>
        <w:t>25.)</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abolishing</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discriminatory</w:t>
      </w:r>
      <w:r w:rsidR="007B7640" w:rsidRPr="00CD59CC">
        <w:rPr>
          <w:rFonts w:ascii="Arial" w:hAnsi="Arial" w:cs="Arial"/>
        </w:rPr>
        <w:t xml:space="preserve"> </w:t>
      </w:r>
      <w:r w:rsidRPr="00CD59CC">
        <w:rPr>
          <w:rFonts w:ascii="Arial" w:hAnsi="Arial" w:cs="Arial"/>
        </w:rPr>
        <w:t>provision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E80DEC" w:rsidRPr="00CD59CC">
        <w:rPr>
          <w:rFonts w:ascii="Arial" w:hAnsi="Arial" w:cs="Arial"/>
        </w:rPr>
        <w:t>old</w:t>
      </w:r>
      <w:r w:rsidR="007B7640" w:rsidRPr="00CD59CC">
        <w:rPr>
          <w:rFonts w:ascii="Arial" w:hAnsi="Arial" w:cs="Arial"/>
        </w:rPr>
        <w:t xml:space="preserve"> </w:t>
      </w:r>
      <w:r w:rsidR="00E80DEC" w:rsidRPr="00CD59CC">
        <w:rPr>
          <w:rFonts w:ascii="Arial" w:hAnsi="Arial" w:cs="Arial"/>
        </w:rPr>
        <w:t>Penal</w:t>
      </w:r>
      <w:r w:rsidR="007B7640" w:rsidRPr="00CD59CC">
        <w:rPr>
          <w:rFonts w:ascii="Arial" w:hAnsi="Arial" w:cs="Arial"/>
        </w:rPr>
        <w:t xml:space="preserve"> </w:t>
      </w:r>
      <w:r w:rsidR="00E80DEC" w:rsidRPr="00CD59CC">
        <w:rPr>
          <w:rFonts w:ascii="Arial" w:hAnsi="Arial" w:cs="Arial"/>
        </w:rPr>
        <w:t>Code</w:t>
      </w:r>
      <w:r w:rsidRPr="00CD59CC">
        <w:rPr>
          <w:rFonts w:ascii="Arial" w:hAnsi="Arial" w:cs="Arial"/>
        </w:rPr>
        <w: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sole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distinction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examined</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homosexual</w:t>
      </w:r>
      <w:r w:rsidR="007B7640" w:rsidRPr="00CD59CC">
        <w:rPr>
          <w:rFonts w:ascii="Arial" w:hAnsi="Arial" w:cs="Arial"/>
        </w:rPr>
        <w:t xml:space="preserve"> </w:t>
      </w:r>
      <w:r w:rsidRPr="00CD59CC">
        <w:rPr>
          <w:rFonts w:ascii="Arial" w:hAnsi="Arial" w:cs="Arial"/>
        </w:rPr>
        <w:t>siblings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punishable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whereas</w:t>
      </w:r>
      <w:r w:rsidR="007B7640" w:rsidRPr="00CD59CC">
        <w:rPr>
          <w:rFonts w:ascii="Arial" w:hAnsi="Arial" w:cs="Arial"/>
        </w:rPr>
        <w:t xml:space="preserve"> </w:t>
      </w:r>
      <w:r w:rsidRPr="00CD59CC">
        <w:rPr>
          <w:rFonts w:ascii="Arial" w:hAnsi="Arial" w:cs="Arial"/>
        </w:rPr>
        <w:t>heterosexual</w:t>
      </w:r>
      <w:r w:rsidR="007B7640" w:rsidRPr="00CD59CC">
        <w:rPr>
          <w:rFonts w:ascii="Arial" w:hAnsi="Arial" w:cs="Arial"/>
        </w:rPr>
        <w:t xml:space="preserve"> </w:t>
      </w:r>
      <w:r w:rsidRPr="00CD59CC">
        <w:rPr>
          <w:rFonts w:ascii="Arial" w:hAnsi="Arial" w:cs="Arial"/>
        </w:rPr>
        <w:t>siblings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70/A</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interpretation</w:t>
      </w:r>
      <w:r w:rsidR="007B7640" w:rsidRPr="00CD59CC">
        <w:rPr>
          <w:rFonts w:ascii="Arial" w:hAnsi="Arial" w:cs="Arial"/>
        </w:rPr>
        <w:t xml:space="preserve"> </w:t>
      </w:r>
      <w:r w:rsidRPr="00CD59CC">
        <w:rPr>
          <w:rFonts w:ascii="Arial" w:hAnsi="Arial" w:cs="Arial"/>
        </w:rPr>
        <w:t>prevails,</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will</w:t>
      </w:r>
      <w:r w:rsidR="007B7640" w:rsidRPr="00CD59CC">
        <w:rPr>
          <w:rFonts w:ascii="Arial" w:hAnsi="Arial" w:cs="Arial"/>
        </w:rPr>
        <w:t xml:space="preserve"> </w:t>
      </w:r>
      <w:r w:rsidRPr="00CD59CC">
        <w:rPr>
          <w:rFonts w:ascii="Arial" w:hAnsi="Arial" w:cs="Arial"/>
        </w:rPr>
        <w:t>remain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constitutionally</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w:t>
      </w:r>
    </w:p>
    <w:p w14:paraId="08FA07CB" w14:textId="77777777" w:rsidR="00087D37" w:rsidRPr="00CD59CC" w:rsidRDefault="00087D37" w:rsidP="00CD59CC">
      <w:pPr>
        <w:rPr>
          <w:rFonts w:ascii="Arial" w:hAnsi="Arial" w:cs="Arial"/>
        </w:rPr>
      </w:pPr>
    </w:p>
    <w:p w14:paraId="7B099E74" w14:textId="77777777" w:rsidR="00087D37" w:rsidRPr="00CD59CC" w:rsidRDefault="00087D37" w:rsidP="00CD59CC">
      <w:pPr>
        <w:rPr>
          <w:rFonts w:ascii="Arial" w:hAnsi="Arial" w:cs="Arial"/>
        </w:rPr>
      </w:pPr>
      <w:r w:rsidRPr="00CD59CC">
        <w:rPr>
          <w:rFonts w:ascii="Arial" w:hAnsi="Arial" w:cs="Arial"/>
        </w:rPr>
        <w:t>It</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noted</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criticised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domestic</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international</w:t>
      </w:r>
      <w:r w:rsidR="007B7640" w:rsidRPr="00CD59CC">
        <w:rPr>
          <w:rFonts w:ascii="Arial" w:hAnsi="Arial" w:cs="Arial"/>
        </w:rPr>
        <w:t xml:space="preserve"> </w:t>
      </w:r>
      <w:r w:rsidRPr="00CD59CC">
        <w:rPr>
          <w:rFonts w:ascii="Arial" w:hAnsi="Arial" w:cs="Arial"/>
        </w:rPr>
        <w:t>organisations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mentioning</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example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opinion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European</w:t>
      </w:r>
      <w:r w:rsidR="007B7640" w:rsidRPr="00CD59CC">
        <w:rPr>
          <w:rFonts w:ascii="Arial" w:hAnsi="Arial" w:cs="Arial"/>
        </w:rPr>
        <w:t xml:space="preserve"> </w:t>
      </w:r>
      <w:r w:rsidRPr="00CD59CC">
        <w:rPr>
          <w:rFonts w:ascii="Arial" w:hAnsi="Arial" w:cs="Arial"/>
        </w:rPr>
        <w:t>Commission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Democracy</w:t>
      </w:r>
      <w:r w:rsidR="007B7640" w:rsidRPr="00CD59CC">
        <w:rPr>
          <w:rFonts w:ascii="Arial" w:hAnsi="Arial" w:cs="Arial"/>
        </w:rPr>
        <w:t xml:space="preserve"> </w:t>
      </w:r>
      <w:r w:rsidRPr="00CD59CC">
        <w:rPr>
          <w:rFonts w:ascii="Arial" w:hAnsi="Arial" w:cs="Arial"/>
        </w:rPr>
        <w:t>through</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(Venice</w:t>
      </w:r>
      <w:r w:rsidR="007B7640" w:rsidRPr="00CD59CC">
        <w:rPr>
          <w:rFonts w:ascii="Arial" w:hAnsi="Arial" w:cs="Arial"/>
        </w:rPr>
        <w:t xml:space="preserve"> </w:t>
      </w:r>
      <w:r w:rsidRPr="00CD59CC">
        <w:rPr>
          <w:rFonts w:ascii="Arial" w:hAnsi="Arial" w:cs="Arial"/>
        </w:rPr>
        <w:t>Commission)</w:t>
      </w:r>
      <w:r w:rsidR="007B7640" w:rsidRPr="00CD59CC">
        <w:rPr>
          <w:rFonts w:ascii="Arial" w:hAnsi="Arial" w:cs="Arial"/>
        </w:rPr>
        <w:t xml:space="preserve"> </w:t>
      </w:r>
      <w:r w:rsidRPr="00CD59CC">
        <w:rPr>
          <w:rFonts w:ascii="Arial" w:hAnsi="Arial" w:cs="Arial"/>
        </w:rPr>
        <w:t>warns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might</w:t>
      </w:r>
      <w:r w:rsidR="007B7640" w:rsidRPr="00CD59CC">
        <w:rPr>
          <w:rFonts w:ascii="Arial" w:hAnsi="Arial" w:cs="Arial"/>
        </w:rPr>
        <w:t xml:space="preserve"> </w:t>
      </w:r>
      <w:r w:rsidRPr="00CD59CC">
        <w:rPr>
          <w:rFonts w:ascii="Arial" w:hAnsi="Arial" w:cs="Arial"/>
        </w:rPr>
        <w:t>create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impression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considered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reprehensible.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Venice</w:t>
      </w:r>
      <w:r w:rsidR="007B7640" w:rsidRPr="00CD59CC">
        <w:rPr>
          <w:rFonts w:ascii="Arial" w:hAnsi="Arial" w:cs="Arial"/>
        </w:rPr>
        <w:t xml:space="preserve"> </w:t>
      </w:r>
      <w:r w:rsidRPr="00CD59CC">
        <w:rPr>
          <w:rFonts w:ascii="Arial" w:hAnsi="Arial" w:cs="Arial"/>
        </w:rPr>
        <w:t>Commission</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proceeds</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assumption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will</w:t>
      </w:r>
      <w:r w:rsidR="007B7640" w:rsidRPr="00CD59CC">
        <w:rPr>
          <w:rFonts w:ascii="Arial" w:hAnsi="Arial" w:cs="Arial"/>
        </w:rPr>
        <w:t xml:space="preserve"> </w:t>
      </w:r>
      <w:r w:rsidRPr="00CD59CC">
        <w:rPr>
          <w:rFonts w:ascii="Arial" w:hAnsi="Arial" w:cs="Arial"/>
        </w:rPr>
        <w:t>interpret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manner</w:t>
      </w:r>
      <w:r w:rsidR="007B7640" w:rsidRPr="00CD59CC">
        <w:rPr>
          <w:rFonts w:ascii="Arial" w:hAnsi="Arial" w:cs="Arial"/>
        </w:rPr>
        <w:t xml:space="preserve"> </w:t>
      </w: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XV</w:t>
      </w:r>
      <w:r w:rsidR="007B7640" w:rsidRPr="00CD59CC">
        <w:rPr>
          <w:rFonts w:ascii="Arial" w:hAnsi="Arial" w:cs="Arial"/>
        </w:rPr>
        <w:t xml:space="preserve"> </w:t>
      </w:r>
      <w:r w:rsidRPr="00CD59CC">
        <w:rPr>
          <w:rFonts w:ascii="Arial" w:hAnsi="Arial" w:cs="Arial"/>
        </w:rPr>
        <w:t>prohibits</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line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ECtHR</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w:t>
      </w:r>
      <w:r w:rsidRPr="00CD59CC">
        <w:rPr>
          <w:rStyle w:val="FootnoteReference"/>
          <w:rFonts w:ascii="Arial" w:hAnsi="Arial" w:cs="Arial"/>
        </w:rPr>
        <w:footnoteReference w:id="17"/>
      </w:r>
      <w:r w:rsidR="007B7640" w:rsidRPr="00CD59CC">
        <w:rPr>
          <w:rFonts w:ascii="Arial" w:hAnsi="Arial" w:cs="Arial"/>
        </w:rPr>
        <w:t xml:space="preserve"> </w:t>
      </w:r>
    </w:p>
    <w:p w14:paraId="3B10D2AF" w14:textId="77777777" w:rsidR="00087D37" w:rsidRPr="00CD59CC" w:rsidRDefault="00087D37" w:rsidP="00CD59CC">
      <w:pPr>
        <w:rPr>
          <w:rFonts w:ascii="Arial" w:hAnsi="Arial" w:cs="Arial"/>
        </w:rPr>
      </w:pPr>
    </w:p>
    <w:p w14:paraId="0F6F57DF" w14:textId="415D77E7" w:rsidR="00087D37" w:rsidRPr="00CD59CC" w:rsidRDefault="00087D37" w:rsidP="00CD59CC">
      <w:pPr>
        <w:rPr>
          <w:rFonts w:ascii="Arial" w:hAnsi="Arial" w:cs="Arial"/>
        </w:rPr>
      </w:pPr>
      <w:r w:rsidRPr="00CD59CC">
        <w:rPr>
          <w:rFonts w:ascii="Arial" w:hAnsi="Arial" w:cs="Arial"/>
        </w:rPr>
        <w:t>Since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CC</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far</w:t>
      </w:r>
      <w:r w:rsidR="007B7640" w:rsidRPr="00CD59CC">
        <w:rPr>
          <w:rFonts w:ascii="Arial" w:hAnsi="Arial" w:cs="Arial"/>
        </w:rPr>
        <w:t xml:space="preserve"> </w:t>
      </w:r>
      <w:r w:rsidRPr="00CD59CC">
        <w:rPr>
          <w:rFonts w:ascii="Arial" w:hAnsi="Arial" w:cs="Arial"/>
        </w:rPr>
        <w:t>delivered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recognising</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00C76811" w:rsidRPr="00CD59CC">
        <w:rPr>
          <w:rFonts w:ascii="Arial" w:hAnsi="Arial" w:cs="Arial"/>
        </w:rPr>
        <w:t>fully</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“benevolent”</w:t>
      </w:r>
      <w:r w:rsidR="007B7640" w:rsidRPr="00CD59CC">
        <w:rPr>
          <w:rFonts w:ascii="Arial" w:hAnsi="Arial" w:cs="Arial"/>
        </w:rPr>
        <w:t xml:space="preserve"> </w:t>
      </w:r>
      <w:r w:rsidRPr="00CD59CC">
        <w:rPr>
          <w:rFonts w:ascii="Arial" w:hAnsi="Arial" w:cs="Arial"/>
        </w:rPr>
        <w:t>assumption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Venice</w:t>
      </w:r>
      <w:r w:rsidR="007B7640" w:rsidRPr="00CD59CC">
        <w:rPr>
          <w:rFonts w:ascii="Arial" w:hAnsi="Arial" w:cs="Arial"/>
        </w:rPr>
        <w:t xml:space="preserve"> </w:t>
      </w:r>
      <w:r w:rsidRPr="00CD59CC">
        <w:rPr>
          <w:rFonts w:ascii="Arial" w:hAnsi="Arial" w:cs="Arial"/>
        </w:rPr>
        <w:t>Commission</w:t>
      </w:r>
      <w:r w:rsidR="007B7640" w:rsidRPr="00CD59CC">
        <w:rPr>
          <w:rFonts w:ascii="Arial" w:hAnsi="Arial" w:cs="Arial"/>
        </w:rPr>
        <w:t xml:space="preserve"> </w:t>
      </w:r>
      <w:r w:rsidRPr="00CD59CC">
        <w:rPr>
          <w:rFonts w:ascii="Arial" w:hAnsi="Arial" w:cs="Arial"/>
        </w:rPr>
        <w:t>will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fulfilled,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previously</w:t>
      </w:r>
      <w:r w:rsidR="007B7640" w:rsidRPr="00CD59CC">
        <w:rPr>
          <w:rFonts w:ascii="Arial" w:hAnsi="Arial" w:cs="Arial"/>
        </w:rPr>
        <w:t xml:space="preserve"> </w:t>
      </w:r>
      <w:r w:rsidRPr="00CD59CC">
        <w:rPr>
          <w:rFonts w:ascii="Arial" w:hAnsi="Arial" w:cs="Arial"/>
        </w:rPr>
        <w:t>followed</w:t>
      </w:r>
      <w:r w:rsidR="007B7640" w:rsidRPr="00CD59CC">
        <w:rPr>
          <w:rFonts w:ascii="Arial" w:hAnsi="Arial" w:cs="Arial"/>
        </w:rPr>
        <w:t xml:space="preserve"> </w:t>
      </w:r>
      <w:r w:rsidRPr="00CD59CC">
        <w:rPr>
          <w:rFonts w:ascii="Arial" w:hAnsi="Arial" w:cs="Arial"/>
        </w:rPr>
        <w:t>CC</w:t>
      </w:r>
      <w:r w:rsidR="007B7640" w:rsidRPr="00CD59CC">
        <w:rPr>
          <w:rFonts w:ascii="Arial" w:hAnsi="Arial" w:cs="Arial"/>
        </w:rPr>
        <w:t xml:space="preserve"> </w:t>
      </w:r>
      <w:r w:rsidRPr="00CD59CC">
        <w:rPr>
          <w:rFonts w:ascii="Arial" w:hAnsi="Arial" w:cs="Arial"/>
        </w:rPr>
        <w:t>interpretation</w:t>
      </w:r>
      <w:r w:rsidR="007B7640" w:rsidRPr="00CD59CC">
        <w:rPr>
          <w:rFonts w:ascii="Arial" w:hAnsi="Arial" w:cs="Arial"/>
        </w:rPr>
        <w:t xml:space="preserve"> </w:t>
      </w:r>
      <w:r w:rsidRPr="00CD59CC">
        <w:rPr>
          <w:rFonts w:ascii="Arial" w:hAnsi="Arial" w:cs="Arial"/>
        </w:rPr>
        <w:t>will</w:t>
      </w:r>
      <w:r w:rsidR="007B7640" w:rsidRPr="00CD59CC">
        <w:rPr>
          <w:rFonts w:ascii="Arial" w:hAnsi="Arial" w:cs="Arial"/>
        </w:rPr>
        <w:t xml:space="preserve"> </w:t>
      </w:r>
      <w:r w:rsidRPr="00CD59CC">
        <w:rPr>
          <w:rFonts w:ascii="Arial" w:hAnsi="Arial" w:cs="Arial"/>
        </w:rPr>
        <w:t>indeed</w:t>
      </w:r>
      <w:r w:rsidR="007B7640" w:rsidRPr="00CD59CC">
        <w:rPr>
          <w:rFonts w:ascii="Arial" w:hAnsi="Arial" w:cs="Arial"/>
        </w:rPr>
        <w:t xml:space="preserve"> </w:t>
      </w:r>
      <w:r w:rsidRPr="00CD59CC">
        <w:rPr>
          <w:rFonts w:ascii="Arial" w:hAnsi="Arial" w:cs="Arial"/>
        </w:rPr>
        <w:t>prevail</w:t>
      </w:r>
      <w:r w:rsidR="007B7640" w:rsidRPr="00CD59CC">
        <w:rPr>
          <w:rFonts w:ascii="Arial" w:hAnsi="Arial" w:cs="Arial"/>
        </w:rPr>
        <w:t xml:space="preserve"> </w:t>
      </w:r>
      <w:r w:rsidR="00C76811" w:rsidRPr="00CD59CC">
        <w:rPr>
          <w:rFonts w:ascii="Arial" w:hAnsi="Arial" w:cs="Arial"/>
        </w:rPr>
        <w:t>(although</w:t>
      </w:r>
      <w:r w:rsidR="007B7640" w:rsidRPr="00CD59CC">
        <w:rPr>
          <w:rFonts w:ascii="Arial" w:hAnsi="Arial" w:cs="Arial"/>
        </w:rPr>
        <w:t xml:space="preserve"> </w:t>
      </w:r>
      <w:r w:rsidR="00C76811" w:rsidRPr="00CD59CC">
        <w:rPr>
          <w:rFonts w:ascii="Arial" w:hAnsi="Arial" w:cs="Arial"/>
        </w:rPr>
        <w:t>the</w:t>
      </w:r>
      <w:r w:rsidR="007B7640" w:rsidRPr="00CD59CC">
        <w:rPr>
          <w:rFonts w:ascii="Arial" w:hAnsi="Arial" w:cs="Arial"/>
        </w:rPr>
        <w:t xml:space="preserve"> </w:t>
      </w:r>
      <w:r w:rsidR="00C76811" w:rsidRPr="00CD59CC">
        <w:rPr>
          <w:rFonts w:ascii="Arial" w:hAnsi="Arial" w:cs="Arial"/>
        </w:rPr>
        <w:t>above</w:t>
      </w:r>
      <w:r w:rsidR="007B7640" w:rsidRPr="00CD59CC">
        <w:rPr>
          <w:rFonts w:ascii="Arial" w:hAnsi="Arial" w:cs="Arial"/>
        </w:rPr>
        <w:t xml:space="preserve"> </w:t>
      </w:r>
      <w:r w:rsidR="00C76811" w:rsidRPr="00CD59CC">
        <w:rPr>
          <w:rFonts w:ascii="Arial" w:hAnsi="Arial" w:cs="Arial"/>
        </w:rPr>
        <w:t>quoted</w:t>
      </w:r>
      <w:r w:rsidR="007B7640" w:rsidRPr="00CD59CC">
        <w:rPr>
          <w:rFonts w:ascii="Arial" w:hAnsi="Arial" w:cs="Arial"/>
        </w:rPr>
        <w:t xml:space="preserve"> </w:t>
      </w:r>
      <w:r w:rsidR="00C76811" w:rsidRPr="00CD59CC">
        <w:rPr>
          <w:rFonts w:ascii="Arial" w:hAnsi="Arial" w:cs="Arial"/>
        </w:rPr>
        <w:t>decisions</w:t>
      </w:r>
      <w:r w:rsidR="007B7640" w:rsidRPr="00CD59CC">
        <w:rPr>
          <w:rFonts w:ascii="Arial" w:hAnsi="Arial" w:cs="Arial"/>
        </w:rPr>
        <w:t xml:space="preserve"> </w:t>
      </w:r>
      <w:r w:rsidR="00C76811" w:rsidRPr="00CD59CC">
        <w:rPr>
          <w:rFonts w:ascii="Arial" w:hAnsi="Arial" w:cs="Arial"/>
        </w:rPr>
        <w:t>about</w:t>
      </w:r>
      <w:r w:rsidR="007B7640" w:rsidRPr="00CD59CC">
        <w:rPr>
          <w:rFonts w:ascii="Arial" w:hAnsi="Arial" w:cs="Arial"/>
        </w:rPr>
        <w:t xml:space="preserve"> </w:t>
      </w:r>
      <w:r w:rsidR="00C76811" w:rsidRPr="00CD59CC">
        <w:rPr>
          <w:rFonts w:ascii="Arial" w:hAnsi="Arial" w:cs="Arial"/>
        </w:rPr>
        <w:t>the</w:t>
      </w:r>
      <w:r w:rsidR="007B7640" w:rsidRPr="00CD59CC">
        <w:rPr>
          <w:rFonts w:ascii="Arial" w:hAnsi="Arial" w:cs="Arial"/>
        </w:rPr>
        <w:t xml:space="preserve"> </w:t>
      </w:r>
      <w:r w:rsidR="00C76811" w:rsidRPr="00CD59CC">
        <w:rPr>
          <w:rFonts w:ascii="Arial" w:hAnsi="Arial" w:cs="Arial"/>
        </w:rPr>
        <w:t>applicability</w:t>
      </w:r>
      <w:r w:rsidR="007B7640" w:rsidRPr="00CD59CC">
        <w:rPr>
          <w:rFonts w:ascii="Arial" w:hAnsi="Arial" w:cs="Arial"/>
        </w:rPr>
        <w:t xml:space="preserve"> </w:t>
      </w:r>
      <w:r w:rsidR="00C76811" w:rsidRPr="00CD59CC">
        <w:rPr>
          <w:rFonts w:ascii="Arial" w:hAnsi="Arial" w:cs="Arial"/>
        </w:rPr>
        <w:t>of</w:t>
      </w:r>
      <w:r w:rsidR="007B7640" w:rsidRPr="00CD59CC">
        <w:rPr>
          <w:rFonts w:ascii="Arial" w:hAnsi="Arial" w:cs="Arial"/>
        </w:rPr>
        <w:t xml:space="preserve"> </w:t>
      </w:r>
      <w:r w:rsidR="00C76811" w:rsidRPr="00CD59CC">
        <w:rPr>
          <w:rFonts w:ascii="Arial" w:hAnsi="Arial" w:cs="Arial"/>
        </w:rPr>
        <w:t>the</w:t>
      </w:r>
      <w:r w:rsidR="007B7640" w:rsidRPr="00CD59CC">
        <w:rPr>
          <w:rFonts w:ascii="Arial" w:hAnsi="Arial" w:cs="Arial"/>
        </w:rPr>
        <w:t xml:space="preserve"> </w:t>
      </w:r>
      <w:r w:rsidR="00C76811" w:rsidRPr="00CD59CC">
        <w:rPr>
          <w:rFonts w:ascii="Arial" w:hAnsi="Arial" w:cs="Arial"/>
        </w:rPr>
        <w:t>old</w:t>
      </w:r>
      <w:r w:rsidR="007B7640" w:rsidRPr="00CD59CC">
        <w:rPr>
          <w:rFonts w:ascii="Arial" w:hAnsi="Arial" w:cs="Arial"/>
        </w:rPr>
        <w:t xml:space="preserve"> </w:t>
      </w:r>
      <w:r w:rsidR="00C76811" w:rsidRPr="00CD59CC">
        <w:rPr>
          <w:rFonts w:ascii="Arial" w:hAnsi="Arial" w:cs="Arial"/>
        </w:rPr>
        <w:t>decisions</w:t>
      </w:r>
      <w:r w:rsidR="007B7640" w:rsidRPr="00CD59CC">
        <w:rPr>
          <w:rFonts w:ascii="Arial" w:hAnsi="Arial" w:cs="Arial"/>
        </w:rPr>
        <w:t xml:space="preserve"> </w:t>
      </w:r>
      <w:r w:rsidR="00C76811" w:rsidRPr="00CD59CC">
        <w:rPr>
          <w:rFonts w:ascii="Arial" w:hAnsi="Arial" w:cs="Arial"/>
        </w:rPr>
        <w:t>seem</w:t>
      </w:r>
      <w:r w:rsidR="007B7640" w:rsidRPr="00CD59CC">
        <w:rPr>
          <w:rFonts w:ascii="Arial" w:hAnsi="Arial" w:cs="Arial"/>
        </w:rPr>
        <w:t xml:space="preserve"> </w:t>
      </w:r>
      <w:r w:rsidR="00C76811" w:rsidRPr="00CD59CC">
        <w:rPr>
          <w:rFonts w:ascii="Arial" w:hAnsi="Arial" w:cs="Arial"/>
        </w:rPr>
        <w:t>promising</w:t>
      </w:r>
      <w:r w:rsidR="007B7640" w:rsidRPr="00CD59CC">
        <w:rPr>
          <w:rFonts w:ascii="Arial" w:hAnsi="Arial" w:cs="Arial"/>
        </w:rPr>
        <w:t xml:space="preserve"> </w:t>
      </w:r>
      <w:r w:rsidR="00C76811" w:rsidRPr="00CD59CC">
        <w:rPr>
          <w:rFonts w:ascii="Arial" w:hAnsi="Arial" w:cs="Arial"/>
        </w:rPr>
        <w:t>in</w:t>
      </w:r>
      <w:r w:rsidR="007B7640" w:rsidRPr="00CD59CC">
        <w:rPr>
          <w:rFonts w:ascii="Arial" w:hAnsi="Arial" w:cs="Arial"/>
        </w:rPr>
        <w:t xml:space="preserve"> </w:t>
      </w:r>
      <w:r w:rsidR="00C76811" w:rsidRPr="00CD59CC">
        <w:rPr>
          <w:rFonts w:ascii="Arial" w:hAnsi="Arial" w:cs="Arial"/>
        </w:rPr>
        <w:t>this</w:t>
      </w:r>
      <w:r w:rsidR="007B7640" w:rsidRPr="00CD59CC">
        <w:rPr>
          <w:rFonts w:ascii="Arial" w:hAnsi="Arial" w:cs="Arial"/>
        </w:rPr>
        <w:t xml:space="preserve"> </w:t>
      </w:r>
      <w:r w:rsidR="00C76811" w:rsidRPr="00CD59CC">
        <w:rPr>
          <w:rFonts w:ascii="Arial" w:hAnsi="Arial" w:cs="Arial"/>
        </w:rPr>
        <w:t>regard)</w:t>
      </w:r>
      <w:r w:rsidRPr="00CD59CC">
        <w:rPr>
          <w:rFonts w:ascii="Arial" w:hAnsi="Arial" w:cs="Arial"/>
        </w:rPr>
        <w:t>.</w:t>
      </w:r>
    </w:p>
    <w:p w14:paraId="3D8AC6C0" w14:textId="77777777" w:rsidR="00087D37" w:rsidRPr="00CD59CC" w:rsidRDefault="00087D37" w:rsidP="00CD59CC">
      <w:pPr>
        <w:rPr>
          <w:rFonts w:ascii="Arial" w:hAnsi="Arial" w:cs="Arial"/>
        </w:rPr>
      </w:pPr>
    </w:p>
    <w:p w14:paraId="0FF78B32" w14:textId="77777777" w:rsidR="00087D37" w:rsidRPr="00CD59CC" w:rsidRDefault="00087D37" w:rsidP="00CD59CC">
      <w:pPr>
        <w:rPr>
          <w:rFonts w:ascii="Arial" w:hAnsi="Arial" w:cs="Arial"/>
        </w:rPr>
      </w:pP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opinion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Venice</w:t>
      </w:r>
      <w:r w:rsidR="007B7640" w:rsidRPr="00CD59CC">
        <w:rPr>
          <w:rFonts w:ascii="Arial" w:hAnsi="Arial" w:cs="Arial"/>
        </w:rPr>
        <w:t xml:space="preserve"> </w:t>
      </w:r>
      <w:r w:rsidRPr="00CD59CC">
        <w:rPr>
          <w:rFonts w:ascii="Arial" w:hAnsi="Arial" w:cs="Arial"/>
        </w:rPr>
        <w:t>Commission,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5</w:t>
      </w:r>
      <w:r w:rsidR="007B7640" w:rsidRPr="00CD59CC">
        <w:rPr>
          <w:rFonts w:ascii="Arial" w:hAnsi="Arial" w:cs="Arial"/>
        </w:rPr>
        <w:t xml:space="preserve"> </w:t>
      </w:r>
      <w:r w:rsidRPr="00CD59CC">
        <w:rPr>
          <w:rFonts w:ascii="Arial" w:hAnsi="Arial" w:cs="Arial"/>
        </w:rPr>
        <w:t>July</w:t>
      </w:r>
      <w:r w:rsidR="007B7640" w:rsidRPr="00CD59CC">
        <w:rPr>
          <w:rFonts w:ascii="Arial" w:hAnsi="Arial" w:cs="Arial"/>
        </w:rPr>
        <w:t xml:space="preserve"> </w:t>
      </w:r>
      <w:r w:rsidRPr="00CD59CC">
        <w:rPr>
          <w:rFonts w:ascii="Arial" w:hAnsi="Arial" w:cs="Arial"/>
        </w:rPr>
        <w:t>2011</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European</w:t>
      </w:r>
      <w:r w:rsidR="007B7640" w:rsidRPr="00CD59CC">
        <w:rPr>
          <w:rFonts w:ascii="Arial" w:hAnsi="Arial" w:cs="Arial"/>
        </w:rPr>
        <w:t xml:space="preserve"> </w:t>
      </w:r>
      <w:r w:rsidRPr="00CD59CC">
        <w:rPr>
          <w:rFonts w:ascii="Arial" w:hAnsi="Arial" w:cs="Arial"/>
        </w:rPr>
        <w:t>Parliament</w:t>
      </w:r>
      <w:r w:rsidR="007B7640" w:rsidRPr="00CD59CC">
        <w:rPr>
          <w:rFonts w:ascii="Arial" w:hAnsi="Arial" w:cs="Arial"/>
        </w:rPr>
        <w:t xml:space="preserve"> </w:t>
      </w:r>
      <w:r w:rsidRPr="00CD59CC">
        <w:rPr>
          <w:rFonts w:ascii="Arial" w:hAnsi="Arial" w:cs="Arial"/>
        </w:rPr>
        <w:t>delivered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resolution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Revised</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lastRenderedPageBreak/>
        <w:t>resolution</w:t>
      </w:r>
      <w:r w:rsidR="007B7640" w:rsidRPr="00CD59CC">
        <w:rPr>
          <w:rFonts w:ascii="Arial" w:hAnsi="Arial" w:cs="Arial"/>
        </w:rPr>
        <w:t xml:space="preserve"> </w:t>
      </w:r>
      <w:r w:rsidRPr="00CD59CC">
        <w:rPr>
          <w:rFonts w:ascii="Arial" w:hAnsi="Arial" w:cs="Arial"/>
        </w:rPr>
        <w:t>claims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“whereas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fails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explicitly</w:t>
      </w:r>
      <w:r w:rsidR="007B7640" w:rsidRPr="00CD59CC">
        <w:rPr>
          <w:rFonts w:ascii="Arial" w:hAnsi="Arial" w:cs="Arial"/>
        </w:rPr>
        <w:t xml:space="preserve"> </w:t>
      </w:r>
      <w:r w:rsidRPr="00CD59CC">
        <w:rPr>
          <w:rFonts w:ascii="Arial" w:hAnsi="Arial" w:cs="Arial"/>
        </w:rPr>
        <w:t>lay</w:t>
      </w:r>
      <w:r w:rsidR="007B7640" w:rsidRPr="00CD59CC">
        <w:rPr>
          <w:rFonts w:ascii="Arial" w:hAnsi="Arial" w:cs="Arial"/>
        </w:rPr>
        <w:t xml:space="preserve"> </w:t>
      </w:r>
      <w:r w:rsidRPr="00CD59CC">
        <w:rPr>
          <w:rFonts w:ascii="Arial" w:hAnsi="Arial" w:cs="Arial"/>
        </w:rPr>
        <w:t>down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principles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stemming</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legally</w:t>
      </w:r>
      <w:r w:rsidR="007B7640" w:rsidRPr="00CD59CC">
        <w:rPr>
          <w:rFonts w:ascii="Arial" w:hAnsi="Arial" w:cs="Arial"/>
        </w:rPr>
        <w:t xml:space="preserve"> </w:t>
      </w:r>
      <w:r w:rsidRPr="00CD59CC">
        <w:rPr>
          <w:rFonts w:ascii="Arial" w:hAnsi="Arial" w:cs="Arial"/>
        </w:rPr>
        <w:t>binding</w:t>
      </w:r>
      <w:r w:rsidR="007B7640" w:rsidRPr="00CD59CC">
        <w:rPr>
          <w:rFonts w:ascii="Arial" w:hAnsi="Arial" w:cs="Arial"/>
        </w:rPr>
        <w:t xml:space="preserve"> </w:t>
      </w:r>
      <w:r w:rsidRPr="00CD59CC">
        <w:rPr>
          <w:rFonts w:ascii="Arial" w:hAnsi="Arial" w:cs="Arial"/>
        </w:rPr>
        <w:t>international</w:t>
      </w:r>
      <w:r w:rsidR="007B7640" w:rsidRPr="00CD59CC">
        <w:rPr>
          <w:rFonts w:ascii="Arial" w:hAnsi="Arial" w:cs="Arial"/>
        </w:rPr>
        <w:t xml:space="preserve"> </w:t>
      </w:r>
      <w:r w:rsidRPr="00CD59CC">
        <w:rPr>
          <w:rFonts w:ascii="Arial" w:hAnsi="Arial" w:cs="Arial"/>
        </w:rPr>
        <w:t>obligations,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obliged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respect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promote,</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prohibition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European</w:t>
      </w:r>
      <w:r w:rsidR="007B7640" w:rsidRPr="00CD59CC">
        <w:rPr>
          <w:rFonts w:ascii="Arial" w:hAnsi="Arial" w:cs="Arial"/>
        </w:rPr>
        <w:t xml:space="preserve"> </w:t>
      </w:r>
      <w:r w:rsidRPr="00CD59CC">
        <w:rPr>
          <w:rFonts w:ascii="Arial" w:hAnsi="Arial" w:cs="Arial"/>
        </w:rPr>
        <w:t>Parliament</w:t>
      </w:r>
      <w:r w:rsidR="007B7640" w:rsidRPr="00CD59CC">
        <w:rPr>
          <w:rFonts w:ascii="Arial" w:hAnsi="Arial" w:cs="Arial"/>
        </w:rPr>
        <w:t xml:space="preserve"> </w:t>
      </w:r>
      <w:r w:rsidRPr="00CD59CC">
        <w:rPr>
          <w:rFonts w:ascii="Arial" w:hAnsi="Arial" w:cs="Arial"/>
        </w:rPr>
        <w:t>calls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authorities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“guarantee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every</w:t>
      </w:r>
      <w:r w:rsidR="007B7640" w:rsidRPr="00CD59CC">
        <w:rPr>
          <w:rFonts w:ascii="Arial" w:hAnsi="Arial" w:cs="Arial"/>
        </w:rPr>
        <w:t xml:space="preserve"> </w:t>
      </w:r>
      <w:r w:rsidRPr="00CD59CC">
        <w:rPr>
          <w:rFonts w:ascii="Arial" w:hAnsi="Arial" w:cs="Arial"/>
        </w:rPr>
        <w:t>citizen,</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matter</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religious,</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societal</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belong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accordance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Charter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preamble.”</w:t>
      </w:r>
    </w:p>
    <w:p w14:paraId="26A3AFAB" w14:textId="77777777" w:rsidR="00087D37" w:rsidRPr="00CD59CC" w:rsidRDefault="00087D37" w:rsidP="00CD59CC">
      <w:pPr>
        <w:rPr>
          <w:rFonts w:ascii="Arial" w:hAnsi="Arial" w:cs="Arial"/>
        </w:rPr>
      </w:pPr>
    </w:p>
    <w:p w14:paraId="7096F6EE" w14:textId="77777777" w:rsidR="00087D37" w:rsidRPr="00CD59CC" w:rsidRDefault="00087D37"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reactions,</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officials</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revise</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XV</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light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European</w:t>
      </w:r>
      <w:r w:rsidR="007B7640" w:rsidRPr="00CD59CC">
        <w:rPr>
          <w:rFonts w:ascii="Arial" w:hAnsi="Arial" w:cs="Arial"/>
        </w:rPr>
        <w:t xml:space="preserve"> </w:t>
      </w:r>
      <w:r w:rsidRPr="00CD59CC">
        <w:rPr>
          <w:rFonts w:ascii="Arial" w:hAnsi="Arial" w:cs="Arial"/>
        </w:rPr>
        <w:t>criticism.</w:t>
      </w:r>
    </w:p>
    <w:p w14:paraId="6A8BF10F" w14:textId="77777777" w:rsidR="00087D37" w:rsidRPr="00CD59CC" w:rsidRDefault="00087D37" w:rsidP="00CD59CC">
      <w:pPr>
        <w:ind w:left="567" w:hanging="567"/>
        <w:rPr>
          <w:rFonts w:ascii="Arial" w:hAnsi="Arial" w:cs="Arial"/>
        </w:rPr>
      </w:pPr>
    </w:p>
    <w:p w14:paraId="15ABBC2C" w14:textId="77777777" w:rsidR="00087D37" w:rsidRPr="00CD59CC" w:rsidRDefault="00087D37" w:rsidP="00CD59CC">
      <w:pPr>
        <w:numPr>
          <w:ilvl w:val="0"/>
          <w:numId w:val="1"/>
        </w:numPr>
        <w:tabs>
          <w:tab w:val="left" w:pos="567"/>
        </w:tabs>
        <w:ind w:left="567" w:hanging="567"/>
        <w:rPr>
          <w:rFonts w:ascii="Arial" w:hAnsi="Arial" w:cs="Arial"/>
          <w:i/>
        </w:rPr>
      </w:pPr>
      <w:r w:rsidRPr="00CD59CC">
        <w:rPr>
          <w:rFonts w:ascii="Arial" w:hAnsi="Arial" w:cs="Arial"/>
          <w:i/>
        </w:rPr>
        <w:t>Are</w:t>
      </w:r>
      <w:r w:rsidR="007B7640" w:rsidRPr="00CD59CC">
        <w:rPr>
          <w:rFonts w:ascii="Arial" w:hAnsi="Arial" w:cs="Arial"/>
          <w:i/>
        </w:rPr>
        <w:t xml:space="preserve"> </w:t>
      </w:r>
      <w:r w:rsidRPr="00CD59CC">
        <w:rPr>
          <w:rFonts w:ascii="Arial" w:hAnsi="Arial" w:cs="Arial"/>
          <w:i/>
        </w:rPr>
        <w:t>constitutional</w:t>
      </w:r>
      <w:r w:rsidR="007B7640" w:rsidRPr="00CD59CC">
        <w:rPr>
          <w:rFonts w:ascii="Arial" w:hAnsi="Arial" w:cs="Arial"/>
          <w:i/>
        </w:rPr>
        <w:t xml:space="preserve"> </w:t>
      </w:r>
      <w:r w:rsidRPr="00CD59CC">
        <w:rPr>
          <w:rFonts w:ascii="Arial" w:hAnsi="Arial" w:cs="Arial"/>
          <w:i/>
        </w:rPr>
        <w:t>anti-discrimination</w:t>
      </w:r>
      <w:r w:rsidR="007B7640" w:rsidRPr="00CD59CC">
        <w:rPr>
          <w:rFonts w:ascii="Arial" w:hAnsi="Arial" w:cs="Arial"/>
          <w:i/>
        </w:rPr>
        <w:t xml:space="preserve"> </w:t>
      </w:r>
      <w:r w:rsidRPr="00CD59CC">
        <w:rPr>
          <w:rFonts w:ascii="Arial" w:hAnsi="Arial" w:cs="Arial"/>
          <w:i/>
        </w:rPr>
        <w:t>provisions</w:t>
      </w:r>
      <w:r w:rsidR="007B7640" w:rsidRPr="00CD59CC">
        <w:rPr>
          <w:rFonts w:ascii="Arial" w:hAnsi="Arial" w:cs="Arial"/>
          <w:i/>
        </w:rPr>
        <w:t xml:space="preserve"> </w:t>
      </w:r>
      <w:r w:rsidRPr="00CD59CC">
        <w:rPr>
          <w:rFonts w:ascii="Arial" w:hAnsi="Arial" w:cs="Arial"/>
          <w:i/>
        </w:rPr>
        <w:t>directly</w:t>
      </w:r>
      <w:r w:rsidR="007B7640" w:rsidRPr="00CD59CC">
        <w:rPr>
          <w:rFonts w:ascii="Arial" w:hAnsi="Arial" w:cs="Arial"/>
          <w:i/>
        </w:rPr>
        <w:t xml:space="preserve"> </w:t>
      </w:r>
      <w:r w:rsidRPr="00CD59CC">
        <w:rPr>
          <w:rFonts w:ascii="Arial" w:hAnsi="Arial" w:cs="Arial"/>
          <w:i/>
        </w:rPr>
        <w:t>applicable?</w:t>
      </w:r>
    </w:p>
    <w:p w14:paraId="785E90CA" w14:textId="77777777" w:rsidR="00087D37" w:rsidRPr="00CD59CC" w:rsidRDefault="00087D37" w:rsidP="00CD59CC">
      <w:pPr>
        <w:ind w:left="567" w:hanging="567"/>
        <w:rPr>
          <w:rFonts w:ascii="Arial" w:hAnsi="Arial" w:cs="Arial"/>
        </w:rPr>
      </w:pPr>
    </w:p>
    <w:p w14:paraId="5EE5870C" w14:textId="77777777" w:rsidR="00087D37" w:rsidRPr="00CD59CC" w:rsidRDefault="00087D37"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practice</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norms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still</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directly</w:t>
      </w:r>
      <w:r w:rsidR="007B7640" w:rsidRPr="00CD59CC">
        <w:rPr>
          <w:rFonts w:ascii="Arial" w:hAnsi="Arial" w:cs="Arial"/>
        </w:rPr>
        <w:t xml:space="preserve"> </w:t>
      </w:r>
      <w:r w:rsidRPr="00CD59CC">
        <w:rPr>
          <w:rFonts w:ascii="Arial" w:hAnsi="Arial" w:cs="Arial"/>
        </w:rPr>
        <w:t>applicable,</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brought</w:t>
      </w:r>
      <w:r w:rsidR="007B7640" w:rsidRPr="00CD59CC">
        <w:rPr>
          <w:rFonts w:ascii="Arial" w:hAnsi="Arial" w:cs="Arial"/>
        </w:rPr>
        <w:t xml:space="preserve"> </w:t>
      </w:r>
      <w:r w:rsidRPr="00CD59CC">
        <w:rPr>
          <w:rFonts w:ascii="Arial" w:hAnsi="Arial" w:cs="Arial"/>
        </w:rPr>
        <w:t>along</w:t>
      </w:r>
      <w:r w:rsidR="007B7640" w:rsidRPr="00CD59CC">
        <w:rPr>
          <w:rFonts w:ascii="Arial" w:hAnsi="Arial" w:cs="Arial"/>
        </w:rPr>
        <w:t xml:space="preserve"> </w:t>
      </w:r>
      <w:r w:rsidRPr="00CD59CC">
        <w:rPr>
          <w:rFonts w:ascii="Arial" w:hAnsi="Arial" w:cs="Arial"/>
        </w:rPr>
        <w:t>improvement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matter</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introducing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possibility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real</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complaint,</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requesting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review</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judicial</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CC</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complainant’s</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violated</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ordinary</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either</w:t>
      </w:r>
      <w:r w:rsidR="007B7640" w:rsidRPr="00CD59CC">
        <w:rPr>
          <w:rFonts w:ascii="Arial" w:hAnsi="Arial" w:cs="Arial"/>
        </w:rPr>
        <w:t xml:space="preserve"> </w:t>
      </w:r>
      <w:r w:rsidRPr="00CD59CC">
        <w:rPr>
          <w:rFonts w:ascii="Arial" w:hAnsi="Arial" w:cs="Arial"/>
        </w:rPr>
        <w:t>applied</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unconstitutional</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norm</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applied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norm</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unconstitutional</w:t>
      </w:r>
      <w:r w:rsidR="007B7640" w:rsidRPr="00CD59CC">
        <w:rPr>
          <w:rFonts w:ascii="Arial" w:hAnsi="Arial" w:cs="Arial"/>
        </w:rPr>
        <w:t xml:space="preserve"> </w:t>
      </w:r>
      <w:r w:rsidRPr="00CD59CC">
        <w:rPr>
          <w:rFonts w:ascii="Arial" w:hAnsi="Arial" w:cs="Arial"/>
        </w:rPr>
        <w:t>manner.</w:t>
      </w:r>
    </w:p>
    <w:p w14:paraId="267AC654" w14:textId="77777777" w:rsidR="00087D37" w:rsidRPr="00CD59CC" w:rsidRDefault="00087D37" w:rsidP="00CD59CC">
      <w:pPr>
        <w:ind w:left="567" w:hanging="567"/>
        <w:rPr>
          <w:rFonts w:ascii="Arial" w:hAnsi="Arial" w:cs="Arial"/>
        </w:rPr>
      </w:pPr>
    </w:p>
    <w:p w14:paraId="4F175EBB" w14:textId="77777777" w:rsidR="00087D37" w:rsidRPr="00CD59CC" w:rsidRDefault="00087D37" w:rsidP="00CD59CC">
      <w:pPr>
        <w:pStyle w:val="ListParagraph"/>
        <w:numPr>
          <w:ilvl w:val="0"/>
          <w:numId w:val="1"/>
        </w:numPr>
        <w:ind w:left="567" w:hanging="567"/>
        <w:contextualSpacing/>
        <w:rPr>
          <w:rFonts w:ascii="Arial" w:hAnsi="Arial" w:cs="Arial"/>
          <w:i/>
        </w:rPr>
      </w:pPr>
      <w:r w:rsidRPr="00CD59CC">
        <w:rPr>
          <w:rFonts w:ascii="Arial" w:hAnsi="Arial" w:cs="Arial"/>
          <w:i/>
        </w:rPr>
        <w:t>In</w:t>
      </w:r>
      <w:r w:rsidR="007B7640" w:rsidRPr="00CD59CC">
        <w:rPr>
          <w:rFonts w:ascii="Arial" w:hAnsi="Arial" w:cs="Arial"/>
          <w:i/>
        </w:rPr>
        <w:t xml:space="preserve"> </w:t>
      </w:r>
      <w:r w:rsidRPr="00CD59CC">
        <w:rPr>
          <w:rFonts w:ascii="Arial" w:hAnsi="Arial" w:cs="Arial"/>
          <w:i/>
        </w:rPr>
        <w:t>particular,</w:t>
      </w:r>
      <w:r w:rsidR="007B7640" w:rsidRPr="00CD59CC">
        <w:rPr>
          <w:rFonts w:ascii="Arial" w:hAnsi="Arial" w:cs="Arial"/>
          <w:i/>
        </w:rPr>
        <w:t xml:space="preserve"> </w:t>
      </w:r>
      <w:r w:rsidRPr="00CD59CC">
        <w:rPr>
          <w:rFonts w:ascii="Arial" w:hAnsi="Arial" w:cs="Arial"/>
          <w:i/>
        </w:rPr>
        <w:t>where</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constitutional</w:t>
      </w:r>
      <w:r w:rsidR="007B7640" w:rsidRPr="00CD59CC">
        <w:rPr>
          <w:rFonts w:ascii="Arial" w:hAnsi="Arial" w:cs="Arial"/>
          <w:i/>
        </w:rPr>
        <w:t xml:space="preserve"> </w:t>
      </w:r>
      <w:r w:rsidRPr="00CD59CC">
        <w:rPr>
          <w:rFonts w:ascii="Arial" w:hAnsi="Arial" w:cs="Arial"/>
          <w:i/>
        </w:rPr>
        <w:t>equality</w:t>
      </w:r>
      <w:r w:rsidR="007B7640" w:rsidRPr="00CD59CC">
        <w:rPr>
          <w:rFonts w:ascii="Arial" w:hAnsi="Arial" w:cs="Arial"/>
          <w:i/>
        </w:rPr>
        <w:t xml:space="preserve"> </w:t>
      </w:r>
      <w:r w:rsidRPr="00CD59CC">
        <w:rPr>
          <w:rFonts w:ascii="Arial" w:hAnsi="Arial" w:cs="Arial"/>
          <w:i/>
        </w:rPr>
        <w:t>clause</w:t>
      </w:r>
      <w:r w:rsidR="007B7640" w:rsidRPr="00CD59CC">
        <w:rPr>
          <w:rFonts w:ascii="Arial" w:hAnsi="Arial" w:cs="Arial"/>
          <w:i/>
        </w:rPr>
        <w:t xml:space="preserve"> </w:t>
      </w:r>
      <w:r w:rsidRPr="00CD59CC">
        <w:rPr>
          <w:rFonts w:ascii="Arial" w:hAnsi="Arial" w:cs="Arial"/>
          <w:i/>
        </w:rPr>
        <w:t>exists,</w:t>
      </w:r>
      <w:r w:rsidR="007B7640" w:rsidRPr="00CD59CC">
        <w:rPr>
          <w:rFonts w:ascii="Arial" w:hAnsi="Arial" w:cs="Arial"/>
          <w:i/>
        </w:rPr>
        <w:t xml:space="preserve"> </w:t>
      </w:r>
      <w:r w:rsidRPr="00CD59CC">
        <w:rPr>
          <w:rFonts w:ascii="Arial" w:hAnsi="Arial" w:cs="Arial"/>
          <w:i/>
        </w:rPr>
        <w:t>can</w:t>
      </w:r>
      <w:r w:rsidR="007B7640" w:rsidRPr="00CD59CC">
        <w:rPr>
          <w:rFonts w:ascii="Arial" w:hAnsi="Arial" w:cs="Arial"/>
          <w:i/>
        </w:rPr>
        <w:t xml:space="preserve"> </w:t>
      </w:r>
      <w:r w:rsidRPr="00CD59CC">
        <w:rPr>
          <w:rFonts w:ascii="Arial" w:hAnsi="Arial" w:cs="Arial"/>
          <w:i/>
        </w:rPr>
        <w:t>it</w:t>
      </w:r>
      <w:r w:rsidR="007B7640" w:rsidRPr="00CD59CC">
        <w:rPr>
          <w:rFonts w:ascii="Arial" w:hAnsi="Arial" w:cs="Arial"/>
          <w:i/>
        </w:rPr>
        <w:t xml:space="preserve"> </w:t>
      </w:r>
      <w:r w:rsidRPr="00CD59CC">
        <w:rPr>
          <w:rFonts w:ascii="Arial" w:hAnsi="Arial" w:cs="Arial"/>
          <w:i/>
        </w:rPr>
        <w:t>(also)</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enforced</w:t>
      </w:r>
      <w:r w:rsidR="007B7640" w:rsidRPr="00CD59CC">
        <w:rPr>
          <w:rFonts w:ascii="Arial" w:hAnsi="Arial" w:cs="Arial"/>
          <w:i/>
        </w:rPr>
        <w:t xml:space="preserve"> </w:t>
      </w:r>
      <w:r w:rsidRPr="00CD59CC">
        <w:rPr>
          <w:rFonts w:ascii="Arial" w:hAnsi="Arial" w:cs="Arial"/>
          <w:i/>
        </w:rPr>
        <w:t>against</w:t>
      </w:r>
      <w:r w:rsidR="007B7640" w:rsidRPr="00CD59CC">
        <w:rPr>
          <w:rFonts w:ascii="Arial" w:hAnsi="Arial" w:cs="Arial"/>
          <w:i/>
        </w:rPr>
        <w:t xml:space="preserve"> </w:t>
      </w:r>
      <w:r w:rsidRPr="00CD59CC">
        <w:rPr>
          <w:rFonts w:ascii="Arial" w:hAnsi="Arial" w:cs="Arial"/>
          <w:i/>
        </w:rPr>
        <w:t>private</w:t>
      </w:r>
      <w:r w:rsidR="007B7640" w:rsidRPr="00CD59CC">
        <w:rPr>
          <w:rFonts w:ascii="Arial" w:hAnsi="Arial" w:cs="Arial"/>
          <w:i/>
        </w:rPr>
        <w:t xml:space="preserve"> </w:t>
      </w:r>
      <w:r w:rsidRPr="00CD59CC">
        <w:rPr>
          <w:rFonts w:ascii="Arial" w:hAnsi="Arial" w:cs="Arial"/>
          <w:i/>
        </w:rPr>
        <w:t>actors</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opposed</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State)?</w:t>
      </w:r>
    </w:p>
    <w:p w14:paraId="4E99FA15" w14:textId="77777777" w:rsidR="00087D37" w:rsidRPr="00CD59CC" w:rsidRDefault="00087D37" w:rsidP="00CD59CC">
      <w:pPr>
        <w:rPr>
          <w:rFonts w:ascii="Arial" w:hAnsi="Arial" w:cs="Arial"/>
        </w:rPr>
      </w:pPr>
    </w:p>
    <w:p w14:paraId="041BE2C8" w14:textId="77777777" w:rsidR="00087D37" w:rsidRPr="00CD59CC" w:rsidRDefault="00087D37"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possibility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complaint</w:t>
      </w:r>
      <w:r w:rsidR="007B7640" w:rsidRPr="00CD59CC">
        <w:rPr>
          <w:rFonts w:ascii="Arial" w:hAnsi="Arial" w:cs="Arial"/>
        </w:rPr>
        <w:t xml:space="preserve"> </w:t>
      </w:r>
      <w:r w:rsidRPr="00CD59CC">
        <w:rPr>
          <w:rFonts w:ascii="Arial" w:hAnsi="Arial" w:cs="Arial"/>
        </w:rPr>
        <w:t>exists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lawsuits</w:t>
      </w:r>
      <w:r w:rsidR="007B7640" w:rsidRPr="00CD59CC">
        <w:rPr>
          <w:rFonts w:ascii="Arial" w:hAnsi="Arial" w:cs="Arial"/>
        </w:rPr>
        <w:t xml:space="preserve"> </w:t>
      </w:r>
      <w:r w:rsidRPr="00CD59CC">
        <w:rPr>
          <w:rFonts w:ascii="Arial" w:hAnsi="Arial" w:cs="Arial"/>
        </w:rPr>
        <w:t>involving</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parties,</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running</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route</w:t>
      </w:r>
      <w:r w:rsidR="007B7640" w:rsidRPr="00CD59CC">
        <w:rPr>
          <w:rFonts w:ascii="Arial" w:hAnsi="Arial" w:cs="Arial"/>
        </w:rPr>
        <w:t xml:space="preserve"> </w:t>
      </w:r>
      <w:r w:rsidRPr="00CD59CC">
        <w:rPr>
          <w:rFonts w:ascii="Arial" w:hAnsi="Arial" w:cs="Arial"/>
        </w:rPr>
        <w:t>available.</w:t>
      </w:r>
    </w:p>
    <w:p w14:paraId="3CD7BC64" w14:textId="77777777" w:rsidR="00C76811" w:rsidRPr="00BB4E9F" w:rsidRDefault="00C76811" w:rsidP="00CD59CC">
      <w:pPr>
        <w:rPr>
          <w:rFonts w:ascii="Arial" w:hAnsi="Arial"/>
          <w:i/>
        </w:rPr>
      </w:pPr>
    </w:p>
    <w:p w14:paraId="3B6328D6" w14:textId="77777777" w:rsidR="002B5BCD" w:rsidRPr="00CD59CC" w:rsidRDefault="00C76811" w:rsidP="00CD59CC">
      <w:pPr>
        <w:pStyle w:val="Heading1"/>
        <w:rPr>
          <w:rFonts w:cs="Arial"/>
        </w:rPr>
      </w:pPr>
      <w:bookmarkStart w:id="29" w:name="_Toc220221133"/>
      <w:r w:rsidRPr="00BB4E9F">
        <w:rPr>
          <w:lang w:val="en-GB"/>
        </w:rPr>
        <w:br w:type="page"/>
      </w:r>
      <w:bookmarkStart w:id="30" w:name="_Toc392758703"/>
      <w:bookmarkStart w:id="31" w:name="_Toc329163595"/>
      <w:bookmarkStart w:id="32" w:name="_Toc366846312"/>
      <w:r w:rsidR="002B5BCD" w:rsidRPr="00CD59CC">
        <w:rPr>
          <w:rFonts w:cs="Arial"/>
        </w:rPr>
        <w:lastRenderedPageBreak/>
        <w:t>THE</w:t>
      </w:r>
      <w:r w:rsidR="007B7640" w:rsidRPr="00CD59CC">
        <w:rPr>
          <w:rFonts w:cs="Arial"/>
        </w:rPr>
        <w:t xml:space="preserve"> </w:t>
      </w:r>
      <w:r w:rsidR="002B5BCD" w:rsidRPr="00CD59CC">
        <w:rPr>
          <w:rFonts w:cs="Arial"/>
        </w:rPr>
        <w:t>DEFINITION</w:t>
      </w:r>
      <w:r w:rsidR="007B7640" w:rsidRPr="00CD59CC">
        <w:rPr>
          <w:rFonts w:cs="Arial"/>
        </w:rPr>
        <w:t xml:space="preserve"> </w:t>
      </w:r>
      <w:r w:rsidR="002B5BCD" w:rsidRPr="00CD59CC">
        <w:rPr>
          <w:rFonts w:cs="Arial"/>
        </w:rPr>
        <w:t>OF</w:t>
      </w:r>
      <w:r w:rsidR="007B7640" w:rsidRPr="00CD59CC">
        <w:rPr>
          <w:rFonts w:cs="Arial"/>
        </w:rPr>
        <w:t xml:space="preserve"> </w:t>
      </w:r>
      <w:r w:rsidR="002B5BCD" w:rsidRPr="00CD59CC">
        <w:rPr>
          <w:rFonts w:cs="Arial"/>
        </w:rPr>
        <w:t>DISCRIMINATION</w:t>
      </w:r>
      <w:bookmarkEnd w:id="29"/>
      <w:bookmarkEnd w:id="30"/>
      <w:bookmarkEnd w:id="31"/>
      <w:bookmarkEnd w:id="32"/>
      <w:r w:rsidR="007B7640" w:rsidRPr="00CD59CC">
        <w:rPr>
          <w:rFonts w:cs="Arial"/>
        </w:rPr>
        <w:t xml:space="preserve"> </w:t>
      </w:r>
    </w:p>
    <w:p w14:paraId="662271C8" w14:textId="77777777" w:rsidR="002B5BCD" w:rsidRPr="00CD59CC" w:rsidRDefault="002B5BCD" w:rsidP="00CD59CC">
      <w:pPr>
        <w:rPr>
          <w:rFonts w:ascii="Arial" w:hAnsi="Arial" w:cs="Arial"/>
        </w:rPr>
      </w:pPr>
    </w:p>
    <w:p w14:paraId="5273EFE7" w14:textId="77777777" w:rsidR="002B5BCD" w:rsidRPr="00CD59CC" w:rsidRDefault="002B5BCD" w:rsidP="00CD59CC">
      <w:pPr>
        <w:pStyle w:val="Heading2"/>
        <w:rPr>
          <w:rFonts w:cs="Arial"/>
        </w:rPr>
      </w:pPr>
      <w:bookmarkStart w:id="33" w:name="_Toc220221134"/>
      <w:bookmarkStart w:id="34" w:name="_Toc392758704"/>
      <w:bookmarkStart w:id="35" w:name="_Toc329163596"/>
      <w:bookmarkStart w:id="36" w:name="_Toc366846313"/>
      <w:r w:rsidRPr="00CD59CC">
        <w:rPr>
          <w:rFonts w:cs="Arial"/>
        </w:rPr>
        <w:t>Grounds</w:t>
      </w:r>
      <w:r w:rsidR="007B7640" w:rsidRPr="00CD59CC">
        <w:rPr>
          <w:rFonts w:cs="Arial"/>
        </w:rPr>
        <w:t xml:space="preserve"> </w:t>
      </w:r>
      <w:r w:rsidRPr="00CD59CC">
        <w:rPr>
          <w:rFonts w:cs="Arial"/>
        </w:rPr>
        <w:t>of</w:t>
      </w:r>
      <w:r w:rsidR="007B7640" w:rsidRPr="00CD59CC">
        <w:rPr>
          <w:rFonts w:cs="Arial"/>
        </w:rPr>
        <w:t xml:space="preserve"> </w:t>
      </w:r>
      <w:r w:rsidRPr="00CD59CC">
        <w:rPr>
          <w:rFonts w:cs="Arial"/>
        </w:rPr>
        <w:t>unlawful</w:t>
      </w:r>
      <w:r w:rsidR="007B7640" w:rsidRPr="00CD59CC">
        <w:rPr>
          <w:rFonts w:cs="Arial"/>
        </w:rPr>
        <w:t xml:space="preserve"> </w:t>
      </w:r>
      <w:r w:rsidRPr="00CD59CC">
        <w:rPr>
          <w:rFonts w:cs="Arial"/>
        </w:rPr>
        <w:t>discrimination</w:t>
      </w:r>
      <w:bookmarkEnd w:id="33"/>
      <w:bookmarkEnd w:id="34"/>
      <w:bookmarkEnd w:id="35"/>
      <w:bookmarkEnd w:id="36"/>
      <w:r w:rsidR="007B7640" w:rsidRPr="00CD59CC">
        <w:rPr>
          <w:rFonts w:cs="Arial"/>
        </w:rPr>
        <w:t xml:space="preserve"> </w:t>
      </w:r>
    </w:p>
    <w:p w14:paraId="44C7607C" w14:textId="77777777" w:rsidR="002B5BCD" w:rsidRPr="00CD59CC" w:rsidRDefault="002B5BCD" w:rsidP="00CD59CC">
      <w:pPr>
        <w:rPr>
          <w:rFonts w:ascii="Arial" w:hAnsi="Arial" w:cs="Arial"/>
          <w:i/>
        </w:rPr>
      </w:pPr>
    </w:p>
    <w:p w14:paraId="2FCD60A5" w14:textId="77777777" w:rsidR="002B5BCD" w:rsidRPr="00CD59CC" w:rsidRDefault="002B5BCD" w:rsidP="00CD59CC">
      <w:pPr>
        <w:rPr>
          <w:rFonts w:ascii="Arial" w:hAnsi="Arial" w:cs="Arial"/>
          <w:i/>
        </w:rPr>
      </w:pPr>
      <w:r w:rsidRPr="00CD59CC">
        <w:rPr>
          <w:rFonts w:ascii="Arial" w:hAnsi="Arial" w:cs="Arial"/>
          <w:i/>
        </w:rPr>
        <w:t>Which</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are</w:t>
      </w:r>
      <w:r w:rsidR="007B7640" w:rsidRPr="00CD59CC">
        <w:rPr>
          <w:rFonts w:ascii="Arial" w:hAnsi="Arial" w:cs="Arial"/>
          <w:i/>
        </w:rPr>
        <w:t xml:space="preserve"> </w:t>
      </w:r>
      <w:r w:rsidRPr="00CD59CC">
        <w:rPr>
          <w:rFonts w:ascii="Arial" w:hAnsi="Arial" w:cs="Arial"/>
          <w:i/>
        </w:rPr>
        <w:t>explicitly</w:t>
      </w:r>
      <w:r w:rsidR="007B7640" w:rsidRPr="00CD59CC">
        <w:rPr>
          <w:rFonts w:ascii="Arial" w:hAnsi="Arial" w:cs="Arial"/>
          <w:i/>
        </w:rPr>
        <w:t xml:space="preserve"> </w:t>
      </w:r>
      <w:r w:rsidRPr="00CD59CC">
        <w:rPr>
          <w:rFonts w:ascii="Arial" w:hAnsi="Arial" w:cs="Arial"/>
          <w:i/>
        </w:rPr>
        <w:t>prohibited</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All</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covered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should</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listed,</w:t>
      </w:r>
      <w:r w:rsidR="007B7640" w:rsidRPr="00CD59CC">
        <w:rPr>
          <w:rFonts w:ascii="Arial" w:hAnsi="Arial" w:cs="Arial"/>
          <w:i/>
        </w:rPr>
        <w:t xml:space="preserve"> </w:t>
      </w:r>
      <w:r w:rsidRPr="00CD59CC">
        <w:rPr>
          <w:rFonts w:ascii="Arial" w:hAnsi="Arial" w:cs="Arial"/>
          <w:i/>
        </w:rPr>
        <w:t>including</w:t>
      </w:r>
      <w:r w:rsidR="007B7640" w:rsidRPr="00CD59CC">
        <w:rPr>
          <w:rFonts w:ascii="Arial" w:hAnsi="Arial" w:cs="Arial"/>
          <w:i/>
        </w:rPr>
        <w:t xml:space="preserve"> </w:t>
      </w:r>
      <w:r w:rsidRPr="00CD59CC">
        <w:rPr>
          <w:rFonts w:ascii="Arial" w:hAnsi="Arial" w:cs="Arial"/>
          <w:i/>
        </w:rPr>
        <w:t>those</w:t>
      </w:r>
      <w:r w:rsidR="007B7640" w:rsidRPr="00CD59CC">
        <w:rPr>
          <w:rFonts w:ascii="Arial" w:hAnsi="Arial" w:cs="Arial"/>
          <w:i/>
        </w:rPr>
        <w:t xml:space="preserve"> </w:t>
      </w:r>
      <w:r w:rsidRPr="00CD59CC">
        <w:rPr>
          <w:rFonts w:ascii="Arial" w:hAnsi="Arial" w:cs="Arial"/>
          <w:i/>
        </w:rPr>
        <w:t>not</w:t>
      </w:r>
      <w:r w:rsidR="007B7640" w:rsidRPr="00CD59CC">
        <w:rPr>
          <w:rFonts w:ascii="Arial" w:hAnsi="Arial" w:cs="Arial"/>
          <w:i/>
        </w:rPr>
        <w:t xml:space="preserve"> </w:t>
      </w:r>
      <w:r w:rsidRPr="00CD59CC">
        <w:rPr>
          <w:rFonts w:ascii="Arial" w:hAnsi="Arial" w:cs="Arial"/>
          <w:i/>
        </w:rPr>
        <w:t>covered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Directives.</w:t>
      </w:r>
      <w:r w:rsidR="007B7640" w:rsidRPr="00CD59CC">
        <w:rPr>
          <w:rFonts w:ascii="Arial" w:hAnsi="Arial" w:cs="Arial"/>
          <w:i/>
        </w:rPr>
        <w:t xml:space="preserve"> </w:t>
      </w:r>
    </w:p>
    <w:p w14:paraId="75016D7C" w14:textId="77777777" w:rsidR="002B5BCD" w:rsidRPr="00CD59CC" w:rsidRDefault="002B5BCD" w:rsidP="00CD59CC">
      <w:pPr>
        <w:rPr>
          <w:rFonts w:ascii="Arial" w:hAnsi="Arial" w:cs="Arial"/>
        </w:rPr>
      </w:pPr>
    </w:p>
    <w:p w14:paraId="52D21C31" w14:textId="77777777" w:rsidR="00D63D93" w:rsidRPr="00CD59CC" w:rsidRDefault="00D63D93"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p>
    <w:p w14:paraId="61905E3D" w14:textId="77777777" w:rsidR="00D63D93" w:rsidRPr="00CD59CC" w:rsidRDefault="00D63D93" w:rsidP="00CD59CC">
      <w:pPr>
        <w:rPr>
          <w:rFonts w:ascii="Arial" w:hAnsi="Arial" w:cs="Arial"/>
        </w:rPr>
      </w:pPr>
    </w:p>
    <w:p w14:paraId="7A7C2D36"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sex</w:t>
      </w:r>
    </w:p>
    <w:p w14:paraId="08DF75C5"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racial</w:t>
      </w:r>
      <w:r w:rsidR="007B7640" w:rsidRPr="00CD59CC">
        <w:rPr>
          <w:rFonts w:ascii="Arial" w:hAnsi="Arial" w:cs="Arial"/>
        </w:rPr>
        <w:t xml:space="preserve"> </w:t>
      </w:r>
      <w:r w:rsidRPr="00CD59CC">
        <w:rPr>
          <w:rFonts w:ascii="Arial" w:hAnsi="Arial" w:cs="Arial"/>
        </w:rPr>
        <w:t>affiliation</w:t>
      </w:r>
    </w:p>
    <w:p w14:paraId="7FB5B17F"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colour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skin</w:t>
      </w:r>
    </w:p>
    <w:p w14:paraId="78675868"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nationality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sense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citizenship)</w:t>
      </w:r>
    </w:p>
    <w:p w14:paraId="2FB796FA"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belonging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minority</w:t>
      </w:r>
    </w:p>
    <w:p w14:paraId="3127BEC7"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mother</w:t>
      </w:r>
      <w:r w:rsidR="007B7640" w:rsidRPr="00CD59CC">
        <w:rPr>
          <w:rFonts w:ascii="Arial" w:hAnsi="Arial" w:cs="Arial"/>
        </w:rPr>
        <w:t xml:space="preserve"> </w:t>
      </w:r>
      <w:r w:rsidRPr="00CD59CC">
        <w:rPr>
          <w:rFonts w:ascii="Arial" w:hAnsi="Arial" w:cs="Arial"/>
        </w:rPr>
        <w:t>tongue</w:t>
      </w:r>
    </w:p>
    <w:p w14:paraId="5CCE967B"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disability</w:t>
      </w:r>
    </w:p>
    <w:p w14:paraId="7C6FE3BE"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health</w:t>
      </w:r>
      <w:r w:rsidR="007B7640" w:rsidRPr="00CD59CC">
        <w:rPr>
          <w:rFonts w:ascii="Arial" w:hAnsi="Arial" w:cs="Arial"/>
        </w:rPr>
        <w:t xml:space="preserve"> </w:t>
      </w:r>
      <w:r w:rsidRPr="00CD59CC">
        <w:rPr>
          <w:rFonts w:ascii="Arial" w:hAnsi="Arial" w:cs="Arial"/>
        </w:rPr>
        <w:t>condition</w:t>
      </w:r>
    </w:p>
    <w:p w14:paraId="6B80E1E9"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religion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belief</w:t>
      </w:r>
    </w:p>
    <w:p w14:paraId="4A67AB71"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political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opinion</w:t>
      </w:r>
    </w:p>
    <w:p w14:paraId="0628FB60"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family</w:t>
      </w:r>
      <w:r w:rsidR="007B7640" w:rsidRPr="00CD59CC">
        <w:rPr>
          <w:rFonts w:ascii="Arial" w:hAnsi="Arial" w:cs="Arial"/>
        </w:rPr>
        <w:t xml:space="preserve"> </w:t>
      </w:r>
      <w:r w:rsidRPr="00CD59CC">
        <w:rPr>
          <w:rFonts w:ascii="Arial" w:hAnsi="Arial" w:cs="Arial"/>
        </w:rPr>
        <w:t>status</w:t>
      </w:r>
    </w:p>
    <w:p w14:paraId="6D4045DF"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maternity</w:t>
      </w:r>
      <w:r w:rsidR="007B7640" w:rsidRPr="00CD59CC">
        <w:rPr>
          <w:rFonts w:ascii="Arial" w:hAnsi="Arial" w:cs="Arial"/>
        </w:rPr>
        <w:t xml:space="preserve"> </w:t>
      </w:r>
      <w:r w:rsidRPr="00CD59CC">
        <w:rPr>
          <w:rFonts w:ascii="Arial" w:hAnsi="Arial" w:cs="Arial"/>
        </w:rPr>
        <w:t>(pregnancy)</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paternity</w:t>
      </w:r>
    </w:p>
    <w:p w14:paraId="55C57E76"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p>
    <w:p w14:paraId="149157DA"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sexual</w:t>
      </w:r>
      <w:r w:rsidR="007B7640" w:rsidRPr="00CD59CC">
        <w:rPr>
          <w:rFonts w:ascii="Arial" w:hAnsi="Arial" w:cs="Arial"/>
        </w:rPr>
        <w:t xml:space="preserve"> </w:t>
      </w:r>
      <w:r w:rsidRPr="00CD59CC">
        <w:rPr>
          <w:rFonts w:ascii="Arial" w:hAnsi="Arial" w:cs="Arial"/>
        </w:rPr>
        <w:t>identity</w:t>
      </w:r>
    </w:p>
    <w:p w14:paraId="26E3F7A6"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age</w:t>
      </w:r>
    </w:p>
    <w:p w14:paraId="12A070A7"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social</w:t>
      </w:r>
      <w:r w:rsidR="007B7640" w:rsidRPr="00CD59CC">
        <w:rPr>
          <w:rFonts w:ascii="Arial" w:hAnsi="Arial" w:cs="Arial"/>
        </w:rPr>
        <w:t xml:space="preserve"> </w:t>
      </w:r>
      <w:r w:rsidRPr="00CD59CC">
        <w:rPr>
          <w:rFonts w:ascii="Arial" w:hAnsi="Arial" w:cs="Arial"/>
        </w:rPr>
        <w:t>origin</w:t>
      </w:r>
    </w:p>
    <w:p w14:paraId="300E65E0"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financial</w:t>
      </w:r>
      <w:r w:rsidR="007B7640" w:rsidRPr="00CD59CC">
        <w:rPr>
          <w:rFonts w:ascii="Arial" w:hAnsi="Arial" w:cs="Arial"/>
        </w:rPr>
        <w:t xml:space="preserve"> </w:t>
      </w:r>
      <w:r w:rsidRPr="00CD59CC">
        <w:rPr>
          <w:rFonts w:ascii="Arial" w:hAnsi="Arial" w:cs="Arial"/>
        </w:rPr>
        <w:t>status</w:t>
      </w:r>
    </w:p>
    <w:p w14:paraId="3367067C"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part-time</w:t>
      </w:r>
      <w:r w:rsidR="007B7640" w:rsidRPr="00CD59CC">
        <w:rPr>
          <w:rFonts w:ascii="Arial" w:hAnsi="Arial" w:cs="Arial"/>
        </w:rPr>
        <w:t xml:space="preserve"> </w:t>
      </w:r>
      <w:r w:rsidRPr="00CD59CC">
        <w:rPr>
          <w:rFonts w:ascii="Arial" w:hAnsi="Arial" w:cs="Arial"/>
        </w:rPr>
        <w:t>nature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determined</w:t>
      </w:r>
      <w:r w:rsidR="007B7640" w:rsidRPr="00CD59CC">
        <w:rPr>
          <w:rFonts w:ascii="Arial" w:hAnsi="Arial" w:cs="Arial"/>
        </w:rPr>
        <w:t xml:space="preserve"> </w:t>
      </w:r>
      <w:r w:rsidRPr="00CD59CC">
        <w:rPr>
          <w:rFonts w:ascii="Arial" w:hAnsi="Arial" w:cs="Arial"/>
        </w:rPr>
        <w:t>period</w:t>
      </w:r>
      <w:r w:rsidR="007B7640" w:rsidRPr="00CD59CC">
        <w:rPr>
          <w:rFonts w:ascii="Arial" w:hAnsi="Arial" w:cs="Arial"/>
        </w:rPr>
        <w:t xml:space="preserve"> </w:t>
      </w:r>
      <w:r w:rsidRPr="00CD59CC">
        <w:rPr>
          <w:rFonts w:ascii="Arial" w:hAnsi="Arial" w:cs="Arial"/>
        </w:rPr>
        <w:t>thereof</w:t>
      </w:r>
    </w:p>
    <w:p w14:paraId="1270A129"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belonging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interest</w:t>
      </w:r>
      <w:r w:rsidR="007B7640" w:rsidRPr="00CD59CC">
        <w:rPr>
          <w:rFonts w:ascii="Arial" w:hAnsi="Arial" w:cs="Arial"/>
        </w:rPr>
        <w:t xml:space="preserve"> </w:t>
      </w:r>
      <w:r w:rsidRPr="00CD59CC">
        <w:rPr>
          <w:rFonts w:ascii="Arial" w:hAnsi="Arial" w:cs="Arial"/>
        </w:rPr>
        <w:t>representation</w:t>
      </w:r>
    </w:p>
    <w:p w14:paraId="05E35AC5"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other</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attribution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condition</w:t>
      </w:r>
      <w:r w:rsidR="007B7640" w:rsidRPr="00CD59CC">
        <w:rPr>
          <w:rFonts w:ascii="Arial" w:hAnsi="Arial" w:cs="Arial"/>
        </w:rPr>
        <w:t xml:space="preserve"> </w:t>
      </w:r>
      <w:r w:rsidRPr="00CD59CC">
        <w:rPr>
          <w:rFonts w:ascii="Arial" w:hAnsi="Arial" w:cs="Arial"/>
        </w:rPr>
        <w:t>(hereinafter</w:t>
      </w:r>
      <w:r w:rsidR="007B7640" w:rsidRPr="00CD59CC">
        <w:rPr>
          <w:rFonts w:ascii="Arial" w:hAnsi="Arial" w:cs="Arial"/>
        </w:rPr>
        <w:t xml:space="preserve"> </w:t>
      </w:r>
      <w:r w:rsidRPr="00CD59CC">
        <w:rPr>
          <w:rFonts w:ascii="Arial" w:hAnsi="Arial" w:cs="Arial"/>
        </w:rPr>
        <w:t>together:</w:t>
      </w:r>
      <w:r w:rsidR="007B7640" w:rsidRPr="00CD59CC">
        <w:rPr>
          <w:rFonts w:ascii="Arial" w:hAnsi="Arial" w:cs="Arial"/>
        </w:rPr>
        <w:t xml:space="preserve"> </w:t>
      </w:r>
      <w:r w:rsidRPr="00CD59CC">
        <w:rPr>
          <w:rFonts w:ascii="Arial" w:hAnsi="Arial" w:cs="Arial"/>
        </w:rPr>
        <w:t>characteristic),</w:t>
      </w:r>
    </w:p>
    <w:p w14:paraId="7E1DE5DE" w14:textId="77777777" w:rsidR="00D63D93" w:rsidRPr="00CD59CC" w:rsidRDefault="00D63D93" w:rsidP="007B4138">
      <w:pPr>
        <w:numPr>
          <w:ilvl w:val="0"/>
          <w:numId w:val="39"/>
        </w:numPr>
        <w:suppressAutoHyphens/>
        <w:rPr>
          <w:rFonts w:ascii="Arial" w:hAnsi="Arial" w:cs="Arial"/>
        </w:rPr>
      </w:pPr>
      <w:r w:rsidRPr="00CD59CC">
        <w:rPr>
          <w:rFonts w:ascii="Arial" w:hAnsi="Arial" w:cs="Arial"/>
        </w:rPr>
        <w:t>of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group.</w:t>
      </w:r>
    </w:p>
    <w:p w14:paraId="5C087F97" w14:textId="77777777" w:rsidR="00D63D93" w:rsidRPr="00CD59CC" w:rsidRDefault="00D63D93" w:rsidP="00CD59CC">
      <w:pPr>
        <w:rPr>
          <w:rFonts w:ascii="Arial" w:hAnsi="Arial" w:cs="Arial"/>
        </w:rPr>
      </w:pPr>
    </w:p>
    <w:p w14:paraId="4D13AD21" w14:textId="77777777" w:rsidR="00D63D93" w:rsidRPr="00CD59CC" w:rsidRDefault="00D63D93"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list</w:t>
      </w:r>
      <w:r w:rsidR="007B7640" w:rsidRPr="00CD59CC">
        <w:rPr>
          <w:rFonts w:ascii="Arial" w:hAnsi="Arial" w:cs="Arial"/>
        </w:rPr>
        <w:t xml:space="preserve"> </w:t>
      </w:r>
      <w:r w:rsidRPr="00CD59CC">
        <w:rPr>
          <w:rFonts w:ascii="Arial" w:hAnsi="Arial" w:cs="Arial"/>
        </w:rPr>
        <w:t>covers</w:t>
      </w:r>
      <w:r w:rsidR="007B7640" w:rsidRPr="00CD59CC">
        <w:rPr>
          <w:rFonts w:ascii="Arial" w:hAnsi="Arial" w:cs="Arial"/>
        </w:rPr>
        <w:t xml:space="preserve"> </w:t>
      </w:r>
      <w:r w:rsidRPr="00CD59CC">
        <w:rPr>
          <w:rFonts w:ascii="Arial" w:hAnsi="Arial" w:cs="Arial"/>
        </w:rPr>
        <w:t>significantly</w:t>
      </w:r>
      <w:r w:rsidR="007B7640" w:rsidRPr="00CD59CC">
        <w:rPr>
          <w:rFonts w:ascii="Arial" w:hAnsi="Arial" w:cs="Arial"/>
        </w:rPr>
        <w:t xml:space="preserve"> </w:t>
      </w:r>
      <w:r w:rsidRPr="00CD59CC">
        <w:rPr>
          <w:rFonts w:ascii="Arial" w:hAnsi="Arial" w:cs="Arial"/>
        </w:rPr>
        <w:t>more</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non-exhaustive,</w:t>
      </w:r>
      <w:r w:rsidR="007B7640" w:rsidRPr="00CD59CC">
        <w:rPr>
          <w:rFonts w:ascii="Arial" w:hAnsi="Arial" w:cs="Arial"/>
        </w:rPr>
        <w:t xml:space="preserve"> </w:t>
      </w:r>
      <w:r w:rsidRPr="00CD59CC">
        <w:rPr>
          <w:rFonts w:ascii="Arial" w:hAnsi="Arial" w:cs="Arial"/>
        </w:rPr>
        <w:t>thus</w:t>
      </w:r>
      <w:r w:rsidR="007B7640" w:rsidRPr="00CD59CC">
        <w:rPr>
          <w:rFonts w:ascii="Arial" w:hAnsi="Arial" w:cs="Arial"/>
        </w:rPr>
        <w:t xml:space="preserve"> </w:t>
      </w:r>
      <w:r w:rsidRPr="00CD59CC">
        <w:rPr>
          <w:rFonts w:ascii="Arial" w:hAnsi="Arial" w:cs="Arial"/>
        </w:rPr>
        <w:t>providing</w:t>
      </w:r>
      <w:r w:rsidR="007B7640" w:rsidRPr="00CD59CC">
        <w:rPr>
          <w:rFonts w:ascii="Arial" w:hAnsi="Arial" w:cs="Arial"/>
        </w:rPr>
        <w:t xml:space="preserve"> </w:t>
      </w:r>
      <w:r w:rsidRPr="00CD59CC">
        <w:rPr>
          <w:rFonts w:ascii="Arial" w:hAnsi="Arial" w:cs="Arial"/>
        </w:rPr>
        <w:t>sufficient</w:t>
      </w:r>
      <w:r w:rsidR="007B7640" w:rsidRPr="00CD59CC">
        <w:rPr>
          <w:rFonts w:ascii="Arial" w:hAnsi="Arial" w:cs="Arial"/>
        </w:rPr>
        <w:t xml:space="preserve"> </w:t>
      </w:r>
      <w:r w:rsidRPr="00CD59CC">
        <w:rPr>
          <w:rFonts w:ascii="Arial" w:hAnsi="Arial" w:cs="Arial"/>
        </w:rPr>
        <w:t>flexibility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leaving</w:t>
      </w:r>
      <w:r w:rsidR="007B7640" w:rsidRPr="00CD59CC">
        <w:rPr>
          <w:rFonts w:ascii="Arial" w:hAnsi="Arial" w:cs="Arial"/>
        </w:rPr>
        <w:t xml:space="preserve"> </w:t>
      </w:r>
      <w:r w:rsidRPr="00CD59CC">
        <w:rPr>
          <w:rFonts w:ascii="Arial" w:hAnsi="Arial" w:cs="Arial"/>
        </w:rPr>
        <w:t>open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possibility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prohibiting</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included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list.</w:t>
      </w:r>
    </w:p>
    <w:p w14:paraId="06E5ACB3" w14:textId="77777777" w:rsidR="00D63D93" w:rsidRPr="00CD59CC" w:rsidRDefault="00D63D93" w:rsidP="00CD59CC">
      <w:pPr>
        <w:rPr>
          <w:rFonts w:ascii="Arial" w:hAnsi="Arial" w:cs="Arial"/>
        </w:rPr>
      </w:pPr>
    </w:p>
    <w:p w14:paraId="341EFD1C" w14:textId="77777777" w:rsidR="00D63D93" w:rsidRPr="00CD59CC" w:rsidRDefault="00D63D93" w:rsidP="00CD59CC">
      <w:pPr>
        <w:rPr>
          <w:rFonts w:ascii="Arial" w:hAnsi="Arial" w:cs="Arial"/>
        </w:rPr>
      </w:pP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hand,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raises</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concerns.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constitutes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significant</w:t>
      </w:r>
      <w:r w:rsidR="007B7640" w:rsidRPr="00CD59CC">
        <w:rPr>
          <w:rFonts w:ascii="Arial" w:hAnsi="Arial" w:cs="Arial"/>
        </w:rPr>
        <w:t xml:space="preserve"> </w:t>
      </w:r>
      <w:r w:rsidRPr="00CD59CC">
        <w:rPr>
          <w:rFonts w:ascii="Arial" w:hAnsi="Arial" w:cs="Arial"/>
        </w:rPr>
        <w:t>portion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establishes</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2007</w:t>
      </w:r>
      <w:r w:rsidR="007B7640" w:rsidRPr="00CD59CC">
        <w:rPr>
          <w:rFonts w:ascii="Arial" w:hAnsi="Arial" w:cs="Arial"/>
        </w:rPr>
        <w:t xml:space="preserve"> </w:t>
      </w:r>
      <w:r w:rsidRPr="00CD59CC">
        <w:rPr>
          <w:rFonts w:ascii="Arial" w:hAnsi="Arial" w:cs="Arial"/>
        </w:rPr>
        <w:t>five</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29</w:t>
      </w:r>
      <w:r w:rsidR="007B7640" w:rsidRPr="00CD59CC">
        <w:rPr>
          <w:rFonts w:ascii="Arial" w:hAnsi="Arial" w:cs="Arial"/>
        </w:rPr>
        <w:t xml:space="preserve"> </w:t>
      </w:r>
      <w:r w:rsidRPr="00CD59CC">
        <w:rPr>
          <w:rFonts w:ascii="Arial" w:hAnsi="Arial" w:cs="Arial"/>
        </w:rPr>
        <w:t>decisions</w:t>
      </w:r>
      <w:r w:rsidR="007B7640" w:rsidRPr="00CD59CC">
        <w:rPr>
          <w:rFonts w:ascii="Arial" w:hAnsi="Arial" w:cs="Arial"/>
        </w:rPr>
        <w:t xml:space="preserve"> </w:t>
      </w:r>
      <w:r w:rsidRPr="00CD59CC">
        <w:rPr>
          <w:rFonts w:ascii="Arial" w:hAnsi="Arial" w:cs="Arial"/>
        </w:rPr>
        <w:t>establishing</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differentiation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lastRenderedPageBreak/>
        <w:t>“other</w:t>
      </w:r>
      <w:r w:rsidR="007B7640" w:rsidRPr="00CD59CC">
        <w:rPr>
          <w:rFonts w:ascii="Arial" w:hAnsi="Arial" w:cs="Arial"/>
        </w:rPr>
        <w:t xml:space="preserve"> </w:t>
      </w:r>
      <w:r w:rsidRPr="00CD59CC">
        <w:rPr>
          <w:rFonts w:ascii="Arial" w:hAnsi="Arial" w:cs="Arial"/>
        </w:rPr>
        <w:t>characteristic”.</w:t>
      </w:r>
      <w:r w:rsidRPr="00CD59CC">
        <w:rPr>
          <w:rStyle w:val="FootnoteReference"/>
          <w:rFonts w:ascii="Arial" w:hAnsi="Arial" w:cs="Arial"/>
        </w:rPr>
        <w:footnoteReference w:id="18"/>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2008,</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37</w:t>
      </w:r>
      <w:r w:rsidR="007B7640" w:rsidRPr="00CD59CC">
        <w:rPr>
          <w:rFonts w:ascii="Arial" w:hAnsi="Arial" w:cs="Arial"/>
        </w:rPr>
        <w:t xml:space="preserve"> </w:t>
      </w:r>
      <w:r w:rsidRPr="00CD59CC">
        <w:rPr>
          <w:rFonts w:ascii="Arial" w:hAnsi="Arial" w:cs="Arial"/>
        </w:rPr>
        <w:t>decisions</w:t>
      </w:r>
      <w:r w:rsidR="007B7640" w:rsidRPr="00CD59CC">
        <w:rPr>
          <w:rFonts w:ascii="Arial" w:hAnsi="Arial" w:cs="Arial"/>
        </w:rPr>
        <w:t xml:space="preserve"> </w:t>
      </w:r>
      <w:r w:rsidRPr="00CD59CC">
        <w:rPr>
          <w:rFonts w:ascii="Arial" w:hAnsi="Arial" w:cs="Arial"/>
        </w:rPr>
        <w:t>holding</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occurred,</w:t>
      </w:r>
      <w:r w:rsidR="007B7640" w:rsidRPr="00CD59CC">
        <w:rPr>
          <w:rFonts w:ascii="Arial" w:hAnsi="Arial" w:cs="Arial"/>
        </w:rPr>
        <w:t xml:space="preserve"> </w:t>
      </w:r>
      <w:r w:rsidRPr="00CD59CC">
        <w:rPr>
          <w:rFonts w:ascii="Arial" w:hAnsi="Arial" w:cs="Arial"/>
        </w:rPr>
        <w:t>9</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ground.</w:t>
      </w:r>
      <w:r w:rsidRPr="00CD59CC">
        <w:rPr>
          <w:rStyle w:val="FootnoteReference"/>
          <w:rFonts w:ascii="Arial" w:hAnsi="Arial" w:cs="Arial"/>
        </w:rPr>
        <w:footnoteReference w:id="19"/>
      </w:r>
      <w:r w:rsidR="007B7640" w:rsidRPr="00CD59CC">
        <w:rPr>
          <w:rFonts w:ascii="Arial" w:hAnsi="Arial" w:cs="Arial"/>
        </w:rPr>
        <w:t xml:space="preserve"> </w:t>
      </w:r>
    </w:p>
    <w:p w14:paraId="23E0E9D9" w14:textId="77777777" w:rsidR="00D63D93" w:rsidRPr="00CD59CC" w:rsidRDefault="00D63D93" w:rsidP="00CD59CC">
      <w:pPr>
        <w:rPr>
          <w:rFonts w:ascii="Arial" w:hAnsi="Arial" w:cs="Arial"/>
        </w:rPr>
      </w:pPr>
    </w:p>
    <w:p w14:paraId="0677F909" w14:textId="77777777" w:rsidR="00D63D93" w:rsidRPr="00CD59CC" w:rsidRDefault="00D63D93" w:rsidP="00CD59CC">
      <w:pPr>
        <w:rPr>
          <w:rFonts w:ascii="Arial" w:hAnsi="Arial" w:cs="Arial"/>
        </w:rPr>
      </w:pPr>
      <w:r w:rsidRPr="00CD59CC">
        <w:rPr>
          <w:rFonts w:ascii="Arial" w:hAnsi="Arial" w:cs="Arial"/>
        </w:rPr>
        <w:t>An</w:t>
      </w:r>
      <w:r w:rsidR="007B7640" w:rsidRPr="00CD59CC">
        <w:rPr>
          <w:rFonts w:ascii="Arial" w:hAnsi="Arial" w:cs="Arial"/>
        </w:rPr>
        <w:t xml:space="preserve"> </w:t>
      </w:r>
      <w:r w:rsidRPr="00CD59CC">
        <w:rPr>
          <w:rFonts w:ascii="Arial" w:hAnsi="Arial" w:cs="Arial"/>
        </w:rPr>
        <w:t>overview</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Authority’s</w:t>
      </w:r>
      <w:r w:rsidR="007B7640" w:rsidRPr="00CD59CC">
        <w:rPr>
          <w:rFonts w:ascii="Arial" w:hAnsi="Arial" w:cs="Arial"/>
        </w:rPr>
        <w:t xml:space="preserve"> </w:t>
      </w:r>
      <w:r w:rsidRPr="00CD59CC">
        <w:rPr>
          <w:rFonts w:ascii="Arial" w:hAnsi="Arial" w:cs="Arial"/>
        </w:rPr>
        <w:t>decisions</w:t>
      </w:r>
      <w:r w:rsidR="007B7640" w:rsidRPr="00CD59CC">
        <w:rPr>
          <w:rFonts w:ascii="Arial" w:hAnsi="Arial" w:cs="Arial"/>
        </w:rPr>
        <w:t xml:space="preserve"> </w:t>
      </w:r>
      <w:r w:rsidRPr="00CD59CC">
        <w:rPr>
          <w:rFonts w:ascii="Arial" w:hAnsi="Arial" w:cs="Arial"/>
        </w:rPr>
        <w:t>showed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several</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instances</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feature</w:t>
      </w:r>
      <w:r w:rsidR="007B7640" w:rsidRPr="00CD59CC">
        <w:rPr>
          <w:rFonts w:ascii="Arial" w:hAnsi="Arial" w:cs="Arial"/>
        </w:rPr>
        <w:t xml:space="preserve"> </w:t>
      </w:r>
      <w:r w:rsidRPr="00CD59CC">
        <w:rPr>
          <w:rFonts w:ascii="Arial" w:hAnsi="Arial" w:cs="Arial"/>
        </w:rPr>
        <w:t>serving</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disadvantageous</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essential</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Examples</w:t>
      </w:r>
      <w:r w:rsidR="007B7640" w:rsidRPr="00CD59CC">
        <w:rPr>
          <w:rFonts w:ascii="Arial" w:hAnsi="Arial" w:cs="Arial"/>
        </w:rPr>
        <w:t xml:space="preserve"> </w:t>
      </w:r>
      <w:r w:rsidRPr="00CD59CC">
        <w:rPr>
          <w:rFonts w:ascii="Arial" w:hAnsi="Arial" w:cs="Arial"/>
        </w:rPr>
        <w:t>included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difference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opinion</w:t>
      </w:r>
      <w:r w:rsidR="007B7640" w:rsidRPr="00CD59CC">
        <w:rPr>
          <w:rFonts w:ascii="Arial" w:hAnsi="Arial" w:cs="Arial"/>
        </w:rPr>
        <w:t xml:space="preserve"> </w:t>
      </w:r>
      <w:r w:rsidRPr="00CD59CC">
        <w:rPr>
          <w:rFonts w:ascii="Arial" w:hAnsi="Arial" w:cs="Arial"/>
        </w:rPr>
        <w:t>between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Pr="00CD59CC">
        <w:rPr>
          <w:rStyle w:val="FootnoteReference"/>
          <w:rFonts w:ascii="Arial" w:hAnsi="Arial" w:cs="Arial"/>
        </w:rPr>
        <w:footnoteReference w:id="20"/>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employee</w:t>
      </w:r>
      <w:r w:rsidR="007B7640" w:rsidRPr="00CD59CC">
        <w:rPr>
          <w:rFonts w:ascii="Arial" w:hAnsi="Arial" w:cs="Arial"/>
        </w:rPr>
        <w:t xml:space="preserve"> </w:t>
      </w:r>
      <w:r w:rsidRPr="00CD59CC">
        <w:rPr>
          <w:rFonts w:ascii="Arial" w:hAnsi="Arial" w:cs="Arial"/>
        </w:rPr>
        <w:t>applied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leading</w:t>
      </w:r>
      <w:r w:rsidR="007B7640" w:rsidRPr="00CD59CC">
        <w:rPr>
          <w:rFonts w:ascii="Arial" w:hAnsi="Arial" w:cs="Arial"/>
        </w:rPr>
        <w:t xml:space="preserve"> </w:t>
      </w:r>
      <w:r w:rsidRPr="00CD59CC">
        <w:rPr>
          <w:rFonts w:ascii="Arial" w:hAnsi="Arial" w:cs="Arial"/>
        </w:rPr>
        <w:t>position</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workplace.</w:t>
      </w:r>
      <w:r w:rsidRPr="00CD59CC">
        <w:rPr>
          <w:rStyle w:val="FootnoteReference"/>
          <w:rFonts w:ascii="Arial" w:hAnsi="Arial" w:cs="Arial"/>
        </w:rPr>
        <w:footnoteReference w:id="21"/>
      </w:r>
    </w:p>
    <w:p w14:paraId="43998185" w14:textId="77777777" w:rsidR="00D63D93" w:rsidRPr="00CD59CC" w:rsidRDefault="00D63D93" w:rsidP="00CD59CC">
      <w:pPr>
        <w:rPr>
          <w:rFonts w:ascii="Arial" w:hAnsi="Arial" w:cs="Arial"/>
        </w:rPr>
      </w:pPr>
    </w:p>
    <w:p w14:paraId="730AAE72" w14:textId="77777777" w:rsidR="00D63D93" w:rsidRPr="00CD59CC" w:rsidRDefault="00D63D93"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2009,</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seemed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approach</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order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avoid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dilution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offered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instances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fell</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3</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48)</w:t>
      </w:r>
      <w:r w:rsidRPr="00CD59CC">
        <w:rPr>
          <w:rStyle w:val="FootnoteReference"/>
          <w:rFonts w:ascii="Arial" w:hAnsi="Arial" w:cs="Arial"/>
        </w:rPr>
        <w:footnoteReference w:id="22"/>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remained</w:t>
      </w:r>
      <w:r w:rsidR="007B7640" w:rsidRPr="00CD59CC">
        <w:rPr>
          <w:rFonts w:ascii="Arial" w:hAnsi="Arial" w:cs="Arial"/>
        </w:rPr>
        <w:t xml:space="preserve"> </w:t>
      </w:r>
      <w:r w:rsidRPr="00CD59CC">
        <w:rPr>
          <w:rFonts w:ascii="Arial" w:hAnsi="Arial" w:cs="Arial"/>
        </w:rPr>
        <w:t>relatively</w:t>
      </w:r>
      <w:r w:rsidR="007B7640" w:rsidRPr="00CD59CC">
        <w:rPr>
          <w:rFonts w:ascii="Arial" w:hAnsi="Arial" w:cs="Arial"/>
        </w:rPr>
        <w:t xml:space="preserve"> </w:t>
      </w:r>
      <w:r w:rsidRPr="00CD59CC">
        <w:rPr>
          <w:rFonts w:ascii="Arial" w:hAnsi="Arial" w:cs="Arial"/>
        </w:rPr>
        <w:t>low.</w:t>
      </w:r>
      <w:r w:rsidR="007B7640" w:rsidRPr="00CD59CC">
        <w:rPr>
          <w:rFonts w:ascii="Arial" w:hAnsi="Arial" w:cs="Arial"/>
        </w:rPr>
        <w:t xml:space="preserve"> </w:t>
      </w: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2010</w:t>
      </w:r>
      <w:r w:rsidR="007B7640" w:rsidRPr="00CD59CC">
        <w:rPr>
          <w:rFonts w:ascii="Arial" w:hAnsi="Arial" w:cs="Arial"/>
        </w:rPr>
        <w:t xml:space="preserve"> </w:t>
      </w:r>
      <w:r w:rsidRPr="00CD59CC">
        <w:rPr>
          <w:rFonts w:ascii="Arial" w:hAnsi="Arial" w:cs="Arial"/>
        </w:rPr>
        <w:t>annual</w:t>
      </w:r>
      <w:r w:rsidR="007B7640" w:rsidRPr="00CD59CC">
        <w:rPr>
          <w:rFonts w:ascii="Arial" w:hAnsi="Arial" w:cs="Arial"/>
        </w:rPr>
        <w:t xml:space="preserve"> </w:t>
      </w:r>
      <w:r w:rsidRPr="00CD59CC">
        <w:rPr>
          <w:rFonts w:ascii="Arial" w:hAnsi="Arial" w:cs="Arial"/>
        </w:rPr>
        <w:t>report,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40</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established.</w:t>
      </w:r>
      <w:r w:rsidRPr="00CD59CC">
        <w:rPr>
          <w:rStyle w:val="FootnoteReference"/>
          <w:rFonts w:ascii="Arial" w:hAnsi="Arial" w:cs="Arial"/>
        </w:rPr>
        <w:footnoteReference w:id="23"/>
      </w:r>
      <w:r w:rsidR="007B7640" w:rsidRPr="00CD59CC">
        <w:rPr>
          <w:rFonts w:ascii="Arial" w:hAnsi="Arial" w:cs="Arial"/>
        </w:rPr>
        <w:t xml:space="preserve"> </w:t>
      </w:r>
      <w:r w:rsidRPr="00CD59CC">
        <w:rPr>
          <w:rFonts w:ascii="Arial" w:hAnsi="Arial" w:cs="Arial"/>
        </w:rPr>
        <w:t>(Examples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features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include</w:t>
      </w:r>
      <w:r w:rsidR="007B7640" w:rsidRPr="00CD59CC">
        <w:rPr>
          <w:rFonts w:ascii="Arial" w:hAnsi="Arial" w:cs="Arial"/>
        </w:rPr>
        <w:t xml:space="preserve"> </w:t>
      </w:r>
      <w:r w:rsidRPr="00CD59CC">
        <w:rPr>
          <w:rFonts w:ascii="Arial" w:hAnsi="Arial" w:cs="Arial"/>
        </w:rPr>
        <w:t>citizenship,</w:t>
      </w:r>
      <w:r w:rsidR="007B7640" w:rsidRPr="00CD59CC">
        <w:rPr>
          <w:rFonts w:ascii="Arial" w:hAnsi="Arial" w:cs="Arial"/>
        </w:rPr>
        <w:t xml:space="preserve"> </w:t>
      </w:r>
      <w:r w:rsidRPr="00CD59CC">
        <w:rPr>
          <w:rFonts w:ascii="Arial" w:hAnsi="Arial" w:cs="Arial"/>
        </w:rPr>
        <w:t>speech</w:t>
      </w:r>
      <w:r w:rsidR="007B7640" w:rsidRPr="00CD59CC">
        <w:rPr>
          <w:rFonts w:ascii="Arial" w:hAnsi="Arial" w:cs="Arial"/>
        </w:rPr>
        <w:t xml:space="preserve"> </w:t>
      </w:r>
      <w:r w:rsidRPr="00CD59CC">
        <w:rPr>
          <w:rFonts w:ascii="Arial" w:hAnsi="Arial" w:cs="Arial"/>
        </w:rPr>
        <w:t>impediment,</w:t>
      </w:r>
      <w:r w:rsidR="007B7640" w:rsidRPr="00CD59CC">
        <w:rPr>
          <w:rFonts w:ascii="Arial" w:hAnsi="Arial" w:cs="Arial"/>
        </w:rPr>
        <w:t xml:space="preserve"> </w:t>
      </w:r>
      <w:r w:rsidRPr="00CD59CC">
        <w:rPr>
          <w:rFonts w:ascii="Arial" w:hAnsi="Arial" w:cs="Arial"/>
        </w:rPr>
        <w:t>residing</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particular</w:t>
      </w:r>
      <w:r w:rsidR="007B7640" w:rsidRPr="00CD59CC">
        <w:rPr>
          <w:rFonts w:ascii="Arial" w:hAnsi="Arial" w:cs="Arial"/>
        </w:rPr>
        <w:t xml:space="preserve"> </w:t>
      </w:r>
      <w:r w:rsidRPr="00CD59CC">
        <w:rPr>
          <w:rFonts w:ascii="Arial" w:hAnsi="Arial" w:cs="Arial"/>
        </w:rPr>
        <w:t>settlement.)</w:t>
      </w:r>
    </w:p>
    <w:p w14:paraId="7BD3312A" w14:textId="77777777" w:rsidR="00D63D93" w:rsidRPr="00CD59CC" w:rsidRDefault="00D63D93" w:rsidP="00CD59CC">
      <w:pPr>
        <w:rPr>
          <w:rFonts w:ascii="Arial" w:hAnsi="Arial" w:cs="Arial"/>
        </w:rPr>
      </w:pPr>
    </w:p>
    <w:p w14:paraId="70120BDF" w14:textId="77777777" w:rsidR="00D63D93" w:rsidRPr="00CD59CC" w:rsidRDefault="00D63D93"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issue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important</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raises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concern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claims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used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enjoy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benefits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more</w:t>
      </w:r>
      <w:r w:rsidR="007B7640" w:rsidRPr="00CD59CC">
        <w:rPr>
          <w:rFonts w:ascii="Arial" w:hAnsi="Arial" w:cs="Arial"/>
        </w:rPr>
        <w:t xml:space="preserve"> </w:t>
      </w:r>
      <w:r w:rsidRPr="00CD59CC">
        <w:rPr>
          <w:rFonts w:ascii="Arial" w:hAnsi="Arial" w:cs="Arial"/>
        </w:rPr>
        <w:t>advantageous</w:t>
      </w:r>
      <w:r w:rsidR="007B7640" w:rsidRPr="00CD59CC">
        <w:rPr>
          <w:rFonts w:ascii="Arial" w:hAnsi="Arial" w:cs="Arial"/>
        </w:rPr>
        <w:t xml:space="preserve"> </w:t>
      </w:r>
      <w:r w:rsidRPr="00CD59CC">
        <w:rPr>
          <w:rFonts w:ascii="Arial" w:hAnsi="Arial" w:cs="Arial"/>
        </w:rPr>
        <w:t>burden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proof</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injurious</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originally</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devised,</w:t>
      </w:r>
      <w:r w:rsidR="007B7640" w:rsidRPr="00CD59CC">
        <w:rPr>
          <w:rFonts w:ascii="Arial" w:hAnsi="Arial" w:cs="Arial"/>
        </w:rPr>
        <w:t xml:space="preserve"> </w:t>
      </w:r>
      <w:r w:rsidRPr="00CD59CC">
        <w:rPr>
          <w:rFonts w:ascii="Arial" w:hAnsi="Arial" w:cs="Arial"/>
        </w:rPr>
        <w:t>thus</w:t>
      </w:r>
      <w:r w:rsidR="007B7640" w:rsidRPr="00CD59CC">
        <w:rPr>
          <w:rFonts w:ascii="Arial" w:hAnsi="Arial" w:cs="Arial"/>
        </w:rPr>
        <w:t xml:space="preserve"> </w:t>
      </w:r>
      <w:r w:rsidRPr="00CD59CC">
        <w:rPr>
          <w:rFonts w:ascii="Arial" w:hAnsi="Arial" w:cs="Arial"/>
        </w:rPr>
        <w:t>diluting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primarily</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grounds.</w:t>
      </w:r>
    </w:p>
    <w:p w14:paraId="7F5E4E56" w14:textId="77777777" w:rsidR="00D63D93" w:rsidRPr="00CD59CC" w:rsidRDefault="00D63D93" w:rsidP="00CD59CC">
      <w:pPr>
        <w:rPr>
          <w:rFonts w:ascii="Arial" w:hAnsi="Arial" w:cs="Arial"/>
        </w:rPr>
      </w:pPr>
    </w:p>
    <w:p w14:paraId="5FF041D6" w14:textId="77777777" w:rsidR="00D63D93" w:rsidRPr="00CD59CC" w:rsidRDefault="00D63D93" w:rsidP="00CD59CC">
      <w:pPr>
        <w:rPr>
          <w:rFonts w:ascii="Arial" w:hAnsi="Arial" w:cs="Arial"/>
        </w:rPr>
      </w:pPr>
      <w:r w:rsidRPr="00CD59CC">
        <w:rPr>
          <w:rFonts w:ascii="Arial" w:hAnsi="Arial" w:cs="Arial"/>
        </w:rPr>
        <w:t>To</w:t>
      </w:r>
      <w:r w:rsidR="007B7640" w:rsidRPr="00CD59CC">
        <w:rPr>
          <w:rFonts w:ascii="Arial" w:hAnsi="Arial" w:cs="Arial"/>
        </w:rPr>
        <w:t xml:space="preserve"> </w:t>
      </w:r>
      <w:r w:rsidRPr="00CD59CC">
        <w:rPr>
          <w:rFonts w:ascii="Arial" w:hAnsi="Arial" w:cs="Arial"/>
        </w:rPr>
        <w:t>shape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jurisprudence,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Advisory</w:t>
      </w:r>
      <w:r w:rsidR="007B7640" w:rsidRPr="00CD59CC">
        <w:rPr>
          <w:rFonts w:ascii="Arial" w:hAnsi="Arial" w:cs="Arial"/>
        </w:rPr>
        <w:t xml:space="preserve"> </w:t>
      </w:r>
      <w:r w:rsidRPr="00CD59CC">
        <w:rPr>
          <w:rFonts w:ascii="Arial" w:hAnsi="Arial" w:cs="Arial"/>
        </w:rPr>
        <w:t>Board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six-member</w:t>
      </w:r>
      <w:r w:rsidR="007B7640" w:rsidRPr="00CD59CC">
        <w:rPr>
          <w:rFonts w:ascii="Arial" w:hAnsi="Arial" w:cs="Arial"/>
        </w:rPr>
        <w:t xml:space="preserve"> </w:t>
      </w:r>
      <w:r w:rsidRPr="00CD59CC">
        <w:rPr>
          <w:rFonts w:ascii="Arial" w:hAnsi="Arial" w:cs="Arial"/>
        </w:rPr>
        <w:t>advisory</w:t>
      </w:r>
      <w:r w:rsidR="007B7640" w:rsidRPr="00CD59CC">
        <w:rPr>
          <w:rFonts w:ascii="Arial" w:hAnsi="Arial" w:cs="Arial"/>
        </w:rPr>
        <w:t xml:space="preserve"> </w:t>
      </w:r>
      <w:r w:rsidRPr="00CD59CC">
        <w:rPr>
          <w:rFonts w:ascii="Arial" w:hAnsi="Arial" w:cs="Arial"/>
        </w:rPr>
        <w:t>board</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assist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7)</w:t>
      </w:r>
      <w:r w:rsidR="007B7640" w:rsidRPr="00CD59CC">
        <w:rPr>
          <w:rFonts w:ascii="Arial" w:hAnsi="Arial" w:cs="Arial"/>
        </w:rPr>
        <w:t xml:space="preserve"> </w:t>
      </w:r>
      <w:r w:rsidRPr="00CD59CC">
        <w:rPr>
          <w:rFonts w:ascii="Arial" w:hAnsi="Arial" w:cs="Arial"/>
        </w:rPr>
        <w:t>adopted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9</w:t>
      </w:r>
      <w:r w:rsidR="007B7640" w:rsidRPr="00CD59CC">
        <w:rPr>
          <w:rFonts w:ascii="Arial" w:hAnsi="Arial" w:cs="Arial"/>
        </w:rPr>
        <w:t xml:space="preserve"> </w:t>
      </w:r>
      <w:r w:rsidRPr="00CD59CC">
        <w:rPr>
          <w:rFonts w:ascii="Arial" w:hAnsi="Arial" w:cs="Arial"/>
        </w:rPr>
        <w:t>April</w:t>
      </w:r>
      <w:r w:rsidR="007B7640" w:rsidRPr="00CD59CC">
        <w:rPr>
          <w:rFonts w:ascii="Arial" w:hAnsi="Arial" w:cs="Arial"/>
        </w:rPr>
        <w:t xml:space="preserve"> </w:t>
      </w:r>
      <w:r w:rsidRPr="00CD59CC">
        <w:rPr>
          <w:rFonts w:ascii="Arial" w:hAnsi="Arial" w:cs="Arial"/>
        </w:rPr>
        <w:t>2010</w:t>
      </w:r>
      <w:r w:rsidR="007B7640" w:rsidRPr="00CD59CC">
        <w:rPr>
          <w:rFonts w:ascii="Arial" w:hAnsi="Arial" w:cs="Arial"/>
        </w:rPr>
        <w:t xml:space="preserve"> </w:t>
      </w:r>
      <w:r w:rsidRPr="00CD59CC">
        <w:rPr>
          <w:rFonts w:ascii="Arial" w:hAnsi="Arial" w:cs="Arial"/>
        </w:rPr>
        <w:t>Guideline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288/2/2010.</w:t>
      </w:r>
      <w:r w:rsidR="007B7640" w:rsidRPr="00CD59CC">
        <w:rPr>
          <w:rFonts w:ascii="Arial" w:hAnsi="Arial" w:cs="Arial"/>
        </w:rPr>
        <w:t xml:space="preserve"> </w:t>
      </w:r>
      <w:r w:rsidRPr="00CD59CC">
        <w:rPr>
          <w:rFonts w:ascii="Arial" w:hAnsi="Arial" w:cs="Arial"/>
        </w:rPr>
        <w:t>(IV.9.)</w:t>
      </w:r>
      <w:r w:rsidR="007B7640" w:rsidRPr="00CD59CC">
        <w:rPr>
          <w:rFonts w:ascii="Arial" w:hAnsi="Arial" w:cs="Arial"/>
        </w:rPr>
        <w:t xml:space="preserve"> </w:t>
      </w:r>
      <w:r w:rsidRPr="00CD59CC">
        <w:rPr>
          <w:rFonts w:ascii="Arial" w:hAnsi="Arial" w:cs="Arial"/>
        </w:rPr>
        <w:t>TT.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Pr="00CD59CC">
        <w:rPr>
          <w:rStyle w:val="FootnoteReference"/>
          <w:rFonts w:ascii="Arial" w:hAnsi="Arial" w:cs="Arial"/>
        </w:rPr>
        <w:footnoteReference w:id="24"/>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argued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narrow</w:t>
      </w:r>
      <w:r w:rsidR="007B7640" w:rsidRPr="00CD59CC">
        <w:rPr>
          <w:rFonts w:ascii="Arial" w:hAnsi="Arial" w:cs="Arial"/>
        </w:rPr>
        <w:t xml:space="preserve"> </w:t>
      </w:r>
      <w:r w:rsidRPr="00CD59CC">
        <w:rPr>
          <w:rFonts w:ascii="Arial" w:hAnsi="Arial" w:cs="Arial"/>
        </w:rPr>
        <w:t>interpretation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term.</w:t>
      </w:r>
      <w:r w:rsidR="007B7640" w:rsidRPr="00CD59CC">
        <w:rPr>
          <w:rFonts w:ascii="Arial" w:hAnsi="Arial" w:cs="Arial"/>
        </w:rPr>
        <w:t xml:space="preserve"> </w:t>
      </w:r>
    </w:p>
    <w:p w14:paraId="1F1A8DAE" w14:textId="77777777" w:rsidR="00D63D93" w:rsidRPr="00CD59CC" w:rsidRDefault="00D63D93" w:rsidP="00CD59CC">
      <w:pPr>
        <w:rPr>
          <w:rFonts w:ascii="Arial" w:hAnsi="Arial" w:cs="Arial"/>
        </w:rPr>
      </w:pPr>
    </w:p>
    <w:p w14:paraId="58BA0501" w14:textId="39CD9F47" w:rsidR="00D63D93" w:rsidRPr="00CD59CC" w:rsidRDefault="00D63D93" w:rsidP="00CD59CC">
      <w:pPr>
        <w:rPr>
          <w:rFonts w:ascii="Arial" w:hAnsi="Arial" w:cs="Arial"/>
        </w:rPr>
      </w:pP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2010</w:t>
      </w:r>
      <w:r w:rsidR="007B7640" w:rsidRPr="00CD59CC">
        <w:rPr>
          <w:rFonts w:ascii="Arial" w:hAnsi="Arial" w:cs="Arial"/>
        </w:rPr>
        <w:t xml:space="preserve"> </w:t>
      </w:r>
      <w:r w:rsidRPr="00CD59CC">
        <w:rPr>
          <w:rFonts w:ascii="Arial" w:hAnsi="Arial" w:cs="Arial"/>
        </w:rPr>
        <w:t>annual</w:t>
      </w:r>
      <w:r w:rsidR="007B7640" w:rsidRPr="00CD59CC">
        <w:rPr>
          <w:rFonts w:ascii="Arial" w:hAnsi="Arial" w:cs="Arial"/>
        </w:rPr>
        <w:t xml:space="preserve"> </w:t>
      </w:r>
      <w:r w:rsidRPr="00CD59CC">
        <w:rPr>
          <w:rFonts w:ascii="Arial" w:hAnsi="Arial" w:cs="Arial"/>
        </w:rPr>
        <w:t>report,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willing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consideration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developing</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jurisprudence.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complaints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report</w:t>
      </w:r>
      <w:r w:rsidR="007B7640" w:rsidRPr="00CD59CC">
        <w:rPr>
          <w:rFonts w:ascii="Arial" w:hAnsi="Arial" w:cs="Arial"/>
        </w:rPr>
        <w:t xml:space="preserve"> </w:t>
      </w:r>
      <w:r w:rsidRPr="00CD59CC">
        <w:rPr>
          <w:rFonts w:ascii="Arial" w:hAnsi="Arial" w:cs="Arial"/>
        </w:rPr>
        <w:t>states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Advisory</w:t>
      </w:r>
      <w:r w:rsidR="007B7640" w:rsidRPr="00CD59CC">
        <w:rPr>
          <w:rFonts w:ascii="Arial" w:hAnsi="Arial" w:cs="Arial"/>
        </w:rPr>
        <w:t xml:space="preserve"> </w:t>
      </w:r>
      <w:r w:rsidRPr="00CD59CC">
        <w:rPr>
          <w:rFonts w:ascii="Arial" w:hAnsi="Arial" w:cs="Arial"/>
        </w:rPr>
        <w:t>Board’s</w:t>
      </w:r>
      <w:r w:rsidR="007B7640" w:rsidRPr="00CD59CC">
        <w:rPr>
          <w:rFonts w:ascii="Arial" w:hAnsi="Arial" w:cs="Arial"/>
        </w:rPr>
        <w:t xml:space="preserve"> </w:t>
      </w:r>
      <w:r w:rsidRPr="00CD59CC">
        <w:rPr>
          <w:rFonts w:ascii="Arial" w:hAnsi="Arial" w:cs="Arial"/>
        </w:rPr>
        <w:t>guideline</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unified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restricted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establishing</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delivered.”</w:t>
      </w:r>
      <w:r w:rsidRPr="00CD59CC">
        <w:rPr>
          <w:rStyle w:val="FootnoteReference"/>
          <w:rFonts w:ascii="Arial" w:hAnsi="Arial" w:cs="Arial"/>
        </w:rPr>
        <w:footnoteReference w:id="25"/>
      </w:r>
    </w:p>
    <w:p w14:paraId="1B7A9C4D" w14:textId="77777777" w:rsidR="00D63D93" w:rsidRPr="00CD59CC" w:rsidRDefault="00D63D93" w:rsidP="00CD59CC">
      <w:pPr>
        <w:rPr>
          <w:rFonts w:ascii="Arial" w:hAnsi="Arial" w:cs="Arial"/>
        </w:rPr>
      </w:pPr>
      <w:r w:rsidRPr="00CD59CC">
        <w:rPr>
          <w:rFonts w:ascii="Arial" w:hAnsi="Arial" w:cs="Arial"/>
        </w:rPr>
        <w:lastRenderedPageBreak/>
        <w:t>In</w:t>
      </w:r>
      <w:r w:rsidR="007B7640" w:rsidRPr="00CD59CC">
        <w:rPr>
          <w:rFonts w:ascii="Arial" w:hAnsi="Arial" w:cs="Arial"/>
        </w:rPr>
        <w:t xml:space="preserve"> </w:t>
      </w:r>
      <w:r w:rsidRPr="00CD59CC">
        <w:rPr>
          <w:rFonts w:ascii="Arial" w:hAnsi="Arial" w:cs="Arial"/>
        </w:rPr>
        <w:t>2011,</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(residence</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settlement),</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2012,</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increased</w:t>
      </w:r>
      <w:r w:rsidR="007B7640" w:rsidRPr="00CD59CC">
        <w:rPr>
          <w:rFonts w:ascii="Arial" w:hAnsi="Arial" w:cs="Arial"/>
        </w:rPr>
        <w:t xml:space="preserve"> </w:t>
      </w:r>
      <w:r w:rsidRPr="00CD59CC">
        <w:rPr>
          <w:rFonts w:ascii="Arial" w:hAnsi="Arial" w:cs="Arial"/>
        </w:rPr>
        <w:t>again</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four</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31</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temporary</w:t>
      </w:r>
      <w:r w:rsidR="007B7640" w:rsidRPr="00CD59CC">
        <w:rPr>
          <w:rFonts w:ascii="Arial" w:hAnsi="Arial" w:cs="Arial"/>
        </w:rPr>
        <w:t xml:space="preserve"> </w:t>
      </w:r>
      <w:r w:rsidRPr="00CD59CC">
        <w:rPr>
          <w:rFonts w:ascii="Arial" w:hAnsi="Arial" w:cs="Arial"/>
        </w:rPr>
        <w:t>staffing;</w:t>
      </w:r>
      <w:r w:rsidR="007B7640" w:rsidRPr="00CD59CC">
        <w:rPr>
          <w:rFonts w:ascii="Arial" w:hAnsi="Arial" w:cs="Arial"/>
        </w:rPr>
        <w:t xml:space="preserve"> </w:t>
      </w:r>
      <w:r w:rsidRPr="00CD59CC">
        <w:rPr>
          <w:rFonts w:ascii="Arial" w:hAnsi="Arial" w:cs="Arial"/>
        </w:rPr>
        <w:t>homelessness;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target</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NGO’s</w:t>
      </w:r>
      <w:r w:rsidR="007B7640" w:rsidRPr="00CD59CC">
        <w:rPr>
          <w:rFonts w:ascii="Arial" w:hAnsi="Arial" w:cs="Arial"/>
        </w:rPr>
        <w:t xml:space="preserve"> </w:t>
      </w:r>
      <w:r w:rsidRPr="00CD59CC">
        <w:rPr>
          <w:rFonts w:ascii="Arial" w:hAnsi="Arial" w:cs="Arial"/>
        </w:rPr>
        <w:t>activities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landlord</w:t>
      </w:r>
      <w:r w:rsidR="007B7640" w:rsidRPr="00CD59CC">
        <w:rPr>
          <w:rFonts w:ascii="Arial" w:hAnsi="Arial" w:cs="Arial"/>
        </w:rPr>
        <w:t xml:space="preserve"> </w:t>
      </w:r>
      <w:r w:rsidRPr="00CD59CC">
        <w:rPr>
          <w:rFonts w:ascii="Arial" w:hAnsi="Arial" w:cs="Arial"/>
        </w:rPr>
        <w:t>refused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rent</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office</w:t>
      </w:r>
      <w:r w:rsidR="007B7640" w:rsidRPr="00CD59CC">
        <w:rPr>
          <w:rFonts w:ascii="Arial" w:hAnsi="Arial" w:cs="Arial"/>
        </w:rPr>
        <w:t xml:space="preserve"> </w:t>
      </w:r>
      <w:r w:rsidRPr="00CD59CC">
        <w:rPr>
          <w:rFonts w:ascii="Arial" w:hAnsi="Arial" w:cs="Arial"/>
        </w:rPr>
        <w:t>space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NGO</w:t>
      </w:r>
      <w:r w:rsidR="007B7640" w:rsidRPr="00CD59CC">
        <w:rPr>
          <w:rFonts w:ascii="Arial" w:hAnsi="Arial" w:cs="Arial"/>
        </w:rPr>
        <w:t xml:space="preserve"> </w:t>
      </w:r>
      <w:r w:rsidRPr="00CD59CC">
        <w:rPr>
          <w:rFonts w:ascii="Arial" w:hAnsi="Arial" w:cs="Arial"/>
        </w:rPr>
        <w:t>providing</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sex</w:t>
      </w:r>
      <w:r w:rsidR="007B7640" w:rsidRPr="00CD59CC">
        <w:rPr>
          <w:rFonts w:ascii="Arial" w:hAnsi="Arial" w:cs="Arial"/>
        </w:rPr>
        <w:t xml:space="preserve"> </w:t>
      </w:r>
      <w:r w:rsidRPr="00CD59CC">
        <w:rPr>
          <w:rFonts w:ascii="Arial" w:hAnsi="Arial" w:cs="Arial"/>
        </w:rPr>
        <w:t>workers);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citizenship.</w:t>
      </w:r>
    </w:p>
    <w:p w14:paraId="49CAF86F" w14:textId="77777777" w:rsidR="00A64976" w:rsidRPr="00CD59CC" w:rsidRDefault="00A64976" w:rsidP="00CD59CC">
      <w:pPr>
        <w:rPr>
          <w:rFonts w:ascii="Arial" w:hAnsi="Arial" w:cs="Arial"/>
        </w:rPr>
      </w:pPr>
    </w:p>
    <w:p w14:paraId="0AA99896" w14:textId="77777777" w:rsidR="00D63D93" w:rsidRPr="00CD59CC" w:rsidRDefault="00A64976" w:rsidP="00CD59CC">
      <w:pPr>
        <w:rPr>
          <w:rFonts w:ascii="Arial" w:hAnsi="Arial" w:cs="Arial"/>
        </w:rPr>
      </w:pPr>
      <w:r w:rsidRPr="00CD59CC">
        <w:rPr>
          <w:rFonts w:ascii="Arial" w:hAnsi="Arial" w:cs="Arial"/>
        </w:rPr>
        <w:t>We</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information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2013,</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Authority’s</w:t>
      </w:r>
      <w:r w:rsidR="007B7640" w:rsidRPr="00CD59CC">
        <w:rPr>
          <w:rFonts w:ascii="Arial" w:hAnsi="Arial" w:cs="Arial"/>
        </w:rPr>
        <w:t xml:space="preserve"> </w:t>
      </w:r>
      <w:r w:rsidRPr="00CD59CC">
        <w:rPr>
          <w:rFonts w:ascii="Arial" w:hAnsi="Arial" w:cs="Arial"/>
        </w:rPr>
        <w:t>annual</w:t>
      </w:r>
      <w:r w:rsidR="007B7640" w:rsidRPr="00CD59CC">
        <w:rPr>
          <w:rFonts w:ascii="Arial" w:hAnsi="Arial" w:cs="Arial"/>
        </w:rPr>
        <w:t xml:space="preserve"> </w:t>
      </w:r>
      <w:r w:rsidRPr="00CD59CC">
        <w:rPr>
          <w:rFonts w:ascii="Arial" w:hAnsi="Arial" w:cs="Arial"/>
        </w:rPr>
        <w:t>report</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published</w:t>
      </w:r>
      <w:r w:rsidR="007B7640" w:rsidRPr="00CD59CC">
        <w:rPr>
          <w:rFonts w:ascii="Arial" w:hAnsi="Arial" w:cs="Arial"/>
        </w:rPr>
        <w:t xml:space="preserve"> </w:t>
      </w:r>
      <w:r w:rsidRPr="00CD59CC">
        <w:rPr>
          <w:rFonts w:ascii="Arial" w:hAnsi="Arial" w:cs="Arial"/>
        </w:rPr>
        <w:t>yet.</w:t>
      </w:r>
    </w:p>
    <w:p w14:paraId="274F794D" w14:textId="77777777" w:rsidR="00D63D93" w:rsidRPr="00CD59CC" w:rsidRDefault="00D63D93" w:rsidP="00CD59CC">
      <w:pPr>
        <w:rPr>
          <w:rFonts w:ascii="Arial" w:hAnsi="Arial" w:cs="Arial"/>
        </w:rPr>
      </w:pPr>
    </w:p>
    <w:p w14:paraId="2EED4B67" w14:textId="77777777" w:rsidR="002B5BCD" w:rsidRPr="00CD59CC" w:rsidRDefault="002B5BCD" w:rsidP="00CD59CC">
      <w:pPr>
        <w:pStyle w:val="Heading3"/>
        <w:rPr>
          <w:rFonts w:cs="Arial"/>
        </w:rPr>
      </w:pPr>
      <w:bookmarkStart w:id="37" w:name="_Toc220221135"/>
      <w:bookmarkStart w:id="38" w:name="_Toc392758705"/>
      <w:bookmarkStart w:id="39" w:name="_Toc329163597"/>
      <w:bookmarkStart w:id="40" w:name="_Toc366846314"/>
      <w:r w:rsidRPr="00CD59CC">
        <w:rPr>
          <w:rFonts w:cs="Arial"/>
        </w:rPr>
        <w:t>Definition</w:t>
      </w:r>
      <w:r w:rsidR="007B7640" w:rsidRPr="00CD59CC">
        <w:rPr>
          <w:rFonts w:cs="Arial"/>
        </w:rPr>
        <w:t xml:space="preserve"> </w:t>
      </w:r>
      <w:r w:rsidRPr="00CD59CC">
        <w:rPr>
          <w:rFonts w:cs="Arial"/>
        </w:rPr>
        <w:t>of</w:t>
      </w:r>
      <w:r w:rsidR="007B7640" w:rsidRPr="00CD59CC">
        <w:rPr>
          <w:rFonts w:cs="Arial"/>
        </w:rPr>
        <w:t xml:space="preserve"> </w:t>
      </w:r>
      <w:r w:rsidRPr="00CD59CC">
        <w:rPr>
          <w:rFonts w:cs="Arial"/>
        </w:rPr>
        <w:t>the</w:t>
      </w:r>
      <w:r w:rsidR="007B7640" w:rsidRPr="00CD59CC">
        <w:rPr>
          <w:rFonts w:cs="Arial"/>
        </w:rPr>
        <w:t xml:space="preserve"> </w:t>
      </w:r>
      <w:r w:rsidRPr="00CD59CC">
        <w:rPr>
          <w:rFonts w:cs="Arial"/>
        </w:rPr>
        <w:t>grounds</w:t>
      </w:r>
      <w:r w:rsidR="007B7640" w:rsidRPr="00CD59CC">
        <w:rPr>
          <w:rFonts w:cs="Arial"/>
        </w:rPr>
        <w:t xml:space="preserve"> </w:t>
      </w:r>
      <w:r w:rsidRPr="00CD59CC">
        <w:rPr>
          <w:rFonts w:cs="Arial"/>
        </w:rPr>
        <w:t>of</w:t>
      </w:r>
      <w:r w:rsidR="007B7640" w:rsidRPr="00CD59CC">
        <w:rPr>
          <w:rFonts w:cs="Arial"/>
        </w:rPr>
        <w:t xml:space="preserve"> </w:t>
      </w:r>
      <w:r w:rsidRPr="00CD59CC">
        <w:rPr>
          <w:rFonts w:cs="Arial"/>
        </w:rPr>
        <w:t>unlawful</w:t>
      </w:r>
      <w:r w:rsidR="007B7640" w:rsidRPr="00CD59CC">
        <w:rPr>
          <w:rFonts w:cs="Arial"/>
        </w:rPr>
        <w:t xml:space="preserve"> </w:t>
      </w:r>
      <w:r w:rsidRPr="00CD59CC">
        <w:rPr>
          <w:rFonts w:cs="Arial"/>
        </w:rPr>
        <w:t>discrimination</w:t>
      </w:r>
      <w:r w:rsidR="007B7640" w:rsidRPr="00CD59CC">
        <w:rPr>
          <w:rFonts w:cs="Arial"/>
        </w:rPr>
        <w:t xml:space="preserve"> </w:t>
      </w:r>
      <w:r w:rsidRPr="00CD59CC">
        <w:rPr>
          <w:rFonts w:cs="Arial"/>
        </w:rPr>
        <w:t>within</w:t>
      </w:r>
      <w:r w:rsidR="007B7640" w:rsidRPr="00CD59CC">
        <w:rPr>
          <w:rFonts w:cs="Arial"/>
        </w:rPr>
        <w:t xml:space="preserve"> </w:t>
      </w:r>
      <w:r w:rsidRPr="00CD59CC">
        <w:rPr>
          <w:rFonts w:cs="Arial"/>
        </w:rPr>
        <w:t>the</w:t>
      </w:r>
      <w:r w:rsidR="007B7640" w:rsidRPr="00CD59CC">
        <w:rPr>
          <w:rFonts w:cs="Arial"/>
        </w:rPr>
        <w:t xml:space="preserve"> </w:t>
      </w:r>
      <w:r w:rsidRPr="00CD59CC">
        <w:rPr>
          <w:rFonts w:cs="Arial"/>
        </w:rPr>
        <w:t>Directives</w:t>
      </w:r>
      <w:bookmarkEnd w:id="37"/>
      <w:bookmarkEnd w:id="38"/>
      <w:bookmarkEnd w:id="39"/>
      <w:bookmarkEnd w:id="40"/>
    </w:p>
    <w:p w14:paraId="60726C62" w14:textId="77777777" w:rsidR="002B5BCD" w:rsidRPr="00CD59CC" w:rsidRDefault="002B5BCD" w:rsidP="00CD59CC">
      <w:pPr>
        <w:rPr>
          <w:rFonts w:ascii="Arial" w:hAnsi="Arial" w:cs="Arial"/>
        </w:rPr>
      </w:pPr>
    </w:p>
    <w:p w14:paraId="20B4CDC3" w14:textId="77777777" w:rsidR="002B5BCD" w:rsidRPr="00CD59CC" w:rsidRDefault="002B5BCD" w:rsidP="00CD59CC">
      <w:pPr>
        <w:numPr>
          <w:ilvl w:val="0"/>
          <w:numId w:val="2"/>
        </w:numPr>
        <w:ind w:left="567" w:hanging="567"/>
        <w:rPr>
          <w:rFonts w:ascii="Arial" w:hAnsi="Arial" w:cs="Arial"/>
          <w:i/>
        </w:rPr>
      </w:pPr>
      <w:r w:rsidRPr="00CD59CC">
        <w:rPr>
          <w:rFonts w:ascii="Arial" w:hAnsi="Arial" w:cs="Arial"/>
          <w:i/>
        </w:rPr>
        <w:t>How</w:t>
      </w:r>
      <w:r w:rsidR="007B7640" w:rsidRPr="00CD59CC">
        <w:rPr>
          <w:rFonts w:ascii="Arial" w:hAnsi="Arial" w:cs="Arial"/>
          <w:i/>
        </w:rPr>
        <w:t xml:space="preserve"> </w:t>
      </w: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define</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following</w:t>
      </w:r>
      <w:r w:rsidR="007B7640" w:rsidRPr="00CD59CC">
        <w:rPr>
          <w:rFonts w:ascii="Arial" w:hAnsi="Arial" w:cs="Arial"/>
          <w:i/>
        </w:rPr>
        <w:t xml:space="preserve"> </w:t>
      </w:r>
      <w:r w:rsidRPr="00CD59CC">
        <w:rPr>
          <w:rFonts w:ascii="Arial" w:hAnsi="Arial" w:cs="Arial"/>
          <w:i/>
        </w:rPr>
        <w:t>terms: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expert</w:t>
      </w:r>
      <w:r w:rsidR="007B7640" w:rsidRPr="00CD59CC">
        <w:rPr>
          <w:rFonts w:ascii="Arial" w:hAnsi="Arial" w:cs="Arial"/>
          <w:i/>
        </w:rPr>
        <w:t xml:space="preserve"> </w:t>
      </w:r>
      <w:r w:rsidRPr="00CD59CC">
        <w:rPr>
          <w:rFonts w:ascii="Arial" w:hAnsi="Arial" w:cs="Arial"/>
          <w:i/>
        </w:rPr>
        <w:t>can</w:t>
      </w:r>
      <w:r w:rsidR="007B7640" w:rsidRPr="00CD59CC">
        <w:rPr>
          <w:rFonts w:ascii="Arial" w:hAnsi="Arial" w:cs="Arial"/>
          <w:i/>
        </w:rPr>
        <w:t xml:space="preserve"> </w:t>
      </w:r>
      <w:r w:rsidRPr="00CD59CC">
        <w:rPr>
          <w:rFonts w:ascii="Arial" w:hAnsi="Arial" w:cs="Arial"/>
          <w:i/>
        </w:rPr>
        <w:t>provide</w:t>
      </w:r>
      <w:r w:rsidR="007B7640" w:rsidRPr="00CD59CC">
        <w:rPr>
          <w:rFonts w:ascii="Arial" w:hAnsi="Arial" w:cs="Arial"/>
          <w:i/>
        </w:rPr>
        <w:t xml:space="preserve"> </w:t>
      </w:r>
      <w:r w:rsidRPr="00CD59CC">
        <w:rPr>
          <w:rFonts w:ascii="Arial" w:hAnsi="Arial" w:cs="Arial"/>
          <w:i/>
        </w:rPr>
        <w:t>first</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general</w:t>
      </w:r>
      <w:r w:rsidR="007B7640" w:rsidRPr="00CD59CC">
        <w:rPr>
          <w:rFonts w:ascii="Arial" w:hAnsi="Arial" w:cs="Arial"/>
          <w:i/>
        </w:rPr>
        <w:t xml:space="preserve"> </w:t>
      </w:r>
      <w:r w:rsidRPr="00CD59CC">
        <w:rPr>
          <w:rFonts w:ascii="Arial" w:hAnsi="Arial" w:cs="Arial"/>
          <w:i/>
        </w:rPr>
        <w:t>explanation</w:t>
      </w:r>
      <w:r w:rsidR="007B7640" w:rsidRPr="00CD59CC">
        <w:rPr>
          <w:rFonts w:ascii="Arial" w:hAnsi="Arial" w:cs="Arial"/>
          <w:i/>
        </w:rPr>
        <w:t xml:space="preserve">  </w:t>
      </w:r>
      <w:r w:rsidRPr="00CD59CC">
        <w:rPr>
          <w:rFonts w:ascii="Arial" w:hAnsi="Arial" w:cs="Arial"/>
          <w:i/>
        </w:rPr>
        <w:t>under</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then</w:t>
      </w:r>
      <w:r w:rsidR="007B7640" w:rsidRPr="00CD59CC">
        <w:rPr>
          <w:rFonts w:ascii="Arial" w:hAnsi="Arial" w:cs="Arial"/>
          <w:i/>
        </w:rPr>
        <w:t xml:space="preserve"> </w:t>
      </w:r>
      <w:r w:rsidRPr="00CD59CC">
        <w:rPr>
          <w:rFonts w:ascii="Arial" w:hAnsi="Arial" w:cs="Arial"/>
          <w:i/>
        </w:rPr>
        <w:t>has</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provide</w:t>
      </w:r>
      <w:r w:rsidR="007B7640" w:rsidRPr="00CD59CC">
        <w:rPr>
          <w:rFonts w:ascii="Arial" w:hAnsi="Arial" w:cs="Arial"/>
          <w:i/>
        </w:rPr>
        <w:t xml:space="preserve"> </w:t>
      </w:r>
      <w:r w:rsidRPr="00CD59CC">
        <w:rPr>
          <w:rFonts w:ascii="Arial" w:hAnsi="Arial" w:cs="Arial"/>
          <w:i/>
        </w:rPr>
        <w:t>an</w:t>
      </w:r>
      <w:r w:rsidR="007B7640" w:rsidRPr="00CD59CC">
        <w:rPr>
          <w:rFonts w:ascii="Arial" w:hAnsi="Arial" w:cs="Arial"/>
          <w:i/>
        </w:rPr>
        <w:t xml:space="preserve"> </w:t>
      </w:r>
      <w:r w:rsidRPr="00CD59CC">
        <w:rPr>
          <w:rFonts w:ascii="Arial" w:hAnsi="Arial" w:cs="Arial"/>
          <w:i/>
        </w:rPr>
        <w:t>answer</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each</w:t>
      </w:r>
      <w:r w:rsidR="007B7640" w:rsidRPr="00CD59CC">
        <w:rPr>
          <w:rFonts w:ascii="Arial" w:hAnsi="Arial" w:cs="Arial"/>
          <w:i/>
        </w:rPr>
        <w:t xml:space="preserve"> </w:t>
      </w:r>
      <w:r w:rsidRPr="00CD59CC">
        <w:rPr>
          <w:rFonts w:ascii="Arial" w:hAnsi="Arial" w:cs="Arial"/>
          <w:i/>
        </w:rPr>
        <w:t>ground)</w:t>
      </w:r>
    </w:p>
    <w:p w14:paraId="5346635E" w14:textId="77777777" w:rsidR="002B5BCD" w:rsidRPr="00CD59CC" w:rsidRDefault="002B5BCD" w:rsidP="00CD59CC">
      <w:pPr>
        <w:rPr>
          <w:rFonts w:ascii="Arial" w:hAnsi="Arial" w:cs="Arial"/>
          <w:i/>
        </w:rPr>
      </w:pPr>
    </w:p>
    <w:p w14:paraId="4E5EE976" w14:textId="77777777" w:rsidR="002B5BCD" w:rsidRPr="00CD59CC" w:rsidRDefault="002B5BCD" w:rsidP="00CD59CC">
      <w:pPr>
        <w:pStyle w:val="ListParagraph"/>
        <w:numPr>
          <w:ilvl w:val="0"/>
          <w:numId w:val="30"/>
        </w:numPr>
        <w:tabs>
          <w:tab w:val="left" w:pos="1134"/>
        </w:tabs>
        <w:ind w:left="1134" w:hanging="567"/>
        <w:contextualSpacing/>
        <w:rPr>
          <w:rFonts w:ascii="Arial" w:hAnsi="Arial" w:cs="Arial"/>
          <w:i/>
        </w:rPr>
      </w:pPr>
      <w:r w:rsidRPr="00CD59CC">
        <w:rPr>
          <w:rFonts w:ascii="Arial" w:hAnsi="Arial" w:cs="Arial"/>
          <w:i/>
        </w:rPr>
        <w:t>racial</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ethnic</w:t>
      </w:r>
      <w:r w:rsidR="007B7640" w:rsidRPr="00CD59CC">
        <w:rPr>
          <w:rFonts w:ascii="Arial" w:hAnsi="Arial" w:cs="Arial"/>
          <w:i/>
        </w:rPr>
        <w:t xml:space="preserve"> </w:t>
      </w:r>
      <w:r w:rsidRPr="00CD59CC">
        <w:rPr>
          <w:rFonts w:ascii="Arial" w:hAnsi="Arial" w:cs="Arial"/>
          <w:i/>
        </w:rPr>
        <w:t>origin,</w:t>
      </w:r>
      <w:r w:rsidR="007B7640" w:rsidRPr="00CD59CC">
        <w:rPr>
          <w:rFonts w:ascii="Arial" w:hAnsi="Arial" w:cs="Arial"/>
          <w:i/>
        </w:rPr>
        <w:t xml:space="preserve"> </w:t>
      </w:r>
    </w:p>
    <w:p w14:paraId="2A2F2551" w14:textId="77777777" w:rsidR="00A64976" w:rsidRPr="00CD59CC" w:rsidRDefault="00A64976" w:rsidP="00BB4E9F">
      <w:pPr>
        <w:pStyle w:val="ListParagraph"/>
        <w:tabs>
          <w:tab w:val="left" w:pos="1134"/>
        </w:tabs>
        <w:ind w:left="567"/>
        <w:contextualSpacing/>
        <w:rPr>
          <w:rFonts w:ascii="Arial" w:hAnsi="Arial" w:cs="Arial"/>
          <w:i/>
        </w:rPr>
      </w:pPr>
    </w:p>
    <w:p w14:paraId="6DB758E8" w14:textId="77777777" w:rsidR="00A64976" w:rsidRPr="00CD59CC" w:rsidRDefault="00A64976" w:rsidP="00CD59CC">
      <w:pPr>
        <w:pStyle w:val="ListParagraph"/>
        <w:tabs>
          <w:tab w:val="left" w:pos="1134"/>
        </w:tabs>
        <w:ind w:left="0"/>
        <w:contextualSpacing/>
        <w:rPr>
          <w:rFonts w:ascii="Arial" w:hAnsi="Arial" w:cs="Arial"/>
        </w:rPr>
      </w:pPr>
      <w:r w:rsidRPr="00CD59CC">
        <w:rPr>
          <w:rFonts w:ascii="Arial" w:hAnsi="Arial" w:cs="Arial"/>
        </w:rPr>
        <w:t>This</w:t>
      </w:r>
      <w:r w:rsidR="007B7640" w:rsidRPr="00CD59CC">
        <w:rPr>
          <w:rFonts w:ascii="Arial" w:hAnsi="Arial" w:cs="Arial"/>
        </w:rPr>
        <w:t xml:space="preserve"> </w:t>
      </w:r>
      <w:r w:rsidRPr="00CD59CC">
        <w:rPr>
          <w:rFonts w:ascii="Arial" w:hAnsi="Arial" w:cs="Arial"/>
        </w:rPr>
        <w:t>term</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definitions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below.</w:t>
      </w:r>
    </w:p>
    <w:p w14:paraId="2DDABD3C" w14:textId="77777777" w:rsidR="00A64976" w:rsidRPr="00CD59CC" w:rsidRDefault="00A64976" w:rsidP="00BB4E9F">
      <w:pPr>
        <w:pStyle w:val="ListParagraph"/>
        <w:tabs>
          <w:tab w:val="left" w:pos="1134"/>
        </w:tabs>
        <w:ind w:left="567"/>
        <w:contextualSpacing/>
        <w:rPr>
          <w:rFonts w:ascii="Arial" w:hAnsi="Arial" w:cs="Arial"/>
          <w:i/>
        </w:rPr>
      </w:pPr>
    </w:p>
    <w:p w14:paraId="3B9A7180" w14:textId="77777777" w:rsidR="002B5BCD" w:rsidRPr="00CD59CC" w:rsidRDefault="002B5BCD" w:rsidP="00CD59CC">
      <w:pPr>
        <w:pStyle w:val="ListParagraph"/>
        <w:numPr>
          <w:ilvl w:val="0"/>
          <w:numId w:val="30"/>
        </w:numPr>
        <w:tabs>
          <w:tab w:val="left" w:pos="1134"/>
        </w:tabs>
        <w:ind w:left="1134" w:hanging="567"/>
        <w:contextualSpacing/>
        <w:rPr>
          <w:rFonts w:ascii="Arial" w:hAnsi="Arial" w:cs="Arial"/>
          <w:i/>
        </w:rPr>
      </w:pPr>
      <w:r w:rsidRPr="00CD59CC">
        <w:rPr>
          <w:rFonts w:ascii="Arial" w:hAnsi="Arial" w:cs="Arial"/>
          <w:i/>
        </w:rPr>
        <w:t>religion</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belief,</w:t>
      </w:r>
      <w:r w:rsidR="007B7640" w:rsidRPr="00CD59CC">
        <w:rPr>
          <w:rFonts w:ascii="Arial" w:hAnsi="Arial" w:cs="Arial"/>
          <w:i/>
        </w:rPr>
        <w:t xml:space="preserve"> </w:t>
      </w:r>
    </w:p>
    <w:p w14:paraId="2F011903" w14:textId="77777777" w:rsidR="00A64976" w:rsidRPr="00CD59CC" w:rsidRDefault="00A64976" w:rsidP="00BB4E9F">
      <w:pPr>
        <w:pStyle w:val="ListParagraph"/>
        <w:tabs>
          <w:tab w:val="left" w:pos="1134"/>
        </w:tabs>
        <w:ind w:left="567"/>
        <w:contextualSpacing/>
        <w:rPr>
          <w:rFonts w:ascii="Arial" w:hAnsi="Arial" w:cs="Arial"/>
          <w:i/>
        </w:rPr>
      </w:pPr>
    </w:p>
    <w:p w14:paraId="582955F0" w14:textId="77777777" w:rsidR="00A64976" w:rsidRPr="00CD59CC" w:rsidRDefault="00A64976" w:rsidP="00CD59CC">
      <w:pPr>
        <w:pStyle w:val="ListParagraph"/>
        <w:tabs>
          <w:tab w:val="left" w:pos="1134"/>
        </w:tabs>
        <w:ind w:left="0"/>
        <w:contextualSpacing/>
        <w:rPr>
          <w:rFonts w:ascii="Arial" w:hAnsi="Arial" w:cs="Arial"/>
        </w:rPr>
      </w:pPr>
      <w:r w:rsidRPr="00CD59CC">
        <w:rPr>
          <w:rFonts w:ascii="Arial" w:hAnsi="Arial" w:cs="Arial"/>
        </w:rPr>
        <w:t>This</w:t>
      </w:r>
      <w:r w:rsidR="007B7640" w:rsidRPr="00CD59CC">
        <w:rPr>
          <w:rFonts w:ascii="Arial" w:hAnsi="Arial" w:cs="Arial"/>
        </w:rPr>
        <w:t xml:space="preserve"> </w:t>
      </w:r>
      <w:r w:rsidRPr="00CD59CC">
        <w:rPr>
          <w:rFonts w:ascii="Arial" w:hAnsi="Arial" w:cs="Arial"/>
        </w:rPr>
        <w:t>term</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definitions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below.</w:t>
      </w:r>
    </w:p>
    <w:p w14:paraId="44D2CDD3" w14:textId="77777777" w:rsidR="00A64976" w:rsidRPr="00CD59CC" w:rsidRDefault="00A64976" w:rsidP="00BB4E9F">
      <w:pPr>
        <w:pStyle w:val="ListParagraph"/>
        <w:tabs>
          <w:tab w:val="left" w:pos="1134"/>
        </w:tabs>
        <w:ind w:left="1134"/>
        <w:contextualSpacing/>
        <w:rPr>
          <w:rFonts w:ascii="Arial" w:hAnsi="Arial" w:cs="Arial"/>
          <w:i/>
        </w:rPr>
      </w:pPr>
    </w:p>
    <w:p w14:paraId="662EF83C" w14:textId="3C547CFF" w:rsidR="00E8223D" w:rsidRPr="00CD59CC" w:rsidRDefault="002B5BCD" w:rsidP="00BB4E9F">
      <w:pPr>
        <w:numPr>
          <w:ilvl w:val="0"/>
          <w:numId w:val="30"/>
        </w:numPr>
        <w:ind w:left="1134" w:hanging="567"/>
        <w:rPr>
          <w:rFonts w:ascii="Arial" w:hAnsi="Arial" w:cs="Arial"/>
          <w:i/>
        </w:rPr>
      </w:pPr>
      <w:r w:rsidRPr="00CD59CC">
        <w:rPr>
          <w:rFonts w:ascii="Arial" w:hAnsi="Arial" w:cs="Arial"/>
          <w:i/>
        </w:rPr>
        <w:t>disability.</w:t>
      </w:r>
      <w:r w:rsidR="007B7640" w:rsidRPr="00CD59CC">
        <w:rPr>
          <w:rFonts w:ascii="Arial" w:hAnsi="Arial" w:cs="Arial"/>
          <w:i/>
        </w:rPr>
        <w:t xml:space="preserve"> </w:t>
      </w:r>
      <w:r w:rsidR="00E8223D" w:rsidRPr="00CD59CC">
        <w:rPr>
          <w:rFonts w:ascii="Arial" w:hAnsi="Arial" w:cs="Arial"/>
          <w:i/>
        </w:rPr>
        <w:t>Is there a definition of disability at the national level and how does it compare with the concept adopted by the Court of Justice of the European Union in Joined Cases C-335/11 and C-337/11 Skouboe Werge and Ring, Paragraph 38, according to which the concept of 'disability' must be understood as: "a limitation which results in particular from physical, mental or psychological impairments which in interaction with various barriers may hinder the full and effective participation of the person concerned in professional life on an equal basis with other workers" (based on Article 1 UN Convention on the Rights of Persons with Disabilities)?</w:t>
      </w:r>
    </w:p>
    <w:p w14:paraId="32F5F4CF" w14:textId="77777777" w:rsidR="002B5BCD" w:rsidRPr="00CD59CC" w:rsidRDefault="002B5BCD" w:rsidP="00BB4E9F">
      <w:pPr>
        <w:pStyle w:val="ListParagraph"/>
        <w:tabs>
          <w:tab w:val="left" w:pos="1134"/>
        </w:tabs>
        <w:ind w:left="1134"/>
        <w:contextualSpacing/>
        <w:rPr>
          <w:rFonts w:ascii="Arial" w:hAnsi="Arial" w:cs="Arial"/>
          <w:i/>
        </w:rPr>
      </w:pPr>
    </w:p>
    <w:p w14:paraId="20BD68F7" w14:textId="77777777" w:rsidR="00A64976" w:rsidRDefault="00A64976" w:rsidP="00CD59CC">
      <w:pPr>
        <w:pStyle w:val="ListParagraph"/>
        <w:tabs>
          <w:tab w:val="left" w:pos="1134"/>
        </w:tabs>
        <w:ind w:left="0"/>
        <w:contextualSpacing/>
        <w:rPr>
          <w:rFonts w:ascii="Arial" w:hAnsi="Arial" w:cs="Arial"/>
        </w:rPr>
      </w:pPr>
      <w:r w:rsidRPr="00CD59CC">
        <w:rPr>
          <w:rFonts w:ascii="Arial" w:hAnsi="Arial" w:cs="Arial"/>
        </w:rPr>
        <w:t>This</w:t>
      </w:r>
      <w:r w:rsidR="007B7640" w:rsidRPr="00CD59CC">
        <w:rPr>
          <w:rFonts w:ascii="Arial" w:hAnsi="Arial" w:cs="Arial"/>
        </w:rPr>
        <w:t xml:space="preserve"> </w:t>
      </w:r>
      <w:r w:rsidRPr="00CD59CC">
        <w:rPr>
          <w:rFonts w:ascii="Arial" w:hAnsi="Arial" w:cs="Arial"/>
        </w:rPr>
        <w:t>term</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definitions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below.</w:t>
      </w:r>
    </w:p>
    <w:p w14:paraId="0F0568A3" w14:textId="77777777" w:rsidR="00532AB1" w:rsidRPr="00CD59CC" w:rsidRDefault="00532AB1" w:rsidP="00CD59CC">
      <w:pPr>
        <w:pStyle w:val="ListParagraph"/>
        <w:tabs>
          <w:tab w:val="left" w:pos="1134"/>
        </w:tabs>
        <w:ind w:left="0"/>
        <w:contextualSpacing/>
        <w:rPr>
          <w:rFonts w:ascii="Arial" w:hAnsi="Arial" w:cs="Arial"/>
        </w:rPr>
      </w:pPr>
    </w:p>
    <w:p w14:paraId="031CDFC7" w14:textId="77777777" w:rsidR="002B5BCD" w:rsidRPr="00CD59CC" w:rsidRDefault="002B5BCD" w:rsidP="00CD59CC">
      <w:pPr>
        <w:pStyle w:val="ListParagraph"/>
        <w:numPr>
          <w:ilvl w:val="0"/>
          <w:numId w:val="30"/>
        </w:numPr>
        <w:tabs>
          <w:tab w:val="left" w:pos="1134"/>
        </w:tabs>
        <w:ind w:left="1134" w:hanging="567"/>
        <w:contextualSpacing/>
        <w:rPr>
          <w:rFonts w:ascii="Arial" w:hAnsi="Arial" w:cs="Arial"/>
          <w:i/>
        </w:rPr>
      </w:pPr>
      <w:r w:rsidRPr="00CD59CC">
        <w:rPr>
          <w:rFonts w:ascii="Arial" w:hAnsi="Arial" w:cs="Arial"/>
          <w:i/>
        </w:rPr>
        <w:t>age,</w:t>
      </w:r>
      <w:r w:rsidR="007B7640" w:rsidRPr="00CD59CC">
        <w:rPr>
          <w:rFonts w:ascii="Arial" w:hAnsi="Arial" w:cs="Arial"/>
          <w:i/>
        </w:rPr>
        <w:t xml:space="preserve"> </w:t>
      </w:r>
    </w:p>
    <w:p w14:paraId="05C1943D" w14:textId="77777777" w:rsidR="00A64976" w:rsidRPr="00CD59CC" w:rsidRDefault="00A64976" w:rsidP="00CD59CC">
      <w:pPr>
        <w:pStyle w:val="ListParagraph"/>
        <w:tabs>
          <w:tab w:val="left" w:pos="1134"/>
        </w:tabs>
        <w:ind w:left="0"/>
        <w:contextualSpacing/>
        <w:rPr>
          <w:rFonts w:ascii="Arial" w:hAnsi="Arial" w:cs="Arial"/>
          <w:i/>
        </w:rPr>
      </w:pPr>
    </w:p>
    <w:p w14:paraId="6E608B74" w14:textId="77777777" w:rsidR="00A64976" w:rsidRPr="00CD59CC" w:rsidRDefault="00A64976" w:rsidP="00CD59CC">
      <w:pPr>
        <w:pStyle w:val="ListParagraph"/>
        <w:tabs>
          <w:tab w:val="left" w:pos="1134"/>
        </w:tabs>
        <w:ind w:left="0"/>
        <w:contextualSpacing/>
        <w:rPr>
          <w:rFonts w:ascii="Arial" w:hAnsi="Arial" w:cs="Arial"/>
        </w:rPr>
      </w:pPr>
      <w:r w:rsidRPr="00CD59CC">
        <w:rPr>
          <w:rFonts w:ascii="Arial" w:hAnsi="Arial" w:cs="Arial"/>
        </w:rPr>
        <w:t>This</w:t>
      </w:r>
      <w:r w:rsidR="007B7640" w:rsidRPr="00CD59CC">
        <w:rPr>
          <w:rFonts w:ascii="Arial" w:hAnsi="Arial" w:cs="Arial"/>
        </w:rPr>
        <w:t xml:space="preserve"> </w:t>
      </w:r>
      <w:r w:rsidRPr="00CD59CC">
        <w:rPr>
          <w:rFonts w:ascii="Arial" w:hAnsi="Arial" w:cs="Arial"/>
        </w:rPr>
        <w:t>term</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discrimination.</w:t>
      </w:r>
    </w:p>
    <w:p w14:paraId="08D2C0D2" w14:textId="77777777" w:rsidR="00A64976" w:rsidRPr="00CD59CC" w:rsidRDefault="00A64976" w:rsidP="00CD59CC">
      <w:pPr>
        <w:pStyle w:val="ListParagraph"/>
        <w:tabs>
          <w:tab w:val="left" w:pos="1134"/>
        </w:tabs>
        <w:ind w:left="0"/>
        <w:contextualSpacing/>
        <w:rPr>
          <w:rFonts w:ascii="Arial" w:hAnsi="Arial" w:cs="Arial"/>
          <w:i/>
        </w:rPr>
      </w:pPr>
    </w:p>
    <w:p w14:paraId="183BDAD5" w14:textId="77777777" w:rsidR="002B5BCD" w:rsidRPr="00CD59CC" w:rsidRDefault="002B5BCD" w:rsidP="00CD59CC">
      <w:pPr>
        <w:pStyle w:val="ListParagraph"/>
        <w:numPr>
          <w:ilvl w:val="0"/>
          <w:numId w:val="30"/>
        </w:numPr>
        <w:tabs>
          <w:tab w:val="left" w:pos="1134"/>
        </w:tabs>
        <w:ind w:left="1134" w:hanging="567"/>
        <w:contextualSpacing/>
        <w:rPr>
          <w:rFonts w:ascii="Arial" w:hAnsi="Arial" w:cs="Arial"/>
          <w:i/>
        </w:rPr>
      </w:pPr>
      <w:r w:rsidRPr="00CD59CC">
        <w:rPr>
          <w:rFonts w:ascii="Arial" w:hAnsi="Arial" w:cs="Arial"/>
          <w:i/>
        </w:rPr>
        <w:t>sexual</w:t>
      </w:r>
      <w:r w:rsidR="007B7640" w:rsidRPr="00CD59CC">
        <w:rPr>
          <w:rFonts w:ascii="Arial" w:hAnsi="Arial" w:cs="Arial"/>
          <w:i/>
        </w:rPr>
        <w:t xml:space="preserve"> </w:t>
      </w:r>
      <w:r w:rsidRPr="00CD59CC">
        <w:rPr>
          <w:rFonts w:ascii="Arial" w:hAnsi="Arial" w:cs="Arial"/>
          <w:i/>
        </w:rPr>
        <w:t>orientation?</w:t>
      </w:r>
      <w:r w:rsidR="007B7640" w:rsidRPr="00CD59CC">
        <w:rPr>
          <w:rFonts w:ascii="Arial" w:hAnsi="Arial" w:cs="Arial"/>
          <w:i/>
        </w:rPr>
        <w:t xml:space="preserve"> </w:t>
      </w:r>
    </w:p>
    <w:p w14:paraId="7B02E279" w14:textId="104C21CD" w:rsidR="00A64976" w:rsidRPr="00BB4E9F" w:rsidRDefault="00A64976" w:rsidP="00CD59CC">
      <w:pPr>
        <w:pStyle w:val="ListParagraph"/>
        <w:tabs>
          <w:tab w:val="left" w:pos="1134"/>
        </w:tabs>
        <w:ind w:left="0"/>
        <w:contextualSpacing/>
        <w:rPr>
          <w:rFonts w:ascii="Arial" w:hAnsi="Arial"/>
        </w:rPr>
      </w:pPr>
      <w:r w:rsidRPr="00CD59CC">
        <w:rPr>
          <w:rFonts w:ascii="Arial" w:hAnsi="Arial" w:cs="Arial"/>
        </w:rPr>
        <w:lastRenderedPageBreak/>
        <w:t>This</w:t>
      </w:r>
      <w:r w:rsidR="007B7640" w:rsidRPr="00CD59CC">
        <w:rPr>
          <w:rFonts w:ascii="Arial" w:hAnsi="Arial" w:cs="Arial"/>
        </w:rPr>
        <w:t xml:space="preserve"> </w:t>
      </w:r>
      <w:r w:rsidRPr="00CD59CC">
        <w:rPr>
          <w:rFonts w:ascii="Arial" w:hAnsi="Arial" w:cs="Arial"/>
        </w:rPr>
        <w:t>term</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discrimination.</w:t>
      </w:r>
    </w:p>
    <w:p w14:paraId="38B7289B" w14:textId="77777777" w:rsidR="00A64976" w:rsidRPr="00CD59CC" w:rsidRDefault="00A64976" w:rsidP="00BB4E9F">
      <w:pPr>
        <w:ind w:left="567"/>
        <w:rPr>
          <w:rFonts w:ascii="Arial" w:hAnsi="Arial" w:cs="Arial"/>
          <w:i/>
        </w:rPr>
      </w:pPr>
    </w:p>
    <w:p w14:paraId="659D8478" w14:textId="77777777" w:rsidR="002B5BCD" w:rsidRDefault="002B5BCD" w:rsidP="00CD59CC">
      <w:pPr>
        <w:numPr>
          <w:ilvl w:val="0"/>
          <w:numId w:val="2"/>
        </w:numPr>
        <w:ind w:left="567" w:hanging="567"/>
        <w:rPr>
          <w:rFonts w:ascii="Arial" w:hAnsi="Arial" w:cs="Arial"/>
          <w:i/>
        </w:rPr>
      </w:pPr>
      <w:r w:rsidRPr="00CD59CC">
        <w:rPr>
          <w:rFonts w:ascii="Arial" w:hAnsi="Arial" w:cs="Arial"/>
          <w:i/>
        </w:rPr>
        <w:t>Where</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not</w:t>
      </w:r>
      <w:r w:rsidR="007B7640" w:rsidRPr="00CD59CC">
        <w:rPr>
          <w:rFonts w:ascii="Arial" w:hAnsi="Arial" w:cs="Arial"/>
          <w:i/>
        </w:rPr>
        <w:t xml:space="preserve"> </w:t>
      </w:r>
      <w:r w:rsidRPr="00CD59CC">
        <w:rPr>
          <w:rFonts w:ascii="Arial" w:hAnsi="Arial" w:cs="Arial"/>
          <w:i/>
        </w:rPr>
        <w:t>define</w:t>
      </w:r>
      <w:r w:rsidR="007B7640" w:rsidRPr="00CD59CC">
        <w:rPr>
          <w:rFonts w:ascii="Arial" w:hAnsi="Arial" w:cs="Arial"/>
          <w:i/>
        </w:rPr>
        <w:t xml:space="preserve"> </w:t>
      </w:r>
      <w:r w:rsidRPr="00CD59CC">
        <w:rPr>
          <w:rFonts w:ascii="Arial" w:hAnsi="Arial" w:cs="Arial"/>
          <w:i/>
        </w:rPr>
        <w:t>these</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how</w:t>
      </w:r>
      <w:r w:rsidR="007B7640" w:rsidRPr="00CD59CC">
        <w:rPr>
          <w:rFonts w:ascii="Arial" w:hAnsi="Arial" w:cs="Arial"/>
          <w:i/>
        </w:rPr>
        <w:t xml:space="preserve"> </w:t>
      </w:r>
      <w:r w:rsidRPr="00CD59CC">
        <w:rPr>
          <w:rFonts w:ascii="Arial" w:hAnsi="Arial" w:cs="Arial"/>
          <w:i/>
        </w:rPr>
        <w:t>far</w:t>
      </w:r>
      <w:r w:rsidR="007B7640" w:rsidRPr="00CD59CC">
        <w:rPr>
          <w:rFonts w:ascii="Arial" w:hAnsi="Arial" w:cs="Arial"/>
          <w:i/>
        </w:rPr>
        <w:t xml:space="preserve"> </w:t>
      </w:r>
      <w:r w:rsidRPr="00CD59CC">
        <w:rPr>
          <w:rFonts w:ascii="Arial" w:hAnsi="Arial" w:cs="Arial"/>
          <w:i/>
        </w:rPr>
        <w:t>have</w:t>
      </w:r>
      <w:r w:rsidR="007B7640" w:rsidRPr="00CD59CC">
        <w:rPr>
          <w:rFonts w:ascii="Arial" w:hAnsi="Arial" w:cs="Arial"/>
          <w:i/>
        </w:rPr>
        <w:t xml:space="preserve"> </w:t>
      </w:r>
      <w:r w:rsidRPr="00CD59CC">
        <w:rPr>
          <w:rFonts w:ascii="Arial" w:hAnsi="Arial" w:cs="Arial"/>
          <w:i/>
        </w:rPr>
        <w:t>equivalent</w:t>
      </w:r>
      <w:r w:rsidR="007B7640" w:rsidRPr="00CD59CC">
        <w:rPr>
          <w:rFonts w:ascii="Arial" w:hAnsi="Arial" w:cs="Arial"/>
          <w:i/>
        </w:rPr>
        <w:t xml:space="preserve"> </w:t>
      </w:r>
      <w:r w:rsidRPr="00CD59CC">
        <w:rPr>
          <w:rFonts w:ascii="Arial" w:hAnsi="Arial" w:cs="Arial"/>
          <w:i/>
        </w:rPr>
        <w:t>terms</w:t>
      </w:r>
      <w:r w:rsidR="007B7640" w:rsidRPr="00CD59CC">
        <w:rPr>
          <w:rFonts w:ascii="Arial" w:hAnsi="Arial" w:cs="Arial"/>
          <w:i/>
        </w:rPr>
        <w:t xml:space="preserve"> </w:t>
      </w:r>
      <w:r w:rsidRPr="00CD59CC">
        <w:rPr>
          <w:rFonts w:ascii="Arial" w:hAnsi="Arial" w:cs="Arial"/>
          <w:i/>
        </w:rPr>
        <w:t>been</w:t>
      </w:r>
      <w:r w:rsidR="007B7640" w:rsidRPr="00CD59CC">
        <w:rPr>
          <w:rFonts w:ascii="Arial" w:hAnsi="Arial" w:cs="Arial"/>
          <w:i/>
        </w:rPr>
        <w:t xml:space="preserve"> </w:t>
      </w:r>
      <w:r w:rsidRPr="00CD59CC">
        <w:rPr>
          <w:rFonts w:ascii="Arial" w:hAnsi="Arial" w:cs="Arial"/>
          <w:i/>
        </w:rPr>
        <w:t>used</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interpreted</w:t>
      </w:r>
      <w:r w:rsidR="007B7640" w:rsidRPr="00CD59CC">
        <w:rPr>
          <w:rFonts w:ascii="Arial" w:hAnsi="Arial" w:cs="Arial"/>
          <w:i/>
        </w:rPr>
        <w:t xml:space="preserve"> </w:t>
      </w:r>
      <w:r w:rsidRPr="00CD59CC">
        <w:rPr>
          <w:rFonts w:ascii="Arial" w:hAnsi="Arial" w:cs="Arial"/>
          <w:i/>
        </w:rPr>
        <w:t>elsewhere</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recital</w:t>
      </w:r>
      <w:r w:rsidR="007B7640" w:rsidRPr="00CD59CC">
        <w:rPr>
          <w:rFonts w:ascii="Arial" w:hAnsi="Arial" w:cs="Arial"/>
          <w:i/>
        </w:rPr>
        <w:t xml:space="preserve"> </w:t>
      </w:r>
      <w:r w:rsidRPr="00CD59CC">
        <w:rPr>
          <w:rFonts w:ascii="Arial" w:hAnsi="Arial" w:cs="Arial"/>
          <w:i/>
        </w:rPr>
        <w:t>17</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Directive</w:t>
      </w:r>
      <w:r w:rsidR="007B7640" w:rsidRPr="00CD59CC">
        <w:rPr>
          <w:rFonts w:ascii="Arial" w:hAnsi="Arial" w:cs="Arial"/>
          <w:i/>
        </w:rPr>
        <w:t xml:space="preserve"> </w:t>
      </w:r>
      <w:r w:rsidRPr="00CD59CC">
        <w:rPr>
          <w:rFonts w:ascii="Arial" w:hAnsi="Arial" w:cs="Arial"/>
          <w:i/>
        </w:rPr>
        <w:t>2000/78/EC</w:t>
      </w:r>
      <w:r w:rsidR="007B7640" w:rsidRPr="00CD59CC">
        <w:rPr>
          <w:rFonts w:ascii="Arial" w:hAnsi="Arial" w:cs="Arial"/>
          <w:i/>
        </w:rPr>
        <w:t xml:space="preserve"> </w:t>
      </w:r>
      <w:r w:rsidRPr="00CD59CC">
        <w:rPr>
          <w:rFonts w:ascii="Arial" w:hAnsi="Arial" w:cs="Arial"/>
          <w:i/>
        </w:rPr>
        <w:t>reflected</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anti-discrimination</w:t>
      </w:r>
      <w:r w:rsidR="007B7640" w:rsidRPr="00CD59CC">
        <w:rPr>
          <w:rFonts w:ascii="Arial" w:hAnsi="Arial" w:cs="Arial"/>
          <w:i/>
        </w:rPr>
        <w:t xml:space="preserve"> </w:t>
      </w:r>
      <w:r w:rsidRPr="00CD59CC">
        <w:rPr>
          <w:rFonts w:ascii="Arial" w:hAnsi="Arial" w:cs="Arial"/>
          <w:i/>
        </w:rPr>
        <w:t>legislation?</w:t>
      </w:r>
    </w:p>
    <w:p w14:paraId="66EFD857" w14:textId="77777777" w:rsidR="006F5D91" w:rsidRPr="00CD59CC" w:rsidRDefault="006F5D91" w:rsidP="00BB4E9F">
      <w:pPr>
        <w:rPr>
          <w:rFonts w:ascii="Arial" w:hAnsi="Arial" w:cs="Arial"/>
          <w:i/>
        </w:rPr>
      </w:pPr>
    </w:p>
    <w:p w14:paraId="1A4B7F43" w14:textId="77777777" w:rsidR="002B5BCD" w:rsidRPr="00CD59CC" w:rsidRDefault="002B5BCD" w:rsidP="007B4138">
      <w:pPr>
        <w:pStyle w:val="ListParagraph"/>
        <w:numPr>
          <w:ilvl w:val="0"/>
          <w:numId w:val="32"/>
        </w:numPr>
        <w:tabs>
          <w:tab w:val="left" w:pos="1134"/>
        </w:tabs>
        <w:ind w:left="1134" w:hanging="567"/>
        <w:contextualSpacing/>
        <w:rPr>
          <w:rFonts w:ascii="Arial" w:hAnsi="Arial" w:cs="Arial"/>
          <w:i/>
        </w:rPr>
      </w:pPr>
      <w:r w:rsidRPr="00CD59CC">
        <w:rPr>
          <w:rFonts w:ascii="Arial" w:hAnsi="Arial" w:cs="Arial"/>
          <w:i/>
        </w:rPr>
        <w:t>racial</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ethnic</w:t>
      </w:r>
      <w:r w:rsidR="007B7640" w:rsidRPr="00CD59CC">
        <w:rPr>
          <w:rFonts w:ascii="Arial" w:hAnsi="Arial" w:cs="Arial"/>
          <w:i/>
        </w:rPr>
        <w:t xml:space="preserve"> </w:t>
      </w:r>
      <w:r w:rsidRPr="00CD59CC">
        <w:rPr>
          <w:rFonts w:ascii="Arial" w:hAnsi="Arial" w:cs="Arial"/>
          <w:i/>
        </w:rPr>
        <w:t>origin</w:t>
      </w:r>
    </w:p>
    <w:p w14:paraId="5D5DF844" w14:textId="77777777" w:rsidR="00A64976" w:rsidRPr="00BB4E9F" w:rsidRDefault="00A64976" w:rsidP="00BB4E9F">
      <w:pPr>
        <w:pStyle w:val="ListParagraph"/>
        <w:tabs>
          <w:tab w:val="left" w:pos="1134"/>
        </w:tabs>
        <w:ind w:left="1134"/>
        <w:contextualSpacing/>
        <w:rPr>
          <w:rFonts w:ascii="Arial" w:hAnsi="Arial"/>
          <w:i/>
        </w:rPr>
      </w:pPr>
    </w:p>
    <w:p w14:paraId="790A3B1E" w14:textId="77777777" w:rsidR="00A64976" w:rsidRPr="00CD59CC" w:rsidRDefault="00A64976" w:rsidP="00CD59CC">
      <w:pPr>
        <w:suppressAutoHyphens/>
        <w:rPr>
          <w:rFonts w:ascii="Arial" w:hAnsi="Arial" w:cs="Arial"/>
        </w:rPr>
      </w:pPr>
      <w:r w:rsidRPr="00CD59CC">
        <w:rPr>
          <w:rFonts w:ascii="Arial" w:hAnsi="Arial" w:cs="Arial"/>
        </w:rPr>
        <w:t>Various</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cover</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categories</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“Race”</w:t>
      </w:r>
      <w:r w:rsidR="007B7640" w:rsidRPr="00CD59CC">
        <w:rPr>
          <w:rFonts w:ascii="Arial" w:hAnsi="Arial" w:cs="Arial"/>
        </w:rPr>
        <w:t xml:space="preserve"> </w:t>
      </w:r>
      <w:r w:rsidRPr="00CD59CC">
        <w:rPr>
          <w:rFonts w:ascii="Arial" w:hAnsi="Arial" w:cs="Arial"/>
        </w:rPr>
        <w:t>(faj)</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“colour”</w:t>
      </w:r>
      <w:r w:rsidR="007B7640" w:rsidRPr="00CD59CC">
        <w:rPr>
          <w:rFonts w:ascii="Arial" w:hAnsi="Arial" w:cs="Arial"/>
        </w:rPr>
        <w:t xml:space="preserve"> </w:t>
      </w:r>
      <w:r w:rsidRPr="00CD59CC">
        <w:rPr>
          <w:rFonts w:ascii="Arial" w:hAnsi="Arial" w:cs="Arial"/>
        </w:rPr>
        <w:t>(szín)</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mentioned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whereas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uses</w:t>
      </w:r>
      <w:r w:rsidR="007B7640" w:rsidRPr="00CD59CC">
        <w:rPr>
          <w:rFonts w:ascii="Arial" w:hAnsi="Arial" w:cs="Arial"/>
        </w:rPr>
        <w:t xml:space="preserve"> </w:t>
      </w:r>
      <w:r w:rsidRPr="00CD59CC">
        <w:rPr>
          <w:rFonts w:ascii="Arial" w:hAnsi="Arial" w:cs="Arial"/>
        </w:rPr>
        <w:t>“colour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skin”</w:t>
      </w:r>
      <w:r w:rsidR="007B7640" w:rsidRPr="00CD59CC">
        <w:rPr>
          <w:rFonts w:ascii="Arial" w:hAnsi="Arial" w:cs="Arial"/>
        </w:rPr>
        <w:t xml:space="preserve"> </w:t>
      </w:r>
      <w:r w:rsidRPr="00CD59CC">
        <w:rPr>
          <w:rFonts w:ascii="Arial" w:hAnsi="Arial" w:cs="Arial"/>
        </w:rPr>
        <w:t>(bőrszín),</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(faji</w:t>
      </w:r>
      <w:r w:rsidR="007B7640" w:rsidRPr="00CD59CC">
        <w:rPr>
          <w:rFonts w:ascii="Arial" w:hAnsi="Arial" w:cs="Arial"/>
        </w:rPr>
        <w:t xml:space="preserve"> </w:t>
      </w:r>
      <w:r w:rsidRPr="00CD59CC">
        <w:rPr>
          <w:rFonts w:ascii="Arial" w:hAnsi="Arial" w:cs="Arial"/>
        </w:rPr>
        <w:t>hovatartozás),</w:t>
      </w:r>
      <w:r w:rsidR="007B7640" w:rsidRPr="00CD59CC">
        <w:rPr>
          <w:rFonts w:ascii="Arial" w:hAnsi="Arial" w:cs="Arial"/>
        </w:rPr>
        <w:t xml:space="preserve"> </w:t>
      </w:r>
      <w:r w:rsidRPr="00CD59CC">
        <w:rPr>
          <w:rFonts w:ascii="Arial" w:hAnsi="Arial" w:cs="Arial"/>
        </w:rPr>
        <w:t>“belonging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(nemzeti</w:t>
      </w:r>
      <w:r w:rsidR="007B7640" w:rsidRPr="00CD59CC">
        <w:rPr>
          <w:rFonts w:ascii="Arial" w:hAnsi="Arial" w:cs="Arial"/>
        </w:rPr>
        <w:t xml:space="preserve"> </w:t>
      </w:r>
      <w:r w:rsidRPr="00CD59CC">
        <w:rPr>
          <w:rFonts w:ascii="Arial" w:hAnsi="Arial" w:cs="Arial"/>
        </w:rPr>
        <w:t>kisebbséghez</w:t>
      </w:r>
      <w:r w:rsidR="007B7640" w:rsidRPr="00CD59CC">
        <w:rPr>
          <w:rFonts w:ascii="Arial" w:hAnsi="Arial" w:cs="Arial"/>
        </w:rPr>
        <w:t xml:space="preserve"> </w:t>
      </w:r>
      <w:r w:rsidRPr="00CD59CC">
        <w:rPr>
          <w:rFonts w:ascii="Arial" w:hAnsi="Arial" w:cs="Arial"/>
        </w:rPr>
        <w:t>való</w:t>
      </w:r>
      <w:r w:rsidR="007B7640" w:rsidRPr="00CD59CC">
        <w:rPr>
          <w:rFonts w:ascii="Arial" w:hAnsi="Arial" w:cs="Arial"/>
        </w:rPr>
        <w:t xml:space="preserve"> </w:t>
      </w:r>
      <w:r w:rsidRPr="00CD59CC">
        <w:rPr>
          <w:rFonts w:ascii="Arial" w:hAnsi="Arial" w:cs="Arial"/>
        </w:rPr>
        <w:t>tartozás)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“nationality”</w:t>
      </w:r>
      <w:r w:rsidR="007B7640" w:rsidRPr="00CD59CC">
        <w:rPr>
          <w:rFonts w:ascii="Arial" w:hAnsi="Arial" w:cs="Arial"/>
        </w:rPr>
        <w:t xml:space="preserve"> </w:t>
      </w:r>
      <w:r w:rsidRPr="00CD59CC">
        <w:rPr>
          <w:rFonts w:ascii="Arial" w:hAnsi="Arial" w:cs="Arial"/>
        </w:rPr>
        <w:t>(nemzetiség).</w:t>
      </w:r>
      <w:r w:rsidR="007B7640" w:rsidRPr="00CD59CC">
        <w:rPr>
          <w:rFonts w:ascii="Arial" w:hAnsi="Arial" w:cs="Arial"/>
        </w:rPr>
        <w:t xml:space="preserve"> </w:t>
      </w:r>
    </w:p>
    <w:p w14:paraId="188AD5C0" w14:textId="77777777" w:rsidR="00A64976" w:rsidRPr="00CD59CC" w:rsidRDefault="00A64976" w:rsidP="00CD59CC">
      <w:pPr>
        <w:rPr>
          <w:rFonts w:ascii="Arial" w:hAnsi="Arial" w:cs="Arial"/>
        </w:rPr>
      </w:pPr>
    </w:p>
    <w:p w14:paraId="2136F74D" w14:textId="53B95CCF" w:rsidR="00A64976" w:rsidRPr="00CD59CC" w:rsidRDefault="00A64976" w:rsidP="00CD59CC">
      <w:pPr>
        <w:rPr>
          <w:rFonts w:ascii="Arial" w:hAnsi="Arial" w:cs="Arial"/>
        </w:rPr>
      </w:pPr>
      <w:r w:rsidRPr="00CD59CC">
        <w:rPr>
          <w:rFonts w:ascii="Arial" w:hAnsi="Arial" w:cs="Arial"/>
        </w:rPr>
        <w:t>There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statutory</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minorities</w:t>
      </w:r>
      <w:r w:rsidR="007B7640" w:rsidRPr="00CD59CC">
        <w:rPr>
          <w:rFonts w:ascii="Arial" w:hAnsi="Arial" w:cs="Arial"/>
        </w:rPr>
        <w:t xml:space="preserve"> </w:t>
      </w:r>
      <w:r w:rsidRPr="00CD59CC">
        <w:rPr>
          <w:rFonts w:ascii="Arial" w:hAnsi="Arial" w:cs="Arial"/>
        </w:rPr>
        <w:t>(nemzeti</w:t>
      </w:r>
      <w:r w:rsidR="007B7640" w:rsidRPr="00CD59CC">
        <w:rPr>
          <w:rFonts w:ascii="Arial" w:hAnsi="Arial" w:cs="Arial"/>
        </w:rPr>
        <w:t xml:space="preserve"> </w:t>
      </w:r>
      <w:r w:rsidRPr="00CD59CC">
        <w:rPr>
          <w:rFonts w:ascii="Arial" w:hAnsi="Arial" w:cs="Arial"/>
        </w:rPr>
        <w:t>kisebbség),</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forth</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CLXXIX</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2011</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Nationalities</w:t>
      </w:r>
      <w:r w:rsidR="007B7640" w:rsidRPr="00CD59CC">
        <w:rPr>
          <w:rFonts w:ascii="Arial" w:hAnsi="Arial" w:cs="Arial"/>
        </w:rPr>
        <w:t xml:space="preserve"> </w:t>
      </w:r>
      <w:r w:rsidRPr="00CD59CC">
        <w:rPr>
          <w:rFonts w:ascii="Arial" w:hAnsi="Arial" w:cs="Arial"/>
        </w:rPr>
        <w:t>(</w:t>
      </w:r>
      <w:r w:rsidR="00B8467A" w:rsidRPr="00CD59CC">
        <w:rPr>
          <w:rFonts w:ascii="Arial" w:hAnsi="Arial" w:cs="Arial"/>
        </w:rPr>
        <w:t>Act</w:t>
      </w:r>
      <w:r w:rsidR="007B7640" w:rsidRPr="00CD59CC">
        <w:rPr>
          <w:rFonts w:ascii="Arial" w:hAnsi="Arial" w:cs="Arial"/>
        </w:rPr>
        <w:t xml:space="preserve"> </w:t>
      </w:r>
      <w:r w:rsidR="00B8467A" w:rsidRPr="00CD59CC">
        <w:rPr>
          <w:rFonts w:ascii="Arial" w:hAnsi="Arial" w:cs="Arial"/>
        </w:rPr>
        <w:t>on</w:t>
      </w:r>
      <w:r w:rsidR="007B7640" w:rsidRPr="00CD59CC">
        <w:rPr>
          <w:rFonts w:ascii="Arial" w:hAnsi="Arial" w:cs="Arial"/>
        </w:rPr>
        <w:t xml:space="preserve"> </w:t>
      </w:r>
      <w:r w:rsidRPr="00CD59CC">
        <w:rPr>
          <w:rFonts w:ascii="Arial" w:hAnsi="Arial" w:cs="Arial"/>
        </w:rPr>
        <w:t>Nationalities):</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nationality</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history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least</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century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living</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territory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represents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numerical</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citizens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distinguished</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population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own</w:t>
      </w:r>
      <w:r w:rsidR="007B7640" w:rsidRPr="00CD59CC">
        <w:rPr>
          <w:rFonts w:ascii="Arial" w:hAnsi="Arial" w:cs="Arial"/>
        </w:rPr>
        <w:t xml:space="preserve"> </w:t>
      </w:r>
      <w:r w:rsidRPr="00CD59CC">
        <w:rPr>
          <w:rFonts w:ascii="Arial" w:hAnsi="Arial" w:cs="Arial"/>
        </w:rPr>
        <w:t>language,</w:t>
      </w:r>
      <w:r w:rsidR="007B7640" w:rsidRPr="00CD59CC">
        <w:rPr>
          <w:rFonts w:ascii="Arial" w:hAnsi="Arial" w:cs="Arial"/>
        </w:rPr>
        <w:t xml:space="preserve"> </w:t>
      </w:r>
      <w:r w:rsidRPr="00CD59CC">
        <w:rPr>
          <w:rFonts w:ascii="Arial" w:hAnsi="Arial" w:cs="Arial"/>
        </w:rPr>
        <w:t>culture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traditions,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t>demonstrates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sense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belonging</w:t>
      </w:r>
      <w:r w:rsidR="007B7640" w:rsidRPr="00CD59CC">
        <w:rPr>
          <w:rFonts w:ascii="Arial" w:hAnsi="Arial" w:cs="Arial"/>
        </w:rPr>
        <w:t xml:space="preserve"> </w:t>
      </w:r>
      <w:r w:rsidRPr="00CD59CC">
        <w:rPr>
          <w:rFonts w:ascii="Arial" w:hAnsi="Arial" w:cs="Arial"/>
        </w:rPr>
        <w:t>together,</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preservation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expression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interests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communities,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formed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history.”</w:t>
      </w:r>
    </w:p>
    <w:p w14:paraId="54BA0290" w14:textId="77777777" w:rsidR="00A64976" w:rsidRPr="00CD59CC" w:rsidRDefault="00A64976" w:rsidP="00CD59CC">
      <w:pPr>
        <w:rPr>
          <w:rFonts w:ascii="Arial" w:hAnsi="Arial" w:cs="Arial"/>
        </w:rPr>
      </w:pPr>
    </w:p>
    <w:p w14:paraId="7F0133FD" w14:textId="092A58E7" w:rsidR="00A64976" w:rsidRPr="00CD59CC" w:rsidRDefault="00A64976" w:rsidP="00CD59CC">
      <w:pPr>
        <w:rPr>
          <w:rFonts w:ascii="Arial" w:hAnsi="Arial" w:cs="Arial"/>
        </w:rPr>
      </w:pPr>
      <w:r w:rsidRPr="00CD59CC">
        <w:rPr>
          <w:rFonts w:ascii="Arial" w:hAnsi="Arial" w:cs="Arial"/>
        </w:rPr>
        <w:t>Under</w:t>
      </w:r>
      <w:r w:rsidR="007B7640" w:rsidRPr="00CD59CC">
        <w:rPr>
          <w:rFonts w:ascii="Arial" w:hAnsi="Arial" w:cs="Arial"/>
        </w:rPr>
        <w:t xml:space="preserve"> </w:t>
      </w:r>
      <w:r w:rsidRPr="00CD59CC">
        <w:rPr>
          <w:rFonts w:ascii="Arial" w:hAnsi="Arial" w:cs="Arial"/>
        </w:rPr>
        <w:t>Annex</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B8467A" w:rsidRPr="00CD59CC">
        <w:rPr>
          <w:rFonts w:ascii="Arial" w:hAnsi="Arial" w:cs="Arial"/>
        </w:rPr>
        <w:t>Act</w:t>
      </w:r>
      <w:r w:rsidR="007B7640" w:rsidRPr="00CD59CC">
        <w:rPr>
          <w:rFonts w:ascii="Arial" w:hAnsi="Arial" w:cs="Arial"/>
        </w:rPr>
        <w:t xml:space="preserve"> </w:t>
      </w:r>
      <w:r w:rsidR="00B8467A" w:rsidRPr="00CD59CC">
        <w:rPr>
          <w:rFonts w:ascii="Arial" w:hAnsi="Arial" w:cs="Arial"/>
        </w:rPr>
        <w:t>on</w:t>
      </w:r>
      <w:r w:rsidR="007B7640" w:rsidRPr="00CD59CC">
        <w:rPr>
          <w:rFonts w:ascii="Arial" w:hAnsi="Arial" w:cs="Arial"/>
        </w:rPr>
        <w:t xml:space="preserve"> </w:t>
      </w:r>
      <w:r w:rsidRPr="00CD59CC">
        <w:rPr>
          <w:rFonts w:ascii="Arial" w:hAnsi="Arial" w:cs="Arial"/>
        </w:rPr>
        <w:t>Nationalities</w:t>
      </w:r>
      <w:r w:rsidR="007B7640" w:rsidRPr="00CD59CC">
        <w:rPr>
          <w:rFonts w:ascii="Arial" w:hAnsi="Arial" w:cs="Arial"/>
        </w:rPr>
        <w:t xml:space="preserve"> </w:t>
      </w:r>
      <w:r w:rsidRPr="00CD59CC">
        <w:rPr>
          <w:rFonts w:ascii="Arial" w:hAnsi="Arial" w:cs="Arial"/>
        </w:rPr>
        <w:t>itself</w:t>
      </w:r>
      <w:r w:rsidR="007B7640" w:rsidRPr="00CD59CC">
        <w:rPr>
          <w:rFonts w:ascii="Arial" w:hAnsi="Arial" w:cs="Arial"/>
        </w:rPr>
        <w:t xml:space="preserve"> </w:t>
      </w:r>
      <w:r w:rsidRPr="00CD59CC">
        <w:rPr>
          <w:rFonts w:ascii="Arial" w:hAnsi="Arial" w:cs="Arial"/>
        </w:rPr>
        <w:t>recognises</w:t>
      </w:r>
      <w:r w:rsidR="007B7640" w:rsidRPr="00CD59CC">
        <w:rPr>
          <w:rFonts w:ascii="Arial" w:hAnsi="Arial" w:cs="Arial"/>
        </w:rPr>
        <w:t xml:space="preserve"> </w:t>
      </w:r>
      <w:r w:rsidRPr="00CD59CC">
        <w:rPr>
          <w:rFonts w:ascii="Arial" w:hAnsi="Arial" w:cs="Arial"/>
        </w:rPr>
        <w:t>13</w:t>
      </w:r>
      <w:r w:rsidR="007B7640" w:rsidRPr="00CD59CC">
        <w:rPr>
          <w:rFonts w:ascii="Arial" w:hAnsi="Arial" w:cs="Arial"/>
        </w:rPr>
        <w:t xml:space="preserve"> </w:t>
      </w:r>
      <w:r w:rsidRPr="00CD59CC">
        <w:rPr>
          <w:rFonts w:ascii="Arial" w:hAnsi="Arial" w:cs="Arial"/>
        </w:rPr>
        <w:t>nationalities.</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Armenian,</w:t>
      </w:r>
      <w:r w:rsidR="007B7640" w:rsidRPr="00CD59CC">
        <w:rPr>
          <w:rFonts w:ascii="Arial" w:hAnsi="Arial" w:cs="Arial"/>
        </w:rPr>
        <w:t xml:space="preserve"> </w:t>
      </w:r>
      <w:r w:rsidRPr="00CD59CC">
        <w:rPr>
          <w:rFonts w:ascii="Arial" w:hAnsi="Arial" w:cs="Arial"/>
        </w:rPr>
        <w:t>Bulgarian,</w:t>
      </w:r>
      <w:r w:rsidR="007B7640" w:rsidRPr="00CD59CC">
        <w:rPr>
          <w:rFonts w:ascii="Arial" w:hAnsi="Arial" w:cs="Arial"/>
        </w:rPr>
        <w:t xml:space="preserve"> </w:t>
      </w:r>
      <w:r w:rsidRPr="00CD59CC">
        <w:rPr>
          <w:rFonts w:ascii="Arial" w:hAnsi="Arial" w:cs="Arial"/>
        </w:rPr>
        <w:t>Croatian,</w:t>
      </w:r>
      <w:r w:rsidR="007B7640" w:rsidRPr="00CD59CC">
        <w:rPr>
          <w:rFonts w:ascii="Arial" w:hAnsi="Arial" w:cs="Arial"/>
        </w:rPr>
        <w:t xml:space="preserve"> </w:t>
      </w:r>
      <w:r w:rsidRPr="00CD59CC">
        <w:rPr>
          <w:rFonts w:ascii="Arial" w:hAnsi="Arial" w:cs="Arial"/>
        </w:rPr>
        <w:t>German,</w:t>
      </w:r>
      <w:r w:rsidR="007B7640" w:rsidRPr="00CD59CC">
        <w:rPr>
          <w:rFonts w:ascii="Arial" w:hAnsi="Arial" w:cs="Arial"/>
        </w:rPr>
        <w:t xml:space="preserve"> </w:t>
      </w:r>
      <w:r w:rsidRPr="00CD59CC">
        <w:rPr>
          <w:rFonts w:ascii="Arial" w:hAnsi="Arial" w:cs="Arial"/>
        </w:rPr>
        <w:t>Greek,</w:t>
      </w:r>
      <w:r w:rsidR="007B7640" w:rsidRPr="00CD59CC">
        <w:rPr>
          <w:rFonts w:ascii="Arial" w:hAnsi="Arial" w:cs="Arial"/>
        </w:rPr>
        <w:t xml:space="preserve"> </w:t>
      </w:r>
      <w:r w:rsidRPr="00CD59CC">
        <w:rPr>
          <w:rFonts w:ascii="Arial" w:hAnsi="Arial" w:cs="Arial"/>
        </w:rPr>
        <w:t>Polish,</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Romanian,</w:t>
      </w:r>
      <w:r w:rsidR="007B7640" w:rsidRPr="00CD59CC">
        <w:rPr>
          <w:rFonts w:ascii="Arial" w:hAnsi="Arial" w:cs="Arial"/>
        </w:rPr>
        <w:t xml:space="preserve"> </w:t>
      </w:r>
      <w:r w:rsidRPr="00CD59CC">
        <w:rPr>
          <w:rFonts w:ascii="Arial" w:hAnsi="Arial" w:cs="Arial"/>
        </w:rPr>
        <w:t>Ruthenian,</w:t>
      </w:r>
      <w:r w:rsidR="007B7640" w:rsidRPr="00CD59CC">
        <w:rPr>
          <w:rFonts w:ascii="Arial" w:hAnsi="Arial" w:cs="Arial"/>
        </w:rPr>
        <w:t xml:space="preserve"> </w:t>
      </w:r>
      <w:r w:rsidRPr="00CD59CC">
        <w:rPr>
          <w:rFonts w:ascii="Arial" w:hAnsi="Arial" w:cs="Arial"/>
        </w:rPr>
        <w:t>Serbian,</w:t>
      </w:r>
      <w:r w:rsidR="007B7640" w:rsidRPr="00CD59CC">
        <w:rPr>
          <w:rFonts w:ascii="Arial" w:hAnsi="Arial" w:cs="Arial"/>
        </w:rPr>
        <w:t xml:space="preserve"> </w:t>
      </w:r>
      <w:r w:rsidRPr="00CD59CC">
        <w:rPr>
          <w:rFonts w:ascii="Arial" w:hAnsi="Arial" w:cs="Arial"/>
        </w:rPr>
        <w:t>Slovakian,</w:t>
      </w:r>
      <w:r w:rsidR="007B7640" w:rsidRPr="00CD59CC">
        <w:rPr>
          <w:rFonts w:ascii="Arial" w:hAnsi="Arial" w:cs="Arial"/>
        </w:rPr>
        <w:t xml:space="preserve"> </w:t>
      </w:r>
      <w:r w:rsidRPr="00CD59CC">
        <w:rPr>
          <w:rFonts w:ascii="Arial" w:hAnsi="Arial" w:cs="Arial"/>
        </w:rPr>
        <w:t>Slovenian,</w:t>
      </w:r>
      <w:r w:rsidR="007B7640" w:rsidRPr="00CD59CC">
        <w:rPr>
          <w:rFonts w:ascii="Arial" w:hAnsi="Arial" w:cs="Arial"/>
        </w:rPr>
        <w:t xml:space="preserve"> </w:t>
      </w:r>
      <w:r w:rsidRPr="00CD59CC">
        <w:rPr>
          <w:rFonts w:ascii="Arial" w:hAnsi="Arial" w:cs="Arial"/>
        </w:rPr>
        <w:t>Ukrainian.</w:t>
      </w:r>
      <w:r w:rsidR="007B7640" w:rsidRPr="00CD59CC">
        <w:rPr>
          <w:rFonts w:ascii="Arial" w:hAnsi="Arial" w:cs="Arial"/>
        </w:rPr>
        <w:t xml:space="preserve"> </w:t>
      </w:r>
    </w:p>
    <w:p w14:paraId="6C345D67" w14:textId="77777777" w:rsidR="00A64976" w:rsidRPr="00CD59CC" w:rsidRDefault="00A64976" w:rsidP="00CD59CC">
      <w:pPr>
        <w:rPr>
          <w:rFonts w:ascii="Arial" w:hAnsi="Arial" w:cs="Arial"/>
        </w:rPr>
      </w:pPr>
    </w:p>
    <w:p w14:paraId="2FF03939" w14:textId="77777777" w:rsidR="00A64976" w:rsidRPr="00CD59CC" w:rsidRDefault="00A64976"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148</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provides</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possibility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being</w:t>
      </w:r>
      <w:r w:rsidR="007B7640" w:rsidRPr="00CD59CC">
        <w:rPr>
          <w:rFonts w:ascii="Arial" w:hAnsi="Arial" w:cs="Arial"/>
        </w:rPr>
        <w:t xml:space="preserve"> </w:t>
      </w:r>
      <w:r w:rsidRPr="00CD59CC">
        <w:rPr>
          <w:rFonts w:ascii="Arial" w:hAnsi="Arial" w:cs="Arial"/>
        </w:rPr>
        <w:t>recognised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minorities:</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wish</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prove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meets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requirements</w:t>
      </w:r>
      <w:r w:rsidR="007B7640" w:rsidRPr="00CD59CC">
        <w:rPr>
          <w:rFonts w:ascii="Arial" w:hAnsi="Arial" w:cs="Arial"/>
        </w:rPr>
        <w:t xml:space="preserve"> </w:t>
      </w:r>
      <w:r w:rsidRPr="00CD59CC">
        <w:rPr>
          <w:rFonts w:ascii="Arial" w:hAnsi="Arial" w:cs="Arial"/>
        </w:rPr>
        <w:t>specified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least</w:t>
      </w:r>
      <w:r w:rsidR="007B7640" w:rsidRPr="00CD59CC">
        <w:rPr>
          <w:rFonts w:ascii="Arial" w:hAnsi="Arial" w:cs="Arial"/>
        </w:rPr>
        <w:t xml:space="preserve"> </w:t>
      </w:r>
      <w:r w:rsidRPr="00CD59CC">
        <w:rPr>
          <w:rFonts w:ascii="Arial" w:hAnsi="Arial" w:cs="Arial"/>
        </w:rPr>
        <w:t>1,000</w:t>
      </w:r>
      <w:r w:rsidR="007B7640" w:rsidRPr="00CD59CC">
        <w:rPr>
          <w:rFonts w:ascii="Arial" w:hAnsi="Arial" w:cs="Arial"/>
        </w:rPr>
        <w:t xml:space="preserve"> </w:t>
      </w:r>
      <w:r w:rsidRPr="00CD59CC">
        <w:rPr>
          <w:rFonts w:ascii="Arial" w:hAnsi="Arial" w:cs="Arial"/>
        </w:rPr>
        <w:t>voters</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declare</w:t>
      </w:r>
      <w:r w:rsidR="007B7640" w:rsidRPr="00CD59CC">
        <w:rPr>
          <w:rFonts w:ascii="Arial" w:hAnsi="Arial" w:cs="Arial"/>
        </w:rPr>
        <w:t xml:space="preserve"> </w:t>
      </w:r>
      <w:r w:rsidRPr="00CD59CC">
        <w:rPr>
          <w:rFonts w:ascii="Arial" w:hAnsi="Arial" w:cs="Arial"/>
        </w:rPr>
        <w:t>themselves</w:t>
      </w:r>
      <w:r w:rsidR="007B7640" w:rsidRPr="00CD59CC">
        <w:rPr>
          <w:rFonts w:ascii="Arial" w:hAnsi="Arial" w:cs="Arial"/>
        </w:rPr>
        <w:t xml:space="preserve"> </w:t>
      </w:r>
      <w:r w:rsidRPr="00CD59CC">
        <w:rPr>
          <w:rFonts w:ascii="Arial" w:hAnsi="Arial" w:cs="Arial"/>
        </w:rPr>
        <w:t>members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submit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petition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referendum</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Head</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Election</w:t>
      </w:r>
      <w:r w:rsidR="007B7640" w:rsidRPr="00CD59CC">
        <w:rPr>
          <w:rFonts w:ascii="Arial" w:hAnsi="Arial" w:cs="Arial"/>
        </w:rPr>
        <w:t xml:space="preserve"> </w:t>
      </w:r>
      <w:r w:rsidRPr="00CD59CC">
        <w:rPr>
          <w:rFonts w:ascii="Arial" w:hAnsi="Arial" w:cs="Arial"/>
        </w:rPr>
        <w:t>Committee.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final</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issue</w:t>
      </w:r>
      <w:r w:rsidR="007B7640" w:rsidRPr="00CD59CC">
        <w:rPr>
          <w:rFonts w:ascii="Arial" w:hAnsi="Arial" w:cs="Arial"/>
        </w:rPr>
        <w:t xml:space="preserve"> </w:t>
      </w:r>
      <w:r w:rsidRPr="00CD59CC">
        <w:rPr>
          <w:rFonts w:ascii="Arial" w:hAnsi="Arial" w:cs="Arial"/>
        </w:rPr>
        <w:t>lies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hands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Parliament.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procedure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referenda</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petitions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apply.</w:t>
      </w:r>
    </w:p>
    <w:p w14:paraId="2DCFFC7A" w14:textId="77777777" w:rsidR="00A64976" w:rsidRPr="00CD59CC" w:rsidRDefault="00A64976" w:rsidP="00CD59CC">
      <w:pPr>
        <w:rPr>
          <w:rFonts w:ascii="Arial" w:hAnsi="Arial" w:cs="Arial"/>
        </w:rPr>
      </w:pPr>
    </w:p>
    <w:p w14:paraId="1F1593B6" w14:textId="77777777" w:rsidR="00A64976" w:rsidRPr="00CD59CC" w:rsidRDefault="00A64976" w:rsidP="00CD59CC">
      <w:pPr>
        <w:pStyle w:val="ListParagraph"/>
        <w:tabs>
          <w:tab w:val="left" w:pos="1134"/>
        </w:tabs>
        <w:ind w:left="0"/>
        <w:contextualSpacing/>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relevant</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used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colour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skin</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2.1.)</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definitions.</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nationalities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statutory</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mean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affiliated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13</w:t>
      </w:r>
      <w:r w:rsidR="007B7640" w:rsidRPr="00CD59CC">
        <w:rPr>
          <w:rFonts w:ascii="Arial" w:hAnsi="Arial" w:cs="Arial"/>
        </w:rPr>
        <w:t xml:space="preserve"> </w:t>
      </w:r>
      <w:r w:rsidRPr="00CD59CC">
        <w:rPr>
          <w:rFonts w:ascii="Arial" w:hAnsi="Arial" w:cs="Arial"/>
        </w:rPr>
        <w:t>minorities,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more</w:t>
      </w:r>
      <w:r w:rsidR="007B7640" w:rsidRPr="00CD59CC">
        <w:rPr>
          <w:rFonts w:ascii="Arial" w:hAnsi="Arial" w:cs="Arial"/>
        </w:rPr>
        <w:t xml:space="preserve"> </w:t>
      </w:r>
      <w:r w:rsidRPr="00CD59CC">
        <w:rPr>
          <w:rFonts w:ascii="Arial" w:hAnsi="Arial" w:cs="Arial"/>
        </w:rPr>
        <w:t>advantageous</w:t>
      </w:r>
      <w:r w:rsidR="007B7640" w:rsidRPr="00CD59CC">
        <w:rPr>
          <w:rFonts w:ascii="Arial" w:hAnsi="Arial" w:cs="Arial"/>
        </w:rPr>
        <w:t xml:space="preserve"> </w:t>
      </w:r>
      <w:r w:rsidRPr="00CD59CC">
        <w:rPr>
          <w:rFonts w:ascii="Arial" w:hAnsi="Arial" w:cs="Arial"/>
        </w:rPr>
        <w:t>position</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application</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others:</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belonging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legally</w:t>
      </w:r>
      <w:r w:rsidR="007B7640" w:rsidRPr="00CD59CC">
        <w:rPr>
          <w:rFonts w:ascii="Arial" w:hAnsi="Arial" w:cs="Arial"/>
        </w:rPr>
        <w:t xml:space="preserve"> </w:t>
      </w:r>
      <w:r w:rsidRPr="00CD59CC">
        <w:rPr>
          <w:rFonts w:ascii="Arial" w:hAnsi="Arial" w:cs="Arial"/>
        </w:rPr>
        <w:t>acknowledged</w:t>
      </w:r>
      <w:r w:rsidR="007B7640" w:rsidRPr="00CD59CC">
        <w:rPr>
          <w:rFonts w:ascii="Arial" w:hAnsi="Arial" w:cs="Arial"/>
        </w:rPr>
        <w:t xml:space="preserve"> </w:t>
      </w:r>
      <w:r w:rsidRPr="00CD59CC">
        <w:rPr>
          <w:rFonts w:ascii="Arial" w:hAnsi="Arial" w:cs="Arial"/>
        </w:rPr>
        <w:t>nationalities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discriminated</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his/her</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will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w:t>
      </w:r>
      <w:r w:rsidR="007B7640" w:rsidRPr="00CD59CC">
        <w:rPr>
          <w:rFonts w:ascii="Arial" w:hAnsi="Arial" w:cs="Arial"/>
        </w:rPr>
        <w:t xml:space="preserve"> </w:t>
      </w:r>
      <w:r w:rsidRPr="00CD59CC">
        <w:rPr>
          <w:rFonts w:ascii="Arial" w:hAnsi="Arial" w:cs="Arial"/>
        </w:rPr>
        <w:t>(colour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skin),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maybe</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t)</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p>
    <w:p w14:paraId="19D07A39" w14:textId="77777777" w:rsidR="00A64976" w:rsidRPr="00CD59CC" w:rsidRDefault="00A64976" w:rsidP="00BB4E9F">
      <w:pPr>
        <w:pStyle w:val="ListParagraph"/>
        <w:tabs>
          <w:tab w:val="left" w:pos="1134"/>
        </w:tabs>
        <w:ind w:left="1134"/>
        <w:contextualSpacing/>
        <w:rPr>
          <w:rFonts w:ascii="Arial" w:hAnsi="Arial" w:cs="Arial"/>
          <w:i/>
        </w:rPr>
      </w:pPr>
    </w:p>
    <w:p w14:paraId="6DED8CA9" w14:textId="77777777" w:rsidR="002B5BCD" w:rsidRPr="00CD59CC" w:rsidRDefault="002B5BCD" w:rsidP="007B4138">
      <w:pPr>
        <w:pStyle w:val="ListParagraph"/>
        <w:numPr>
          <w:ilvl w:val="0"/>
          <w:numId w:val="32"/>
        </w:numPr>
        <w:tabs>
          <w:tab w:val="left" w:pos="1134"/>
        </w:tabs>
        <w:ind w:left="1134" w:hanging="567"/>
        <w:contextualSpacing/>
        <w:rPr>
          <w:rFonts w:ascii="Arial" w:hAnsi="Arial" w:cs="Arial"/>
          <w:i/>
        </w:rPr>
      </w:pPr>
      <w:r w:rsidRPr="00CD59CC">
        <w:rPr>
          <w:rFonts w:ascii="Arial" w:hAnsi="Arial" w:cs="Arial"/>
          <w:i/>
        </w:rPr>
        <w:lastRenderedPageBreak/>
        <w:t>religion</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belief</w:t>
      </w:r>
      <w:r w:rsidR="007B7640" w:rsidRPr="00CD59CC">
        <w:rPr>
          <w:rFonts w:ascii="Arial" w:hAnsi="Arial" w:cs="Arial"/>
          <w:i/>
        </w:rPr>
        <w:t xml:space="preserve"> </w:t>
      </w:r>
      <w:r w:rsidRPr="00CD59CC">
        <w:rPr>
          <w:rFonts w:ascii="Arial" w:hAnsi="Arial" w:cs="Arial"/>
          <w:i/>
        </w:rPr>
        <w:t>(e.g.</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interpretation</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what</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‘religion’</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purposes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freedom</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religion,</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what</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"disability"</w:t>
      </w:r>
      <w:r w:rsidR="007B7640" w:rsidRPr="00CD59CC">
        <w:rPr>
          <w:rFonts w:ascii="Arial" w:hAnsi="Arial" w:cs="Arial"/>
          <w:i/>
        </w:rPr>
        <w:t xml:space="preserve">  </w:t>
      </w:r>
      <w:r w:rsidRPr="00CD59CC">
        <w:rPr>
          <w:rFonts w:ascii="Arial" w:hAnsi="Arial" w:cs="Arial"/>
          <w:i/>
        </w:rPr>
        <w:t>sometimes</w:t>
      </w:r>
      <w:r w:rsidR="007B7640" w:rsidRPr="00CD59CC">
        <w:rPr>
          <w:rFonts w:ascii="Arial" w:hAnsi="Arial" w:cs="Arial"/>
          <w:i/>
        </w:rPr>
        <w:t xml:space="preserve"> </w:t>
      </w:r>
      <w:r w:rsidRPr="00CD59CC">
        <w:rPr>
          <w:rFonts w:ascii="Arial" w:hAnsi="Arial" w:cs="Arial"/>
          <w:i/>
        </w:rPr>
        <w:t>defined</w:t>
      </w:r>
      <w:r w:rsidR="007B7640" w:rsidRPr="00CD59CC">
        <w:rPr>
          <w:rFonts w:ascii="Arial" w:hAnsi="Arial" w:cs="Arial"/>
          <w:i/>
        </w:rPr>
        <w:t xml:space="preserve"> </w:t>
      </w:r>
      <w:r w:rsidRPr="00CD59CC">
        <w:rPr>
          <w:rFonts w:ascii="Arial" w:hAnsi="Arial" w:cs="Arial"/>
          <w:i/>
        </w:rPr>
        <w:t>only</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social</w:t>
      </w:r>
      <w:r w:rsidR="007B7640" w:rsidRPr="00CD59CC">
        <w:rPr>
          <w:rFonts w:ascii="Arial" w:hAnsi="Arial" w:cs="Arial"/>
          <w:i/>
        </w:rPr>
        <w:t xml:space="preserve"> </w:t>
      </w:r>
      <w:r w:rsidRPr="00CD59CC">
        <w:rPr>
          <w:rFonts w:ascii="Arial" w:hAnsi="Arial" w:cs="Arial"/>
          <w:i/>
        </w:rPr>
        <w:t>security</w:t>
      </w:r>
      <w:r w:rsidR="007B7640" w:rsidRPr="00CD59CC">
        <w:rPr>
          <w:rFonts w:ascii="Arial" w:hAnsi="Arial" w:cs="Arial"/>
          <w:i/>
        </w:rPr>
        <w:t xml:space="preserve"> </w:t>
      </w:r>
      <w:r w:rsidRPr="00CD59CC">
        <w:rPr>
          <w:rFonts w:ascii="Arial" w:hAnsi="Arial" w:cs="Arial"/>
          <w:i/>
        </w:rPr>
        <w:t>legislation)?</w:t>
      </w:r>
    </w:p>
    <w:p w14:paraId="4D3A12D3" w14:textId="77777777" w:rsidR="00956635" w:rsidRPr="00CD59CC" w:rsidRDefault="00956635" w:rsidP="00BB4E9F">
      <w:pPr>
        <w:pStyle w:val="ListParagraph"/>
        <w:tabs>
          <w:tab w:val="left" w:pos="1134"/>
        </w:tabs>
        <w:ind w:left="567"/>
        <w:contextualSpacing/>
        <w:rPr>
          <w:rFonts w:ascii="Arial" w:hAnsi="Arial" w:cs="Arial"/>
          <w:i/>
        </w:rPr>
      </w:pPr>
    </w:p>
    <w:p w14:paraId="47F103FD" w14:textId="38A15861" w:rsidR="00956635" w:rsidRPr="00CD59CC" w:rsidRDefault="00956635" w:rsidP="00CD59CC">
      <w:pPr>
        <w:pStyle w:val="ListParagraph"/>
        <w:tabs>
          <w:tab w:val="left" w:pos="1134"/>
        </w:tabs>
        <w:ind w:left="0"/>
        <w:contextualSpacing/>
        <w:rPr>
          <w:rFonts w:ascii="Arial" w:hAnsi="Arial" w:cs="Arial"/>
        </w:rPr>
      </w:pPr>
      <w:r w:rsidRPr="00CD59CC">
        <w:rPr>
          <w:rFonts w:ascii="Arial" w:hAnsi="Arial" w:cs="Arial"/>
        </w:rPr>
        <w:t>Religious</w:t>
      </w:r>
      <w:r w:rsidR="007B7640" w:rsidRPr="00CD59CC">
        <w:rPr>
          <w:rFonts w:ascii="Arial" w:hAnsi="Arial" w:cs="Arial"/>
        </w:rPr>
        <w:t xml:space="preserve"> </w:t>
      </w:r>
      <w:r w:rsidRPr="00CD59CC">
        <w:rPr>
          <w:rFonts w:ascii="Arial" w:hAnsi="Arial" w:cs="Arial"/>
        </w:rPr>
        <w:t>activities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6</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CCVI</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2011</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Freedom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Conscience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Religion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Status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Churches,</w:t>
      </w:r>
      <w:r w:rsidR="007B7640" w:rsidRPr="00CD59CC">
        <w:rPr>
          <w:rFonts w:ascii="Arial" w:hAnsi="Arial" w:cs="Arial"/>
        </w:rPr>
        <w:t xml:space="preserve"> </w:t>
      </w:r>
      <w:r w:rsidRPr="00CD59CC">
        <w:rPr>
          <w:rFonts w:ascii="Arial" w:hAnsi="Arial" w:cs="Arial"/>
        </w:rPr>
        <w:t>Denominations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Religious</w:t>
      </w:r>
      <w:r w:rsidR="007B7640" w:rsidRPr="00CD59CC">
        <w:rPr>
          <w:rFonts w:ascii="Arial" w:hAnsi="Arial" w:cs="Arial"/>
        </w:rPr>
        <w:t xml:space="preserve"> </w:t>
      </w:r>
      <w:r w:rsidRPr="00CD59CC">
        <w:rPr>
          <w:rFonts w:ascii="Arial" w:hAnsi="Arial" w:cs="Arial"/>
        </w:rPr>
        <w:t>Communities.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religious</w:t>
      </w:r>
      <w:r w:rsidR="007B7640" w:rsidRPr="00CD59CC">
        <w:rPr>
          <w:rFonts w:ascii="Arial" w:hAnsi="Arial" w:cs="Arial"/>
        </w:rPr>
        <w:t xml:space="preserve"> </w:t>
      </w:r>
      <w:r w:rsidRPr="00CD59CC">
        <w:rPr>
          <w:rFonts w:ascii="Arial" w:hAnsi="Arial" w:cs="Arial"/>
        </w:rPr>
        <w:t>activities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activities</w:t>
      </w:r>
      <w:r w:rsidR="007B7640" w:rsidRPr="00CD59CC">
        <w:rPr>
          <w:rFonts w:ascii="Arial" w:hAnsi="Arial" w:cs="Arial"/>
        </w:rPr>
        <w:t xml:space="preserve"> </w:t>
      </w:r>
      <w:r w:rsidRPr="00CD59CC">
        <w:rPr>
          <w:rFonts w:ascii="Arial" w:hAnsi="Arial" w:cs="Arial"/>
        </w:rPr>
        <w:t>linked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worldview</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directed</w:t>
      </w:r>
      <w:r w:rsidR="007B7640" w:rsidRPr="00CD59CC">
        <w:rPr>
          <w:rFonts w:ascii="Arial" w:hAnsi="Arial" w:cs="Arial"/>
        </w:rPr>
        <w:t xml:space="preserve"> </w:t>
      </w:r>
      <w:r w:rsidRPr="00CD59CC">
        <w:rPr>
          <w:rFonts w:ascii="Arial" w:hAnsi="Arial" w:cs="Arial"/>
        </w:rPr>
        <w:t>towards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transcendental,</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faith-based</w:t>
      </w:r>
      <w:r w:rsidR="007B7640" w:rsidRPr="00CD59CC">
        <w:rPr>
          <w:rFonts w:ascii="Arial" w:hAnsi="Arial" w:cs="Arial"/>
        </w:rPr>
        <w:t xml:space="preserve"> </w:t>
      </w:r>
      <w:r w:rsidRPr="00CD59CC">
        <w:rPr>
          <w:rFonts w:ascii="Arial" w:hAnsi="Arial" w:cs="Arial"/>
        </w:rPr>
        <w:t>principles,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teachings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directed</w:t>
      </w:r>
      <w:r w:rsidR="007B7640" w:rsidRPr="00CD59CC">
        <w:rPr>
          <w:rFonts w:ascii="Arial" w:hAnsi="Arial" w:cs="Arial"/>
        </w:rPr>
        <w:t xml:space="preserve"> </w:t>
      </w:r>
      <w:r w:rsidRPr="00CD59CC">
        <w:rPr>
          <w:rFonts w:ascii="Arial" w:hAnsi="Arial" w:cs="Arial"/>
        </w:rPr>
        <w:t>towards</w:t>
      </w:r>
      <w:r w:rsidR="007B7640" w:rsidRPr="00CD59CC">
        <w:rPr>
          <w:rFonts w:ascii="Arial" w:hAnsi="Arial" w:cs="Arial"/>
        </w:rPr>
        <w:t xml:space="preserve"> </w:t>
      </w:r>
      <w:r w:rsidRPr="00CD59CC">
        <w:rPr>
          <w:rFonts w:ascii="Arial" w:hAnsi="Arial" w:cs="Arial"/>
        </w:rPr>
        <w:t>existence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whole,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embraces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entire</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personality</w:t>
      </w:r>
      <w:r w:rsidR="007B7640" w:rsidRPr="00CD59CC">
        <w:rPr>
          <w:rFonts w:ascii="Arial" w:hAnsi="Arial" w:cs="Arial"/>
        </w:rPr>
        <w:t xml:space="preserve"> </w:t>
      </w:r>
      <w:r w:rsidRPr="00CD59CC">
        <w:rPr>
          <w:rFonts w:ascii="Arial" w:hAnsi="Arial" w:cs="Arial"/>
        </w:rPr>
        <w:t>through</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requirements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conduct.</w:t>
      </w:r>
      <w:r w:rsidR="007B7640" w:rsidRPr="00CD59CC">
        <w:rPr>
          <w:rFonts w:ascii="Arial" w:hAnsi="Arial" w:cs="Arial"/>
        </w:rPr>
        <w:t xml:space="preserve"> </w:t>
      </w:r>
    </w:p>
    <w:p w14:paraId="3FA4FC1E" w14:textId="77777777" w:rsidR="00956635" w:rsidRPr="00CD59CC" w:rsidRDefault="00956635" w:rsidP="00CD59CC">
      <w:pPr>
        <w:pStyle w:val="ListParagraph"/>
        <w:tabs>
          <w:tab w:val="left" w:pos="1134"/>
        </w:tabs>
        <w:ind w:left="0"/>
        <w:contextualSpacing/>
        <w:rPr>
          <w:rFonts w:ascii="Arial" w:hAnsi="Arial" w:cs="Arial"/>
        </w:rPr>
      </w:pPr>
    </w:p>
    <w:p w14:paraId="3768DCF2" w14:textId="77777777" w:rsidR="00956635" w:rsidRPr="00CD59CC" w:rsidRDefault="00956635" w:rsidP="00CD59CC">
      <w:pPr>
        <w:pStyle w:val="ListParagraph"/>
        <w:tabs>
          <w:tab w:val="left" w:pos="1134"/>
        </w:tabs>
        <w:ind w:left="0"/>
        <w:contextualSpacing/>
        <w:rPr>
          <w:rFonts w:ascii="Arial" w:hAnsi="Arial" w:cs="Arial"/>
        </w:rPr>
      </w:pPr>
      <w:r w:rsidRPr="00CD59CC">
        <w:rPr>
          <w:rFonts w:ascii="Arial" w:hAnsi="Arial" w:cs="Arial"/>
        </w:rPr>
        <w:t>It</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added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context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church</w:t>
      </w:r>
      <w:r w:rsidR="007B7640" w:rsidRPr="00CD59CC">
        <w:rPr>
          <w:rFonts w:ascii="Arial" w:hAnsi="Arial" w:cs="Arial"/>
        </w:rPr>
        <w:t xml:space="preserve"> </w:t>
      </w:r>
      <w:r w:rsidRPr="00CD59CC">
        <w:rPr>
          <w:rFonts w:ascii="Arial" w:hAnsi="Arial" w:cs="Arial"/>
        </w:rPr>
        <w:t>recognition,</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exercise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freedom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religion.</w:t>
      </w:r>
    </w:p>
    <w:p w14:paraId="4CF105C8" w14:textId="77777777" w:rsidR="00956635" w:rsidRPr="00CD59CC" w:rsidRDefault="00956635" w:rsidP="00BB4E9F">
      <w:pPr>
        <w:pStyle w:val="ListParagraph"/>
        <w:tabs>
          <w:tab w:val="left" w:pos="1134"/>
        </w:tabs>
        <w:ind w:left="567"/>
        <w:contextualSpacing/>
        <w:rPr>
          <w:rFonts w:ascii="Arial" w:hAnsi="Arial" w:cs="Arial"/>
          <w:i/>
        </w:rPr>
      </w:pPr>
    </w:p>
    <w:p w14:paraId="0DC799A0" w14:textId="48907650" w:rsidR="002B5BCD" w:rsidRPr="00CD59CC" w:rsidRDefault="00956635" w:rsidP="007B4138">
      <w:pPr>
        <w:pStyle w:val="ListParagraph"/>
        <w:numPr>
          <w:ilvl w:val="0"/>
          <w:numId w:val="32"/>
        </w:numPr>
        <w:tabs>
          <w:tab w:val="left" w:pos="1134"/>
        </w:tabs>
        <w:ind w:left="1134" w:hanging="567"/>
        <w:contextualSpacing/>
        <w:rPr>
          <w:rFonts w:ascii="Arial" w:hAnsi="Arial" w:cs="Arial"/>
          <w:i/>
        </w:rPr>
      </w:pPr>
      <w:r w:rsidRPr="00BB4E9F">
        <w:rPr>
          <w:rFonts w:ascii="Arial" w:hAnsi="Arial"/>
          <w:i/>
        </w:rPr>
        <w:t>D</w:t>
      </w:r>
      <w:r w:rsidR="002B5BCD" w:rsidRPr="00BB4E9F">
        <w:rPr>
          <w:rFonts w:ascii="Arial" w:hAnsi="Arial"/>
          <w:i/>
        </w:rPr>
        <w:t>isability</w:t>
      </w:r>
    </w:p>
    <w:p w14:paraId="3D5D55B5" w14:textId="77777777" w:rsidR="00956635" w:rsidRPr="00CD59CC" w:rsidRDefault="00956635" w:rsidP="00CD59CC">
      <w:pPr>
        <w:pStyle w:val="ListParagraph"/>
        <w:tabs>
          <w:tab w:val="left" w:pos="1134"/>
        </w:tabs>
        <w:ind w:left="1134"/>
        <w:contextualSpacing/>
        <w:rPr>
          <w:rFonts w:ascii="Arial" w:hAnsi="Arial" w:cs="Arial"/>
          <w:i/>
        </w:rPr>
      </w:pPr>
    </w:p>
    <w:p w14:paraId="40ADDEA4" w14:textId="690E5181" w:rsidR="00007A35" w:rsidRPr="00CD59CC" w:rsidRDefault="00956635" w:rsidP="00BB4E9F">
      <w:pPr>
        <w:rPr>
          <w:rFonts w:ascii="Arial" w:hAnsi="Arial" w:cs="Arial"/>
        </w:rPr>
      </w:pP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00007A35" w:rsidRPr="00CD59CC">
        <w:rPr>
          <w:rFonts w:ascii="Arial" w:hAnsi="Arial" w:cs="Arial"/>
        </w:rPr>
        <w:t>persons</w:t>
      </w:r>
      <w:r w:rsidR="007B7640" w:rsidRPr="00CD59CC">
        <w:rPr>
          <w:rFonts w:ascii="Arial" w:hAnsi="Arial" w:cs="Arial"/>
        </w:rPr>
        <w:t xml:space="preserve"> </w:t>
      </w:r>
      <w:r w:rsidR="00007A35" w:rsidRPr="00CD59CC">
        <w:rPr>
          <w:rFonts w:ascii="Arial" w:hAnsi="Arial" w:cs="Arial"/>
        </w:rPr>
        <w:t>with</w:t>
      </w:r>
      <w:r w:rsidR="007B7640" w:rsidRPr="00CD59CC">
        <w:rPr>
          <w:rFonts w:ascii="Arial" w:hAnsi="Arial" w:cs="Arial"/>
        </w:rPr>
        <w:t xml:space="preserve"> </w:t>
      </w:r>
      <w:r w:rsidR="00007A35" w:rsidRPr="00CD59CC">
        <w:rPr>
          <w:rFonts w:ascii="Arial" w:hAnsi="Arial" w:cs="Arial"/>
        </w:rPr>
        <w:t>disabilities</w:t>
      </w:r>
      <w:r w:rsidR="007B7640" w:rsidRPr="00CD59CC">
        <w:rPr>
          <w:rFonts w:ascii="Arial" w:hAnsi="Arial" w:cs="Arial"/>
        </w:rPr>
        <w:t xml:space="preserve"> </w:t>
      </w:r>
      <w:r w:rsidR="00007A35" w:rsidRPr="00CD59CC">
        <w:rPr>
          <w:rFonts w:ascii="Arial" w:hAnsi="Arial" w:cs="Arial"/>
        </w:rPr>
        <w:t>are</w:t>
      </w:r>
      <w:r w:rsidR="007B7640" w:rsidRPr="00CD59CC">
        <w:rPr>
          <w:rFonts w:ascii="Arial" w:hAnsi="Arial" w:cs="Arial"/>
        </w:rPr>
        <w:t xml:space="preserve"> </w:t>
      </w:r>
      <w:r w:rsidR="00007A35" w:rsidRPr="00CD59CC">
        <w:rPr>
          <w:rFonts w:ascii="Arial" w:hAnsi="Arial" w:cs="Arial"/>
        </w:rPr>
        <w:t>those</w:t>
      </w:r>
      <w:r w:rsidR="007B7640" w:rsidRPr="00CD59CC">
        <w:rPr>
          <w:rFonts w:ascii="Arial" w:hAnsi="Arial" w:cs="Arial"/>
        </w:rPr>
        <w:t xml:space="preserve"> </w:t>
      </w:r>
      <w:r w:rsidR="00007A35" w:rsidRPr="00CD59CC">
        <w:rPr>
          <w:rFonts w:ascii="Arial" w:hAnsi="Arial" w:cs="Arial"/>
        </w:rPr>
        <w:t>who</w:t>
      </w:r>
      <w:r w:rsidR="007B7640" w:rsidRPr="00CD59CC">
        <w:rPr>
          <w:rFonts w:ascii="Arial" w:hAnsi="Arial" w:cs="Arial"/>
        </w:rPr>
        <w:t xml:space="preserve"> </w:t>
      </w:r>
      <w:r w:rsidR="00007A35" w:rsidRPr="00CD59CC">
        <w:rPr>
          <w:rFonts w:ascii="Arial" w:hAnsi="Arial" w:cs="Arial"/>
        </w:rPr>
        <w:t>have</w:t>
      </w:r>
      <w:r w:rsidR="007B7640" w:rsidRPr="00CD59CC">
        <w:rPr>
          <w:rFonts w:ascii="Arial" w:hAnsi="Arial" w:cs="Arial"/>
        </w:rPr>
        <w:t xml:space="preserve"> </w:t>
      </w:r>
      <w:r w:rsidR="00007A35" w:rsidRPr="00CD59CC">
        <w:rPr>
          <w:rFonts w:ascii="Arial" w:hAnsi="Arial" w:cs="Arial"/>
        </w:rPr>
        <w:t>irreversible</w:t>
      </w:r>
      <w:r w:rsidR="007B7640" w:rsidRPr="00CD59CC">
        <w:rPr>
          <w:rFonts w:ascii="Arial" w:hAnsi="Arial" w:cs="Arial"/>
        </w:rPr>
        <w:t xml:space="preserve"> </w:t>
      </w:r>
      <w:r w:rsidR="00007A35" w:rsidRPr="00CD59CC">
        <w:rPr>
          <w:rFonts w:ascii="Arial" w:hAnsi="Arial" w:cs="Arial"/>
        </w:rPr>
        <w:t>or</w:t>
      </w:r>
      <w:r w:rsidR="007B7640" w:rsidRPr="00CD59CC">
        <w:rPr>
          <w:rFonts w:ascii="Arial" w:hAnsi="Arial" w:cs="Arial"/>
        </w:rPr>
        <w:t xml:space="preserve"> </w:t>
      </w:r>
      <w:r w:rsidR="00007A35" w:rsidRPr="00CD59CC">
        <w:rPr>
          <w:rFonts w:ascii="Arial" w:hAnsi="Arial" w:cs="Arial"/>
        </w:rPr>
        <w:t>long-term</w:t>
      </w:r>
      <w:r w:rsidR="007B7640" w:rsidRPr="00CD59CC">
        <w:rPr>
          <w:rFonts w:ascii="Arial" w:hAnsi="Arial" w:cs="Arial"/>
        </w:rPr>
        <w:t xml:space="preserve"> </w:t>
      </w:r>
      <w:r w:rsidR="00007A35" w:rsidRPr="00CD59CC">
        <w:rPr>
          <w:rFonts w:ascii="Arial" w:hAnsi="Arial" w:cs="Arial"/>
        </w:rPr>
        <w:t>sensory,</w:t>
      </w:r>
      <w:r w:rsidR="007B7640" w:rsidRPr="00CD59CC">
        <w:rPr>
          <w:rFonts w:ascii="Arial" w:hAnsi="Arial" w:cs="Arial"/>
        </w:rPr>
        <w:t xml:space="preserve"> </w:t>
      </w:r>
      <w:r w:rsidR="00007A35" w:rsidRPr="00CD59CC">
        <w:rPr>
          <w:rFonts w:ascii="Arial" w:hAnsi="Arial" w:cs="Arial"/>
        </w:rPr>
        <w:t>communication-related,</w:t>
      </w:r>
      <w:r w:rsidR="007B7640" w:rsidRPr="00CD59CC">
        <w:rPr>
          <w:rFonts w:ascii="Arial" w:hAnsi="Arial" w:cs="Arial"/>
        </w:rPr>
        <w:t xml:space="preserve"> </w:t>
      </w:r>
      <w:r w:rsidR="00007A35" w:rsidRPr="00CD59CC">
        <w:rPr>
          <w:rFonts w:ascii="Arial" w:hAnsi="Arial" w:cs="Arial"/>
        </w:rPr>
        <w:t>physical,</w:t>
      </w:r>
      <w:r w:rsidR="007B7640" w:rsidRPr="00CD59CC">
        <w:rPr>
          <w:rFonts w:ascii="Arial" w:hAnsi="Arial" w:cs="Arial"/>
        </w:rPr>
        <w:t xml:space="preserve"> </w:t>
      </w:r>
      <w:r w:rsidR="00007A35" w:rsidRPr="00CD59CC">
        <w:rPr>
          <w:rFonts w:ascii="Arial" w:hAnsi="Arial" w:cs="Arial"/>
        </w:rPr>
        <w:t>intellectual,</w:t>
      </w:r>
      <w:r w:rsidR="007B7640" w:rsidRPr="00CD59CC">
        <w:rPr>
          <w:rFonts w:ascii="Arial" w:hAnsi="Arial" w:cs="Arial"/>
        </w:rPr>
        <w:t xml:space="preserve"> </w:t>
      </w:r>
      <w:r w:rsidR="00007A35" w:rsidRPr="00CD59CC">
        <w:rPr>
          <w:rFonts w:ascii="Arial" w:hAnsi="Arial" w:cs="Arial"/>
        </w:rPr>
        <w:t>psychosocial</w:t>
      </w:r>
      <w:r w:rsidR="007B7640" w:rsidRPr="00CD59CC">
        <w:rPr>
          <w:rFonts w:ascii="Arial" w:hAnsi="Arial" w:cs="Arial"/>
        </w:rPr>
        <w:t xml:space="preserve"> </w:t>
      </w:r>
      <w:r w:rsidR="00007A35" w:rsidRPr="00CD59CC">
        <w:rPr>
          <w:rFonts w:ascii="Arial" w:hAnsi="Arial" w:cs="Arial"/>
        </w:rPr>
        <w:t>impairments</w:t>
      </w:r>
      <w:r w:rsidR="007B7640" w:rsidRPr="00CD59CC">
        <w:rPr>
          <w:rFonts w:ascii="Arial" w:hAnsi="Arial" w:cs="Arial"/>
        </w:rPr>
        <w:t xml:space="preserve"> </w:t>
      </w:r>
      <w:r w:rsidR="00007A35" w:rsidRPr="00CD59CC">
        <w:rPr>
          <w:rFonts w:ascii="Arial" w:hAnsi="Arial" w:cs="Arial"/>
        </w:rPr>
        <w:t>or</w:t>
      </w:r>
      <w:r w:rsidR="007B7640" w:rsidRPr="00CD59CC">
        <w:rPr>
          <w:rFonts w:ascii="Arial" w:hAnsi="Arial" w:cs="Arial"/>
        </w:rPr>
        <w:t xml:space="preserve"> </w:t>
      </w:r>
      <w:r w:rsidR="00007A35" w:rsidRPr="00CD59CC">
        <w:rPr>
          <w:rFonts w:ascii="Arial" w:hAnsi="Arial" w:cs="Arial"/>
        </w:rPr>
        <w:t>the</w:t>
      </w:r>
      <w:r w:rsidR="007B7640" w:rsidRPr="00CD59CC">
        <w:rPr>
          <w:rFonts w:ascii="Arial" w:hAnsi="Arial" w:cs="Arial"/>
        </w:rPr>
        <w:t xml:space="preserve"> </w:t>
      </w:r>
      <w:r w:rsidR="00007A35" w:rsidRPr="00CD59CC">
        <w:rPr>
          <w:rFonts w:ascii="Arial" w:hAnsi="Arial" w:cs="Arial"/>
        </w:rPr>
        <w:t>accumulation</w:t>
      </w:r>
      <w:r w:rsidR="007B7640" w:rsidRPr="00CD59CC">
        <w:rPr>
          <w:rFonts w:ascii="Arial" w:hAnsi="Arial" w:cs="Arial"/>
        </w:rPr>
        <w:t xml:space="preserve"> </w:t>
      </w:r>
      <w:r w:rsidR="00007A35" w:rsidRPr="00CD59CC">
        <w:rPr>
          <w:rFonts w:ascii="Arial" w:hAnsi="Arial" w:cs="Arial"/>
        </w:rPr>
        <w:t>thereof,</w:t>
      </w:r>
      <w:r w:rsidR="007B7640" w:rsidRPr="00CD59CC">
        <w:rPr>
          <w:rFonts w:ascii="Arial" w:hAnsi="Arial" w:cs="Arial"/>
        </w:rPr>
        <w:t xml:space="preserve"> </w:t>
      </w:r>
      <w:r w:rsidR="00007A35" w:rsidRPr="00CD59CC">
        <w:rPr>
          <w:rFonts w:ascii="Arial" w:hAnsi="Arial" w:cs="Arial"/>
        </w:rPr>
        <w:t>which</w:t>
      </w:r>
      <w:r w:rsidR="007B7640" w:rsidRPr="00CD59CC">
        <w:rPr>
          <w:rFonts w:ascii="Arial" w:hAnsi="Arial" w:cs="Arial"/>
        </w:rPr>
        <w:t xml:space="preserve"> </w:t>
      </w:r>
      <w:r w:rsidR="00007A35" w:rsidRPr="00CD59CC">
        <w:rPr>
          <w:rFonts w:ascii="Arial" w:hAnsi="Arial" w:cs="Arial"/>
        </w:rPr>
        <w:t>in</w:t>
      </w:r>
      <w:r w:rsidR="007B7640" w:rsidRPr="00CD59CC">
        <w:rPr>
          <w:rFonts w:ascii="Arial" w:hAnsi="Arial" w:cs="Arial"/>
        </w:rPr>
        <w:t xml:space="preserve"> </w:t>
      </w:r>
      <w:r w:rsidR="00007A35" w:rsidRPr="00CD59CC">
        <w:rPr>
          <w:rFonts w:ascii="Arial" w:hAnsi="Arial" w:cs="Arial"/>
        </w:rPr>
        <w:t>interaction</w:t>
      </w:r>
      <w:r w:rsidR="007B7640" w:rsidRPr="00CD59CC">
        <w:rPr>
          <w:rFonts w:ascii="Arial" w:hAnsi="Arial" w:cs="Arial"/>
        </w:rPr>
        <w:t xml:space="preserve"> </w:t>
      </w:r>
      <w:r w:rsidR="00007A35" w:rsidRPr="00CD59CC">
        <w:rPr>
          <w:rFonts w:ascii="Arial" w:hAnsi="Arial" w:cs="Arial"/>
        </w:rPr>
        <w:t>with</w:t>
      </w:r>
      <w:r w:rsidR="007B7640" w:rsidRPr="00CD59CC">
        <w:rPr>
          <w:rFonts w:ascii="Arial" w:hAnsi="Arial" w:cs="Arial"/>
        </w:rPr>
        <w:t xml:space="preserve"> </w:t>
      </w:r>
      <w:r w:rsidR="00007A35" w:rsidRPr="00CD59CC">
        <w:rPr>
          <w:rFonts w:ascii="Arial" w:hAnsi="Arial" w:cs="Arial"/>
        </w:rPr>
        <w:t>significant</w:t>
      </w:r>
      <w:r w:rsidR="007B7640" w:rsidRPr="00CD59CC">
        <w:rPr>
          <w:rFonts w:ascii="Arial" w:hAnsi="Arial" w:cs="Arial"/>
        </w:rPr>
        <w:t xml:space="preserve"> </w:t>
      </w:r>
      <w:r w:rsidR="00007A35" w:rsidRPr="00CD59CC">
        <w:rPr>
          <w:rFonts w:ascii="Arial" w:hAnsi="Arial" w:cs="Arial"/>
        </w:rPr>
        <w:t>environmental,</w:t>
      </w:r>
      <w:r w:rsidR="007B7640" w:rsidRPr="00CD59CC">
        <w:rPr>
          <w:rFonts w:ascii="Arial" w:hAnsi="Arial" w:cs="Arial"/>
        </w:rPr>
        <w:t xml:space="preserve"> </w:t>
      </w:r>
      <w:r w:rsidR="00007A35" w:rsidRPr="00CD59CC">
        <w:rPr>
          <w:rFonts w:ascii="Arial" w:hAnsi="Arial" w:cs="Arial"/>
        </w:rPr>
        <w:t>societal</w:t>
      </w:r>
      <w:r w:rsidR="007B7640" w:rsidRPr="00CD59CC">
        <w:rPr>
          <w:rFonts w:ascii="Arial" w:hAnsi="Arial" w:cs="Arial"/>
        </w:rPr>
        <w:t xml:space="preserve"> </w:t>
      </w:r>
      <w:r w:rsidR="00007A35" w:rsidRPr="00CD59CC">
        <w:rPr>
          <w:rFonts w:ascii="Arial" w:hAnsi="Arial" w:cs="Arial"/>
        </w:rPr>
        <w:t>or</w:t>
      </w:r>
      <w:r w:rsidR="007B7640" w:rsidRPr="00CD59CC">
        <w:rPr>
          <w:rFonts w:ascii="Arial" w:hAnsi="Arial" w:cs="Arial"/>
        </w:rPr>
        <w:t xml:space="preserve"> </w:t>
      </w:r>
      <w:r w:rsidR="00007A35" w:rsidRPr="00CD59CC">
        <w:rPr>
          <w:rFonts w:ascii="Arial" w:hAnsi="Arial" w:cs="Arial"/>
        </w:rPr>
        <w:t>other</w:t>
      </w:r>
      <w:r w:rsidR="007B7640" w:rsidRPr="00CD59CC">
        <w:rPr>
          <w:rFonts w:ascii="Arial" w:hAnsi="Arial" w:cs="Arial"/>
        </w:rPr>
        <w:t xml:space="preserve"> </w:t>
      </w:r>
      <w:r w:rsidR="00007A35" w:rsidRPr="00CD59CC">
        <w:rPr>
          <w:rFonts w:ascii="Arial" w:hAnsi="Arial" w:cs="Arial"/>
        </w:rPr>
        <w:t>barriers</w:t>
      </w:r>
      <w:r w:rsidR="007B7640" w:rsidRPr="00CD59CC">
        <w:rPr>
          <w:rFonts w:ascii="Arial" w:hAnsi="Arial" w:cs="Arial"/>
        </w:rPr>
        <w:t xml:space="preserve"> </w:t>
      </w:r>
      <w:r w:rsidR="00AF4C10" w:rsidRPr="00CD59CC">
        <w:rPr>
          <w:rFonts w:ascii="Arial" w:hAnsi="Arial" w:cs="Arial"/>
        </w:rPr>
        <w:t>restrict</w:t>
      </w:r>
      <w:r w:rsidR="007B7640" w:rsidRPr="00CD59CC">
        <w:rPr>
          <w:rFonts w:ascii="Arial" w:hAnsi="Arial" w:cs="Arial"/>
        </w:rPr>
        <w:t xml:space="preserve"> </w:t>
      </w:r>
      <w:r w:rsidR="00AF4C10" w:rsidRPr="00CD59CC">
        <w:rPr>
          <w:rFonts w:ascii="Arial" w:hAnsi="Arial" w:cs="Arial"/>
        </w:rPr>
        <w:t>or</w:t>
      </w:r>
      <w:r w:rsidR="007B7640" w:rsidRPr="00CD59CC">
        <w:rPr>
          <w:rFonts w:ascii="Arial" w:hAnsi="Arial" w:cs="Arial"/>
        </w:rPr>
        <w:t xml:space="preserve"> </w:t>
      </w:r>
      <w:r w:rsidR="00AF4C10" w:rsidRPr="00CD59CC">
        <w:rPr>
          <w:rFonts w:ascii="Arial" w:hAnsi="Arial" w:cs="Arial"/>
        </w:rPr>
        <w:t>hinder</w:t>
      </w:r>
      <w:r w:rsidR="007B7640" w:rsidRPr="00CD59CC">
        <w:rPr>
          <w:rFonts w:ascii="Arial" w:hAnsi="Arial" w:cs="Arial"/>
        </w:rPr>
        <w:t xml:space="preserve"> </w:t>
      </w:r>
      <w:r w:rsidR="00007A35" w:rsidRPr="00CD59CC">
        <w:rPr>
          <w:rFonts w:ascii="Arial" w:hAnsi="Arial" w:cs="Arial"/>
        </w:rPr>
        <w:t>their</w:t>
      </w:r>
      <w:r w:rsidR="007B7640" w:rsidRPr="00CD59CC">
        <w:rPr>
          <w:rFonts w:ascii="Arial" w:hAnsi="Arial" w:cs="Arial"/>
        </w:rPr>
        <w:t xml:space="preserve"> </w:t>
      </w:r>
      <w:r w:rsidR="00007A35" w:rsidRPr="00CD59CC">
        <w:rPr>
          <w:rFonts w:ascii="Arial" w:hAnsi="Arial" w:cs="Arial"/>
        </w:rPr>
        <w:t>full</w:t>
      </w:r>
      <w:r w:rsidR="007B7640" w:rsidRPr="00CD59CC">
        <w:rPr>
          <w:rFonts w:ascii="Arial" w:hAnsi="Arial" w:cs="Arial"/>
        </w:rPr>
        <w:t xml:space="preserve"> </w:t>
      </w:r>
      <w:r w:rsidR="00007A35" w:rsidRPr="00CD59CC">
        <w:rPr>
          <w:rFonts w:ascii="Arial" w:hAnsi="Arial" w:cs="Arial"/>
        </w:rPr>
        <w:t>and</w:t>
      </w:r>
      <w:r w:rsidR="007B7640" w:rsidRPr="00CD59CC">
        <w:rPr>
          <w:rFonts w:ascii="Arial" w:hAnsi="Arial" w:cs="Arial"/>
        </w:rPr>
        <w:t xml:space="preserve"> </w:t>
      </w:r>
      <w:r w:rsidR="00007A35" w:rsidRPr="00CD59CC">
        <w:rPr>
          <w:rFonts w:ascii="Arial" w:hAnsi="Arial" w:cs="Arial"/>
        </w:rPr>
        <w:t>effective</w:t>
      </w:r>
      <w:r w:rsidR="007B7640" w:rsidRPr="00CD59CC">
        <w:rPr>
          <w:rFonts w:ascii="Arial" w:hAnsi="Arial" w:cs="Arial"/>
        </w:rPr>
        <w:t xml:space="preserve"> </w:t>
      </w:r>
      <w:r w:rsidR="00007A35" w:rsidRPr="00CD59CC">
        <w:rPr>
          <w:rFonts w:ascii="Arial" w:hAnsi="Arial" w:cs="Arial"/>
        </w:rPr>
        <w:t>participation</w:t>
      </w:r>
      <w:r w:rsidR="007B7640" w:rsidRPr="00CD59CC">
        <w:rPr>
          <w:rFonts w:ascii="Arial" w:hAnsi="Arial" w:cs="Arial"/>
        </w:rPr>
        <w:t xml:space="preserve"> </w:t>
      </w:r>
      <w:r w:rsidR="00007A35" w:rsidRPr="00CD59CC">
        <w:rPr>
          <w:rFonts w:ascii="Arial" w:hAnsi="Arial" w:cs="Arial"/>
        </w:rPr>
        <w:t>in</w:t>
      </w:r>
      <w:r w:rsidR="007B7640" w:rsidRPr="00CD59CC">
        <w:rPr>
          <w:rFonts w:ascii="Arial" w:hAnsi="Arial" w:cs="Arial"/>
        </w:rPr>
        <w:t xml:space="preserve"> </w:t>
      </w:r>
      <w:r w:rsidR="00007A35" w:rsidRPr="00CD59CC">
        <w:rPr>
          <w:rFonts w:ascii="Arial" w:hAnsi="Arial" w:cs="Arial"/>
        </w:rPr>
        <w:t>society</w:t>
      </w:r>
      <w:r w:rsidR="007B7640" w:rsidRPr="00CD59CC">
        <w:rPr>
          <w:rFonts w:ascii="Arial" w:hAnsi="Arial" w:cs="Arial"/>
        </w:rPr>
        <w:t xml:space="preserve"> </w:t>
      </w:r>
      <w:r w:rsidR="00007A35" w:rsidRPr="00CD59CC">
        <w:rPr>
          <w:rFonts w:ascii="Arial" w:hAnsi="Arial" w:cs="Arial"/>
        </w:rPr>
        <w:t>on</w:t>
      </w:r>
      <w:r w:rsidR="007B7640" w:rsidRPr="00CD59CC">
        <w:rPr>
          <w:rFonts w:ascii="Arial" w:hAnsi="Arial" w:cs="Arial"/>
        </w:rPr>
        <w:t xml:space="preserve"> </w:t>
      </w:r>
      <w:r w:rsidR="00007A35" w:rsidRPr="00CD59CC">
        <w:rPr>
          <w:rFonts w:ascii="Arial" w:hAnsi="Arial" w:cs="Arial"/>
        </w:rPr>
        <w:t>an</w:t>
      </w:r>
      <w:r w:rsidR="007B7640" w:rsidRPr="00CD59CC">
        <w:rPr>
          <w:rFonts w:ascii="Arial" w:hAnsi="Arial" w:cs="Arial"/>
        </w:rPr>
        <w:t xml:space="preserve"> </w:t>
      </w:r>
      <w:r w:rsidR="00007A35" w:rsidRPr="00CD59CC">
        <w:rPr>
          <w:rFonts w:ascii="Arial" w:hAnsi="Arial" w:cs="Arial"/>
        </w:rPr>
        <w:t>equal</w:t>
      </w:r>
      <w:r w:rsidR="007B7640" w:rsidRPr="00CD59CC">
        <w:rPr>
          <w:rFonts w:ascii="Arial" w:hAnsi="Arial" w:cs="Arial"/>
        </w:rPr>
        <w:t xml:space="preserve"> </w:t>
      </w:r>
      <w:r w:rsidR="00007A35" w:rsidRPr="00CD59CC">
        <w:rPr>
          <w:rFonts w:ascii="Arial" w:hAnsi="Arial" w:cs="Arial"/>
        </w:rPr>
        <w:t>basis</w:t>
      </w:r>
      <w:r w:rsidR="007B7640" w:rsidRPr="00CD59CC">
        <w:rPr>
          <w:rFonts w:ascii="Arial" w:hAnsi="Arial" w:cs="Arial"/>
        </w:rPr>
        <w:t xml:space="preserve"> </w:t>
      </w:r>
      <w:r w:rsidR="00007A35" w:rsidRPr="00CD59CC">
        <w:rPr>
          <w:rFonts w:ascii="Arial" w:hAnsi="Arial" w:cs="Arial"/>
        </w:rPr>
        <w:t>with</w:t>
      </w:r>
      <w:r w:rsidR="007B7640" w:rsidRPr="00CD59CC">
        <w:rPr>
          <w:rFonts w:ascii="Arial" w:hAnsi="Arial" w:cs="Arial"/>
        </w:rPr>
        <w:t xml:space="preserve"> </w:t>
      </w:r>
      <w:r w:rsidR="00007A35" w:rsidRPr="00CD59CC">
        <w:rPr>
          <w:rFonts w:ascii="Arial" w:hAnsi="Arial" w:cs="Arial"/>
        </w:rPr>
        <w:t>others.</w:t>
      </w:r>
    </w:p>
    <w:p w14:paraId="694303E8" w14:textId="77777777" w:rsidR="00007A35" w:rsidRPr="00CD59CC" w:rsidRDefault="00007A35" w:rsidP="00CD59CC">
      <w:pPr>
        <w:rPr>
          <w:rFonts w:ascii="Arial" w:hAnsi="Arial" w:cs="Arial"/>
        </w:rPr>
      </w:pPr>
    </w:p>
    <w:p w14:paraId="26245AB8" w14:textId="43DA1B2B" w:rsidR="00956635" w:rsidRPr="00CD59CC" w:rsidRDefault="00961FBF"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said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line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concept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Skouboe</w:t>
      </w:r>
      <w:r w:rsidR="007B7640" w:rsidRPr="00CD59CC">
        <w:rPr>
          <w:rFonts w:ascii="Arial" w:hAnsi="Arial" w:cs="Arial"/>
        </w:rPr>
        <w:t xml:space="preserve"> </w:t>
      </w:r>
      <w:r w:rsidRPr="00CD59CC">
        <w:rPr>
          <w:rFonts w:ascii="Arial" w:hAnsi="Arial" w:cs="Arial"/>
        </w:rPr>
        <w:t>Werge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Ring</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since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differentiate</w:t>
      </w:r>
      <w:r w:rsidR="007B7640" w:rsidRPr="00CD59CC">
        <w:rPr>
          <w:rFonts w:ascii="Arial" w:hAnsi="Arial" w:cs="Arial"/>
        </w:rPr>
        <w:t xml:space="preserve"> </w:t>
      </w:r>
      <w:r w:rsidRPr="00CD59CC">
        <w:rPr>
          <w:rFonts w:ascii="Arial" w:hAnsi="Arial" w:cs="Arial"/>
        </w:rPr>
        <w:t>between</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illness</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uses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term</w:t>
      </w:r>
      <w:r w:rsidR="007B7640" w:rsidRPr="00CD59CC">
        <w:rPr>
          <w:rFonts w:ascii="Arial" w:hAnsi="Arial" w:cs="Arial"/>
        </w:rPr>
        <w:t xml:space="preserve"> </w:t>
      </w:r>
      <w:r w:rsidRPr="00CD59CC">
        <w:rPr>
          <w:rFonts w:ascii="Arial" w:hAnsi="Arial" w:cs="Arial"/>
        </w:rPr>
        <w:t>“károsodás”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impairment</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interpreted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include</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applies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00086ACB" w:rsidRPr="00CD59CC">
        <w:rPr>
          <w:rFonts w:ascii="Arial" w:hAnsi="Arial" w:cs="Arial"/>
        </w:rPr>
        <w:t>long-term,</w:t>
      </w:r>
      <w:r w:rsidR="007B7640" w:rsidRPr="00CD59CC">
        <w:rPr>
          <w:rFonts w:ascii="Arial" w:hAnsi="Arial" w:cs="Arial"/>
        </w:rPr>
        <w:t xml:space="preserve"> </w:t>
      </w:r>
      <w:r w:rsidR="00086ACB" w:rsidRPr="00CD59CC">
        <w:rPr>
          <w:rFonts w:ascii="Arial" w:hAnsi="Arial" w:cs="Arial"/>
        </w:rPr>
        <w:t>but</w:t>
      </w:r>
      <w:r w:rsidR="007B7640" w:rsidRPr="00CD59CC">
        <w:rPr>
          <w:rFonts w:ascii="Arial" w:hAnsi="Arial" w:cs="Arial"/>
        </w:rPr>
        <w:t xml:space="preserve"> </w:t>
      </w:r>
      <w:r w:rsidR="00086ACB" w:rsidRPr="00CD59CC">
        <w:rPr>
          <w:rFonts w:ascii="Arial" w:hAnsi="Arial" w:cs="Arial"/>
        </w:rPr>
        <w:t>not</w:t>
      </w:r>
      <w:r w:rsidR="007B7640" w:rsidRPr="00CD59CC">
        <w:rPr>
          <w:rFonts w:ascii="Arial" w:hAnsi="Arial" w:cs="Arial"/>
        </w:rPr>
        <w:t xml:space="preserve"> </w:t>
      </w:r>
      <w:r w:rsidR="00086ACB" w:rsidRPr="00CD59CC">
        <w:rPr>
          <w:rFonts w:ascii="Arial" w:hAnsi="Arial" w:cs="Arial"/>
        </w:rPr>
        <w:t>irreversible</w:t>
      </w:r>
      <w:r w:rsidR="007B7640" w:rsidRPr="00CD59CC">
        <w:rPr>
          <w:rFonts w:ascii="Arial" w:hAnsi="Arial" w:cs="Arial"/>
        </w:rPr>
        <w:t xml:space="preserve"> </w:t>
      </w:r>
      <w:r w:rsidR="00086ACB" w:rsidRPr="00CD59CC">
        <w:rPr>
          <w:rFonts w:ascii="Arial" w:hAnsi="Arial" w:cs="Arial"/>
        </w:rPr>
        <w:t>impairments.</w:t>
      </w:r>
      <w:r w:rsidR="007B7640" w:rsidRPr="00CD59CC">
        <w:rPr>
          <w:rFonts w:ascii="Arial" w:hAnsi="Arial" w:cs="Arial"/>
        </w:rPr>
        <w:t xml:space="preserve">   </w:t>
      </w:r>
    </w:p>
    <w:p w14:paraId="5BB910AB" w14:textId="77777777" w:rsidR="00086ACB" w:rsidRPr="00CD59CC" w:rsidRDefault="00086ACB" w:rsidP="00CD59CC">
      <w:pPr>
        <w:rPr>
          <w:rFonts w:ascii="Arial" w:hAnsi="Arial" w:cs="Arial"/>
        </w:rPr>
      </w:pPr>
    </w:p>
    <w:p w14:paraId="65C1696E" w14:textId="3CDBD049" w:rsidR="00956635" w:rsidRPr="00CD59CC" w:rsidRDefault="00086ACB" w:rsidP="00CD59CC">
      <w:pPr>
        <w:rPr>
          <w:rFonts w:ascii="Arial" w:hAnsi="Arial" w:cs="Arial"/>
        </w:rPr>
      </w:pPr>
      <w:r w:rsidRPr="00CD59CC">
        <w:rPr>
          <w:rFonts w:ascii="Arial" w:hAnsi="Arial" w:cs="Arial"/>
        </w:rPr>
        <w:t>However,</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emphasised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00956635" w:rsidRPr="00CD59CC">
        <w:rPr>
          <w:rFonts w:ascii="Arial" w:hAnsi="Arial" w:cs="Arial"/>
        </w:rPr>
        <w:t>due</w:t>
      </w:r>
      <w:r w:rsidR="007B7640" w:rsidRPr="00CD59CC">
        <w:rPr>
          <w:rFonts w:ascii="Arial" w:hAnsi="Arial" w:cs="Arial"/>
        </w:rPr>
        <w:t xml:space="preserve"> </w:t>
      </w:r>
      <w:r w:rsidR="00956635" w:rsidRPr="00CD59CC">
        <w:rPr>
          <w:rFonts w:ascii="Arial" w:hAnsi="Arial" w:cs="Arial"/>
        </w:rPr>
        <w:t>to</w:t>
      </w:r>
      <w:r w:rsidR="007B7640" w:rsidRPr="00CD59CC">
        <w:rPr>
          <w:rFonts w:ascii="Arial" w:hAnsi="Arial" w:cs="Arial"/>
        </w:rPr>
        <w:t xml:space="preserve"> </w:t>
      </w:r>
      <w:r w:rsidR="00956635" w:rsidRPr="00CD59CC">
        <w:rPr>
          <w:rFonts w:ascii="Arial" w:hAnsi="Arial" w:cs="Arial"/>
        </w:rPr>
        <w:t>the</w:t>
      </w:r>
      <w:r w:rsidR="007B7640" w:rsidRPr="00CD59CC">
        <w:rPr>
          <w:rFonts w:ascii="Arial" w:hAnsi="Arial" w:cs="Arial"/>
        </w:rPr>
        <w:t xml:space="preserve"> </w:t>
      </w:r>
      <w:r w:rsidR="00956635" w:rsidRPr="00CD59CC">
        <w:rPr>
          <w:rFonts w:ascii="Arial" w:hAnsi="Arial" w:cs="Arial"/>
        </w:rPr>
        <w:t>fact</w:t>
      </w:r>
      <w:r w:rsidR="007B7640" w:rsidRPr="00CD59CC">
        <w:rPr>
          <w:rFonts w:ascii="Arial" w:hAnsi="Arial" w:cs="Arial"/>
        </w:rPr>
        <w:t xml:space="preserve"> </w:t>
      </w:r>
      <w:r w:rsidR="00956635" w:rsidRPr="00CD59CC">
        <w:rPr>
          <w:rFonts w:ascii="Arial" w:hAnsi="Arial" w:cs="Arial"/>
        </w:rPr>
        <w:t>that</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status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named</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00956635" w:rsidRPr="00CD59CC">
        <w:rPr>
          <w:rFonts w:ascii="Arial" w:hAnsi="Arial" w:cs="Arial"/>
        </w:rPr>
        <w:t>the</w:t>
      </w:r>
      <w:r w:rsidR="007B7640" w:rsidRPr="00CD59CC">
        <w:rPr>
          <w:rFonts w:ascii="Arial" w:hAnsi="Arial" w:cs="Arial"/>
        </w:rPr>
        <w:t xml:space="preserve"> </w:t>
      </w:r>
      <w:r w:rsidR="00956635" w:rsidRPr="00CD59CC">
        <w:rPr>
          <w:rFonts w:ascii="Arial" w:hAnsi="Arial" w:cs="Arial"/>
        </w:rPr>
        <w:t>list</w:t>
      </w:r>
      <w:r w:rsidR="007B7640" w:rsidRPr="00CD59CC">
        <w:rPr>
          <w:rFonts w:ascii="Arial" w:hAnsi="Arial" w:cs="Arial"/>
        </w:rPr>
        <w:t xml:space="preserve"> </w:t>
      </w:r>
      <w:r w:rsidR="00956635" w:rsidRPr="00CD59CC">
        <w:rPr>
          <w:rFonts w:ascii="Arial" w:hAnsi="Arial" w:cs="Arial"/>
        </w:rPr>
        <w:t>of</w:t>
      </w:r>
      <w:r w:rsidR="007B7640" w:rsidRPr="00CD59CC">
        <w:rPr>
          <w:rFonts w:ascii="Arial" w:hAnsi="Arial" w:cs="Arial"/>
        </w:rPr>
        <w:t xml:space="preserve"> </w:t>
      </w:r>
      <w:r w:rsidR="00956635" w:rsidRPr="00CD59CC">
        <w:rPr>
          <w:rFonts w:ascii="Arial" w:hAnsi="Arial" w:cs="Arial"/>
        </w:rPr>
        <w:t>protected</w:t>
      </w:r>
      <w:r w:rsidR="007B7640" w:rsidRPr="00CD59CC">
        <w:rPr>
          <w:rFonts w:ascii="Arial" w:hAnsi="Arial" w:cs="Arial"/>
        </w:rPr>
        <w:t xml:space="preserve"> </w:t>
      </w:r>
      <w:r w:rsidR="00956635" w:rsidRPr="00CD59CC">
        <w:rPr>
          <w:rFonts w:ascii="Arial" w:hAnsi="Arial" w:cs="Arial"/>
        </w:rPr>
        <w:t>grounds</w:t>
      </w:r>
      <w:r w:rsidR="007B7640" w:rsidRPr="00CD59CC">
        <w:rPr>
          <w:rFonts w:ascii="Arial" w:hAnsi="Arial" w:cs="Arial"/>
        </w:rPr>
        <w:t xml:space="preserve"> </w:t>
      </w:r>
      <w:r w:rsidR="00956635" w:rsidRPr="00CD59CC">
        <w:rPr>
          <w:rFonts w:ascii="Arial" w:hAnsi="Arial" w:cs="Arial"/>
        </w:rPr>
        <w:t>is</w:t>
      </w:r>
      <w:r w:rsidR="007B7640" w:rsidRPr="00CD59CC">
        <w:rPr>
          <w:rFonts w:ascii="Arial" w:hAnsi="Arial" w:cs="Arial"/>
        </w:rPr>
        <w:t xml:space="preserve"> </w:t>
      </w:r>
      <w:r w:rsidR="00956635" w:rsidRPr="00CD59CC">
        <w:rPr>
          <w:rFonts w:ascii="Arial" w:hAnsi="Arial" w:cs="Arial"/>
        </w:rPr>
        <w:t>open</w:t>
      </w:r>
      <w:r w:rsidR="007B7640" w:rsidRPr="00CD59CC">
        <w:rPr>
          <w:rFonts w:ascii="Arial" w:hAnsi="Arial" w:cs="Arial"/>
        </w:rPr>
        <w:t xml:space="preserve"> </w:t>
      </w:r>
      <w:r w:rsidR="00956635" w:rsidRPr="00CD59CC">
        <w:rPr>
          <w:rFonts w:ascii="Arial" w:hAnsi="Arial" w:cs="Arial"/>
        </w:rPr>
        <w:t>ended</w:t>
      </w:r>
      <w:r w:rsidR="007B7640" w:rsidRPr="00CD59CC">
        <w:rPr>
          <w:rFonts w:ascii="Arial" w:hAnsi="Arial" w:cs="Arial"/>
        </w:rPr>
        <w:t xml:space="preserve"> </w:t>
      </w:r>
      <w:r w:rsidR="00956635" w:rsidRPr="00CD59CC">
        <w:rPr>
          <w:rFonts w:ascii="Arial" w:hAnsi="Arial" w:cs="Arial"/>
        </w:rPr>
        <w:t>(see</w:t>
      </w:r>
      <w:r w:rsidR="007B7640" w:rsidRPr="00CD59CC">
        <w:rPr>
          <w:rFonts w:ascii="Arial" w:hAnsi="Arial" w:cs="Arial"/>
        </w:rPr>
        <w:t xml:space="preserve"> </w:t>
      </w:r>
      <w:r w:rsidR="00956635" w:rsidRPr="00CD59CC">
        <w:rPr>
          <w:rFonts w:ascii="Arial" w:hAnsi="Arial" w:cs="Arial"/>
        </w:rPr>
        <w:t>Article</w:t>
      </w:r>
      <w:r w:rsidR="007B7640" w:rsidRPr="00CD59CC">
        <w:rPr>
          <w:rFonts w:ascii="Arial" w:hAnsi="Arial" w:cs="Arial"/>
        </w:rPr>
        <w:t xml:space="preserve"> </w:t>
      </w:r>
      <w:r w:rsidR="00956635" w:rsidRPr="00CD59CC">
        <w:rPr>
          <w:rFonts w:ascii="Arial" w:hAnsi="Arial" w:cs="Arial"/>
        </w:rPr>
        <w:t>8</w:t>
      </w:r>
      <w:r w:rsidR="007B7640" w:rsidRPr="00CD59CC">
        <w:rPr>
          <w:rFonts w:ascii="Arial" w:hAnsi="Arial" w:cs="Arial"/>
        </w:rPr>
        <w:t xml:space="preserve"> </w:t>
      </w:r>
      <w:r w:rsidR="00956635" w:rsidRPr="00CD59CC">
        <w:rPr>
          <w:rFonts w:ascii="Arial" w:hAnsi="Arial" w:cs="Arial"/>
        </w:rPr>
        <w:t>of</w:t>
      </w:r>
      <w:r w:rsidR="007B7640" w:rsidRPr="00CD59CC">
        <w:rPr>
          <w:rFonts w:ascii="Arial" w:hAnsi="Arial" w:cs="Arial"/>
        </w:rPr>
        <w:t xml:space="preserve"> </w:t>
      </w:r>
      <w:r w:rsidR="00956635" w:rsidRPr="00CD59CC">
        <w:rPr>
          <w:rFonts w:ascii="Arial" w:hAnsi="Arial" w:cs="Arial"/>
        </w:rPr>
        <w:t>the</w:t>
      </w:r>
      <w:r w:rsidR="007B7640" w:rsidRPr="00CD59CC">
        <w:rPr>
          <w:rFonts w:ascii="Arial" w:hAnsi="Arial" w:cs="Arial"/>
        </w:rPr>
        <w:t xml:space="preserve"> </w:t>
      </w:r>
      <w:r w:rsidR="00956635" w:rsidRPr="00CD59CC">
        <w:rPr>
          <w:rFonts w:ascii="Arial" w:hAnsi="Arial" w:cs="Arial"/>
        </w:rPr>
        <w:t>ETA</w:t>
      </w:r>
      <w:r w:rsidR="007B7640" w:rsidRPr="00CD59CC">
        <w:rPr>
          <w:rFonts w:ascii="Arial" w:hAnsi="Arial" w:cs="Arial"/>
        </w:rPr>
        <w:t xml:space="preserve"> </w:t>
      </w:r>
      <w:r w:rsidR="00956635" w:rsidRPr="00CD59CC">
        <w:rPr>
          <w:rFonts w:ascii="Arial" w:hAnsi="Arial" w:cs="Arial"/>
        </w:rPr>
        <w:t>above),</w:t>
      </w:r>
      <w:r w:rsidR="007B7640" w:rsidRPr="00CD59CC">
        <w:rPr>
          <w:rFonts w:ascii="Arial" w:hAnsi="Arial" w:cs="Arial"/>
        </w:rPr>
        <w:t xml:space="preserve"> </w:t>
      </w:r>
      <w:r w:rsidR="00956635" w:rsidRPr="00CD59CC">
        <w:rPr>
          <w:rFonts w:ascii="Arial" w:hAnsi="Arial" w:cs="Arial"/>
        </w:rPr>
        <w:t>the</w:t>
      </w:r>
      <w:r w:rsidR="007B7640" w:rsidRPr="00CD59CC">
        <w:rPr>
          <w:rFonts w:ascii="Arial" w:hAnsi="Arial" w:cs="Arial"/>
        </w:rPr>
        <w:t xml:space="preserve"> </w:t>
      </w:r>
      <w:r w:rsidR="00956635" w:rsidRPr="00CD59CC">
        <w:rPr>
          <w:rFonts w:ascii="Arial" w:hAnsi="Arial" w:cs="Arial"/>
        </w:rPr>
        <w:t>likelihood</w:t>
      </w:r>
      <w:r w:rsidR="007B7640" w:rsidRPr="00CD59CC">
        <w:rPr>
          <w:rFonts w:ascii="Arial" w:hAnsi="Arial" w:cs="Arial"/>
        </w:rPr>
        <w:t xml:space="preserve"> </w:t>
      </w:r>
      <w:r w:rsidR="00956635" w:rsidRPr="00CD59CC">
        <w:rPr>
          <w:rFonts w:ascii="Arial" w:hAnsi="Arial" w:cs="Arial"/>
        </w:rPr>
        <w:t>that</w:t>
      </w:r>
      <w:r w:rsidR="007B7640" w:rsidRPr="00CD59CC">
        <w:rPr>
          <w:rFonts w:ascii="Arial" w:hAnsi="Arial" w:cs="Arial"/>
        </w:rPr>
        <w:t xml:space="preserve"> </w:t>
      </w:r>
      <w:r w:rsidR="00956635" w:rsidRPr="00CD59CC">
        <w:rPr>
          <w:rFonts w:ascii="Arial" w:hAnsi="Arial" w:cs="Arial"/>
        </w:rPr>
        <w:t>someone</w:t>
      </w:r>
      <w:r w:rsidR="007B7640" w:rsidRPr="00CD59CC">
        <w:rPr>
          <w:rFonts w:ascii="Arial" w:hAnsi="Arial" w:cs="Arial"/>
        </w:rPr>
        <w:t xml:space="preserve"> </w:t>
      </w:r>
      <w:r w:rsidR="00956635" w:rsidRPr="00CD59CC">
        <w:rPr>
          <w:rFonts w:ascii="Arial" w:hAnsi="Arial" w:cs="Arial"/>
        </w:rPr>
        <w:t>who</w:t>
      </w:r>
      <w:r w:rsidR="007B7640" w:rsidRPr="00CD59CC">
        <w:rPr>
          <w:rFonts w:ascii="Arial" w:hAnsi="Arial" w:cs="Arial"/>
        </w:rPr>
        <w:t xml:space="preserve"> </w:t>
      </w:r>
      <w:r w:rsidR="00956635" w:rsidRPr="00CD59CC">
        <w:rPr>
          <w:rFonts w:ascii="Arial" w:hAnsi="Arial" w:cs="Arial"/>
        </w:rPr>
        <w:t>would</w:t>
      </w:r>
      <w:r w:rsidR="007B7640" w:rsidRPr="00CD59CC">
        <w:rPr>
          <w:rFonts w:ascii="Arial" w:hAnsi="Arial" w:cs="Arial"/>
        </w:rPr>
        <w:t xml:space="preserve"> </w:t>
      </w:r>
      <w:r w:rsidR="00956635" w:rsidRPr="00CD59CC">
        <w:rPr>
          <w:rFonts w:ascii="Arial" w:hAnsi="Arial" w:cs="Arial"/>
        </w:rPr>
        <w:t>fall</w:t>
      </w:r>
      <w:r w:rsidR="007B7640" w:rsidRPr="00CD59CC">
        <w:rPr>
          <w:rFonts w:ascii="Arial" w:hAnsi="Arial" w:cs="Arial"/>
        </w:rPr>
        <w:t xml:space="preserve"> </w:t>
      </w:r>
      <w:r w:rsidR="00956635" w:rsidRPr="00CD59CC">
        <w:rPr>
          <w:rFonts w:ascii="Arial" w:hAnsi="Arial" w:cs="Arial"/>
        </w:rPr>
        <w:t>under</w:t>
      </w:r>
      <w:r w:rsidR="007B7640" w:rsidRPr="00CD59CC">
        <w:rPr>
          <w:rFonts w:ascii="Arial" w:hAnsi="Arial" w:cs="Arial"/>
        </w:rPr>
        <w:t xml:space="preserve"> </w:t>
      </w:r>
      <w:r w:rsidR="00956635" w:rsidRPr="00CD59CC">
        <w:rPr>
          <w:rFonts w:ascii="Arial" w:hAnsi="Arial" w:cs="Arial"/>
        </w:rPr>
        <w:t>the</w:t>
      </w:r>
      <w:r w:rsidR="007B7640" w:rsidRPr="00CD59CC">
        <w:rPr>
          <w:rFonts w:ascii="Arial" w:hAnsi="Arial" w:cs="Arial"/>
        </w:rPr>
        <w:t xml:space="preserve"> </w:t>
      </w:r>
      <w:r w:rsidR="00956635" w:rsidRPr="00CD59CC">
        <w:rPr>
          <w:rFonts w:ascii="Arial" w:hAnsi="Arial" w:cs="Arial"/>
        </w:rPr>
        <w:t>category</w:t>
      </w:r>
      <w:r w:rsidR="007B7640" w:rsidRPr="00CD59CC">
        <w:rPr>
          <w:rFonts w:ascii="Arial" w:hAnsi="Arial" w:cs="Arial"/>
        </w:rPr>
        <w:t xml:space="preserve"> </w:t>
      </w:r>
      <w:r w:rsidR="00956635" w:rsidRPr="00CD59CC">
        <w:rPr>
          <w:rFonts w:ascii="Arial" w:hAnsi="Arial" w:cs="Arial"/>
        </w:rPr>
        <w:t>of</w:t>
      </w:r>
      <w:r w:rsidR="007B7640" w:rsidRPr="00CD59CC">
        <w:rPr>
          <w:rFonts w:ascii="Arial" w:hAnsi="Arial" w:cs="Arial"/>
        </w:rPr>
        <w:t xml:space="preserve"> </w:t>
      </w:r>
      <w:r w:rsidR="00956635" w:rsidRPr="00CD59CC">
        <w:rPr>
          <w:rFonts w:ascii="Arial" w:hAnsi="Arial" w:cs="Arial"/>
        </w:rPr>
        <w:t>disability</w:t>
      </w:r>
      <w:r w:rsidR="007B7640" w:rsidRPr="00CD59CC">
        <w:rPr>
          <w:rFonts w:ascii="Arial" w:hAnsi="Arial" w:cs="Arial"/>
        </w:rPr>
        <w:t xml:space="preserve"> </w:t>
      </w:r>
      <w:r w:rsidR="00956635" w:rsidRPr="00CD59CC">
        <w:rPr>
          <w:rFonts w:ascii="Arial" w:hAnsi="Arial" w:cs="Arial"/>
        </w:rPr>
        <w:t>under</w:t>
      </w:r>
      <w:r w:rsidR="007B7640" w:rsidRPr="00CD59CC">
        <w:rPr>
          <w:rFonts w:ascii="Arial" w:hAnsi="Arial" w:cs="Arial"/>
        </w:rPr>
        <w:t xml:space="preserve"> </w:t>
      </w:r>
      <w:r w:rsidR="00956635" w:rsidRPr="00CD59CC">
        <w:rPr>
          <w:rFonts w:ascii="Arial" w:hAnsi="Arial" w:cs="Arial"/>
        </w:rPr>
        <w:t>the</w:t>
      </w:r>
      <w:r w:rsidR="007B7640" w:rsidRPr="00CD59CC">
        <w:rPr>
          <w:rFonts w:ascii="Arial" w:hAnsi="Arial" w:cs="Arial"/>
        </w:rPr>
        <w:t xml:space="preserve"> </w:t>
      </w:r>
      <w:r w:rsidR="00956635" w:rsidRPr="00CD59CC">
        <w:rPr>
          <w:rFonts w:ascii="Arial" w:hAnsi="Arial" w:cs="Arial"/>
        </w:rPr>
        <w:t>CJEU</w:t>
      </w:r>
      <w:r w:rsidR="007B7640" w:rsidRPr="00CD59CC">
        <w:rPr>
          <w:rFonts w:ascii="Arial" w:hAnsi="Arial" w:cs="Arial"/>
        </w:rPr>
        <w:t xml:space="preserve"> </w:t>
      </w:r>
      <w:r w:rsidR="00956635" w:rsidRPr="00CD59CC">
        <w:rPr>
          <w:rFonts w:ascii="Arial" w:hAnsi="Arial" w:cs="Arial"/>
        </w:rPr>
        <w:t>definition,</w:t>
      </w:r>
      <w:r w:rsidR="007B7640" w:rsidRPr="00CD59CC">
        <w:rPr>
          <w:rFonts w:ascii="Arial" w:hAnsi="Arial" w:cs="Arial"/>
        </w:rPr>
        <w:t xml:space="preserve"> </w:t>
      </w:r>
      <w:r w:rsidR="00956635" w:rsidRPr="00CD59CC">
        <w:rPr>
          <w:rFonts w:ascii="Arial" w:hAnsi="Arial" w:cs="Arial"/>
        </w:rPr>
        <w:t>would</w:t>
      </w:r>
      <w:r w:rsidR="007B7640" w:rsidRPr="00CD59CC">
        <w:rPr>
          <w:rFonts w:ascii="Arial" w:hAnsi="Arial" w:cs="Arial"/>
        </w:rPr>
        <w:t xml:space="preserve"> </w:t>
      </w:r>
      <w:r w:rsidR="00956635" w:rsidRPr="00CD59CC">
        <w:rPr>
          <w:rFonts w:ascii="Arial" w:hAnsi="Arial" w:cs="Arial"/>
        </w:rPr>
        <w:t>remain</w:t>
      </w:r>
      <w:r w:rsidR="007B7640" w:rsidRPr="00CD59CC">
        <w:rPr>
          <w:rFonts w:ascii="Arial" w:hAnsi="Arial" w:cs="Arial"/>
        </w:rPr>
        <w:t xml:space="preserve"> </w:t>
      </w:r>
      <w:r w:rsidR="00956635" w:rsidRPr="00CD59CC">
        <w:rPr>
          <w:rFonts w:ascii="Arial" w:hAnsi="Arial" w:cs="Arial"/>
        </w:rPr>
        <w:t>without</w:t>
      </w:r>
      <w:r w:rsidR="007B7640" w:rsidRPr="00CD59CC">
        <w:rPr>
          <w:rFonts w:ascii="Arial" w:hAnsi="Arial" w:cs="Arial"/>
        </w:rPr>
        <w:t xml:space="preserve"> </w:t>
      </w:r>
      <w:r w:rsidR="00956635" w:rsidRPr="00CD59CC">
        <w:rPr>
          <w:rFonts w:ascii="Arial" w:hAnsi="Arial" w:cs="Arial"/>
        </w:rPr>
        <w:t>protection</w:t>
      </w:r>
      <w:r w:rsidR="007B7640" w:rsidRPr="00CD59CC">
        <w:rPr>
          <w:rFonts w:ascii="Arial" w:hAnsi="Arial" w:cs="Arial"/>
        </w:rPr>
        <w:t xml:space="preserve"> </w:t>
      </w:r>
      <w:r w:rsidR="00956635" w:rsidRPr="00CD59CC">
        <w:rPr>
          <w:rFonts w:ascii="Arial" w:hAnsi="Arial" w:cs="Arial"/>
        </w:rPr>
        <w:t>in</w:t>
      </w:r>
      <w:r w:rsidR="007B7640" w:rsidRPr="00CD59CC">
        <w:rPr>
          <w:rFonts w:ascii="Arial" w:hAnsi="Arial" w:cs="Arial"/>
        </w:rPr>
        <w:t xml:space="preserve"> </w:t>
      </w:r>
      <w:r w:rsidR="00956635" w:rsidRPr="00CD59CC">
        <w:rPr>
          <w:rFonts w:ascii="Arial" w:hAnsi="Arial" w:cs="Arial"/>
        </w:rPr>
        <w:t>the</w:t>
      </w:r>
      <w:r w:rsidR="007B7640" w:rsidRPr="00CD59CC">
        <w:rPr>
          <w:rFonts w:ascii="Arial" w:hAnsi="Arial" w:cs="Arial"/>
        </w:rPr>
        <w:t xml:space="preserve"> </w:t>
      </w:r>
      <w:r w:rsidR="00956635" w:rsidRPr="00CD59CC">
        <w:rPr>
          <w:rFonts w:ascii="Arial" w:hAnsi="Arial" w:cs="Arial"/>
        </w:rPr>
        <w:t>Hungarian</w:t>
      </w:r>
      <w:r w:rsidR="007B7640" w:rsidRPr="00CD59CC">
        <w:rPr>
          <w:rFonts w:ascii="Arial" w:hAnsi="Arial" w:cs="Arial"/>
        </w:rPr>
        <w:t xml:space="preserve"> </w:t>
      </w:r>
      <w:r w:rsidR="00956635" w:rsidRPr="00CD59CC">
        <w:rPr>
          <w:rFonts w:ascii="Arial" w:hAnsi="Arial" w:cs="Arial"/>
        </w:rPr>
        <w:t>system</w:t>
      </w:r>
      <w:r w:rsidR="007B7640" w:rsidRPr="00CD59CC">
        <w:rPr>
          <w:rFonts w:ascii="Arial" w:hAnsi="Arial" w:cs="Arial"/>
        </w:rPr>
        <w:t xml:space="preserve"> </w:t>
      </w:r>
      <w:r w:rsidR="00956635" w:rsidRPr="00CD59CC">
        <w:rPr>
          <w:rFonts w:ascii="Arial" w:hAnsi="Arial" w:cs="Arial"/>
        </w:rPr>
        <w:t>is</w:t>
      </w:r>
      <w:r w:rsidR="007B7640" w:rsidRPr="00CD59CC">
        <w:rPr>
          <w:rFonts w:ascii="Arial" w:hAnsi="Arial" w:cs="Arial"/>
        </w:rPr>
        <w:t xml:space="preserve"> </w:t>
      </w:r>
      <w:r w:rsidR="00956635" w:rsidRPr="00CD59CC">
        <w:rPr>
          <w:rFonts w:ascii="Arial" w:hAnsi="Arial" w:cs="Arial"/>
        </w:rPr>
        <w:t>non-existent</w:t>
      </w:r>
      <w:r w:rsidRPr="00CD59CC">
        <w:rPr>
          <w:rFonts w:ascii="Arial" w:hAnsi="Arial" w:cs="Arial"/>
        </w:rPr>
        <w:t>.</w:t>
      </w:r>
    </w:p>
    <w:p w14:paraId="47F67DB9" w14:textId="77777777" w:rsidR="00086ACB" w:rsidRPr="00CD59CC" w:rsidRDefault="00086ACB" w:rsidP="00CD59CC">
      <w:pPr>
        <w:rPr>
          <w:rFonts w:ascii="Arial" w:hAnsi="Arial" w:cs="Arial"/>
        </w:rPr>
      </w:pPr>
    </w:p>
    <w:p w14:paraId="5641F71A" w14:textId="77777777" w:rsidR="00956635" w:rsidRPr="00CD59CC" w:rsidRDefault="00956635"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offers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solution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past</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likely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acquire</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future.</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past</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future</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thus</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fall</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p>
    <w:p w14:paraId="3BB17291" w14:textId="77777777" w:rsidR="00956635" w:rsidRPr="00CD59CC" w:rsidRDefault="00956635" w:rsidP="00CD59CC">
      <w:pPr>
        <w:rPr>
          <w:rFonts w:ascii="Arial" w:hAnsi="Arial" w:cs="Arial"/>
        </w:rPr>
      </w:pPr>
    </w:p>
    <w:p w14:paraId="21850184" w14:textId="77777777" w:rsidR="00956635" w:rsidRPr="00CD59CC" w:rsidRDefault="00956635" w:rsidP="00CD59CC">
      <w:pPr>
        <w:rPr>
          <w:rFonts w:ascii="Arial" w:hAnsi="Arial" w:cs="Arial"/>
        </w:rPr>
      </w:pPr>
      <w:r w:rsidRPr="00CD59CC">
        <w:rPr>
          <w:rFonts w:ascii="Arial" w:hAnsi="Arial" w:cs="Arial"/>
        </w:rPr>
        <w:t>Recital</w:t>
      </w:r>
      <w:r w:rsidR="007B7640" w:rsidRPr="00CD59CC">
        <w:rPr>
          <w:rFonts w:ascii="Arial" w:hAnsi="Arial" w:cs="Arial"/>
        </w:rPr>
        <w:t xml:space="preserve"> </w:t>
      </w:r>
      <w:r w:rsidRPr="00CD59CC">
        <w:rPr>
          <w:rFonts w:ascii="Arial" w:hAnsi="Arial" w:cs="Arial"/>
        </w:rPr>
        <w:t>17</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Directive</w:t>
      </w:r>
      <w:r w:rsidR="007B7640" w:rsidRPr="00CD59CC">
        <w:rPr>
          <w:rFonts w:ascii="Arial" w:hAnsi="Arial" w:cs="Arial"/>
        </w:rPr>
        <w:t xml:space="preserve"> </w:t>
      </w:r>
      <w:r w:rsidRPr="00CD59CC">
        <w:rPr>
          <w:rFonts w:ascii="Arial" w:hAnsi="Arial" w:cs="Arial"/>
        </w:rPr>
        <w:t>2000/78/EC</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reflected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legislation</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discrimination.</w:t>
      </w:r>
    </w:p>
    <w:p w14:paraId="0697DA75" w14:textId="77777777" w:rsidR="00956635" w:rsidRPr="00CD59CC" w:rsidRDefault="00956635" w:rsidP="00CD59CC">
      <w:pPr>
        <w:rPr>
          <w:rFonts w:ascii="Arial" w:hAnsi="Arial" w:cs="Arial"/>
        </w:rPr>
      </w:pPr>
    </w:p>
    <w:p w14:paraId="0AA46225" w14:textId="77777777" w:rsidR="00956635" w:rsidRPr="00CD59CC" w:rsidRDefault="00956635" w:rsidP="00CD59CC">
      <w:pPr>
        <w:rPr>
          <w:rFonts w:ascii="Arial" w:hAnsi="Arial" w:cs="Arial"/>
        </w:rPr>
      </w:pPr>
      <w:r w:rsidRPr="00CD59CC">
        <w:rPr>
          <w:rFonts w:ascii="Arial" w:hAnsi="Arial" w:cs="Arial"/>
        </w:rPr>
        <w:t>There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numerous</w:t>
      </w:r>
      <w:r w:rsidR="007B7640" w:rsidRPr="00CD59CC">
        <w:rPr>
          <w:rFonts w:ascii="Arial" w:hAnsi="Arial" w:cs="Arial"/>
        </w:rPr>
        <w:t xml:space="preserve"> </w:t>
      </w:r>
      <w:r w:rsidRPr="00CD59CC">
        <w:rPr>
          <w:rFonts w:ascii="Arial" w:hAnsi="Arial" w:cs="Arial"/>
        </w:rPr>
        <w:t>statutes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attach</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consequences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tax</w:t>
      </w:r>
      <w:r w:rsidR="007B7640" w:rsidRPr="00CD59CC">
        <w:rPr>
          <w:rFonts w:ascii="Arial" w:hAnsi="Arial" w:cs="Arial"/>
        </w:rPr>
        <w:t xml:space="preserve"> </w:t>
      </w:r>
      <w:r w:rsidRPr="00CD59CC">
        <w:rPr>
          <w:rFonts w:ascii="Arial" w:hAnsi="Arial" w:cs="Arial"/>
        </w:rPr>
        <w:t>benefits,</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allowances,</w:t>
      </w:r>
      <w:r w:rsidR="007B7640" w:rsidRPr="00CD59CC">
        <w:rPr>
          <w:rFonts w:ascii="Arial" w:hAnsi="Arial" w:cs="Arial"/>
        </w:rPr>
        <w:t xml:space="preserve"> </w:t>
      </w:r>
      <w:r w:rsidRPr="00CD59CC">
        <w:rPr>
          <w:rFonts w:ascii="Arial" w:hAnsi="Arial" w:cs="Arial"/>
        </w:rPr>
        <w:t>positive</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own</w:t>
      </w:r>
      <w:r w:rsidR="007B7640" w:rsidRPr="00CD59CC">
        <w:rPr>
          <w:rFonts w:ascii="Arial" w:hAnsi="Arial" w:cs="Arial"/>
        </w:rPr>
        <w:t xml:space="preserve"> </w:t>
      </w:r>
      <w:r w:rsidRPr="00CD59CC">
        <w:rPr>
          <w:rFonts w:ascii="Arial" w:hAnsi="Arial" w:cs="Arial"/>
        </w:rPr>
        <w:lastRenderedPageBreak/>
        <w:t>definition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what</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implementation.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detailed</w:t>
      </w:r>
      <w:r w:rsidR="007B7640" w:rsidRPr="00CD59CC">
        <w:rPr>
          <w:rFonts w:ascii="Arial" w:hAnsi="Arial" w:cs="Arial"/>
        </w:rPr>
        <w:t xml:space="preserve"> </w:t>
      </w:r>
      <w:r w:rsidRPr="00CD59CC">
        <w:rPr>
          <w:rFonts w:ascii="Arial" w:hAnsi="Arial" w:cs="Arial"/>
        </w:rPr>
        <w:t>enumeration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variety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definitions</w:t>
      </w:r>
      <w:r w:rsidR="007B7640" w:rsidRPr="00CD59CC">
        <w:rPr>
          <w:rFonts w:ascii="Arial" w:hAnsi="Arial" w:cs="Arial"/>
        </w:rPr>
        <w:t xml:space="preserve"> </w:t>
      </w:r>
      <w:r w:rsidRPr="00CD59CC">
        <w:rPr>
          <w:rFonts w:ascii="Arial" w:hAnsi="Arial" w:cs="Arial"/>
        </w:rPr>
        <w:t>used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exceed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framework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report,</w:t>
      </w:r>
      <w:r w:rsidR="007B7640" w:rsidRPr="00CD59CC">
        <w:rPr>
          <w:rFonts w:ascii="Arial" w:hAnsi="Arial" w:cs="Arial"/>
        </w:rPr>
        <w:t xml:space="preserve"> </w:t>
      </w:r>
      <w:r w:rsidRPr="00CD59CC">
        <w:rPr>
          <w:rFonts w:ascii="Arial" w:hAnsi="Arial" w:cs="Arial"/>
        </w:rPr>
        <w:t>especially</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some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professional</w:t>
      </w:r>
      <w:r w:rsidR="007B7640" w:rsidRPr="00CD59CC">
        <w:rPr>
          <w:rFonts w:ascii="Arial" w:hAnsi="Arial" w:cs="Arial"/>
        </w:rPr>
        <w:t xml:space="preserve"> </w:t>
      </w:r>
      <w:r w:rsidRPr="00CD59CC">
        <w:rPr>
          <w:rFonts w:ascii="Arial" w:hAnsi="Arial" w:cs="Arial"/>
        </w:rPr>
        <w:t>medical</w:t>
      </w:r>
      <w:r w:rsidR="007B7640" w:rsidRPr="00CD59CC">
        <w:rPr>
          <w:rFonts w:ascii="Arial" w:hAnsi="Arial" w:cs="Arial"/>
        </w:rPr>
        <w:t xml:space="preserve"> </w:t>
      </w:r>
      <w:r w:rsidRPr="00CD59CC">
        <w:rPr>
          <w:rFonts w:ascii="Arial" w:hAnsi="Arial" w:cs="Arial"/>
        </w:rPr>
        <w:t>terminology.</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we</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refer</w:t>
      </w:r>
      <w:r w:rsidR="007B7640" w:rsidRPr="00CD59CC">
        <w:rPr>
          <w:rFonts w:ascii="Arial" w:hAnsi="Arial" w:cs="Arial"/>
        </w:rPr>
        <w:t xml:space="preserve"> </w:t>
      </w:r>
      <w:r w:rsidRPr="00CD59CC">
        <w:rPr>
          <w:rFonts w:ascii="Arial" w:hAnsi="Arial" w:cs="Arial"/>
        </w:rPr>
        <w:t>here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23</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p>
    <w:p w14:paraId="5F55DC4A" w14:textId="77777777" w:rsidR="00956635" w:rsidRPr="00CD59CC" w:rsidRDefault="00956635" w:rsidP="00CD59CC">
      <w:pPr>
        <w:rPr>
          <w:rFonts w:ascii="Arial" w:hAnsi="Arial" w:cs="Arial"/>
        </w:rPr>
      </w:pPr>
    </w:p>
    <w:p w14:paraId="7BF0DB38" w14:textId="77777777" w:rsidR="00956635" w:rsidRPr="00CD59CC" w:rsidRDefault="00956635"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22</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sets</w:t>
      </w:r>
      <w:r w:rsidR="007B7640" w:rsidRPr="00CD59CC">
        <w:rPr>
          <w:rFonts w:ascii="Arial" w:hAnsi="Arial" w:cs="Arial"/>
        </w:rPr>
        <w:t xml:space="preserve"> </w:t>
      </w:r>
      <w:r w:rsidRPr="00CD59CC">
        <w:rPr>
          <w:rFonts w:ascii="Arial" w:hAnsi="Arial" w:cs="Arial"/>
        </w:rPr>
        <w:t>forth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rules</w:t>
      </w:r>
      <w:r w:rsidR="007B7640" w:rsidRPr="00CD59CC">
        <w:rPr>
          <w:rFonts w:ascii="Arial" w:hAnsi="Arial" w:cs="Arial"/>
        </w:rPr>
        <w:t xml:space="preserve"> </w:t>
      </w:r>
      <w:r w:rsidRPr="00CD59CC">
        <w:rPr>
          <w:rFonts w:ascii="Arial" w:hAnsi="Arial" w:cs="Arial"/>
        </w:rPr>
        <w:t>pertaining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allowance.</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allowance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monthly</w:t>
      </w:r>
      <w:r w:rsidR="007B7640" w:rsidRPr="00CD59CC">
        <w:rPr>
          <w:rFonts w:ascii="Arial" w:hAnsi="Arial" w:cs="Arial"/>
        </w:rPr>
        <w:t xml:space="preserve"> </w:t>
      </w:r>
      <w:r w:rsidRPr="00CD59CC">
        <w:rPr>
          <w:rFonts w:ascii="Arial" w:hAnsi="Arial" w:cs="Arial"/>
        </w:rPr>
        <w:t>payment</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maintain</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opportunities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severely</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aim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support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provide</w:t>
      </w:r>
      <w:r w:rsidR="007B7640" w:rsidRPr="00CD59CC">
        <w:rPr>
          <w:rFonts w:ascii="Arial" w:hAnsi="Arial" w:cs="Arial"/>
        </w:rPr>
        <w:t xml:space="preserve"> </w:t>
      </w:r>
      <w:r w:rsidRPr="00CD59CC">
        <w:rPr>
          <w:rFonts w:ascii="Arial" w:hAnsi="Arial" w:cs="Arial"/>
        </w:rPr>
        <w:t>financial</w:t>
      </w:r>
      <w:r w:rsidR="007B7640" w:rsidRPr="00CD59CC">
        <w:rPr>
          <w:rFonts w:ascii="Arial" w:hAnsi="Arial" w:cs="Arial"/>
        </w:rPr>
        <w:t xml:space="preserve"> </w:t>
      </w:r>
      <w:r w:rsidRPr="00CD59CC">
        <w:rPr>
          <w:rFonts w:ascii="Arial" w:hAnsi="Arial" w:cs="Arial"/>
        </w:rPr>
        <w:t>compensation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mitigate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disadvantages</w:t>
      </w:r>
      <w:r w:rsidR="007B7640" w:rsidRPr="00CD59CC">
        <w:rPr>
          <w:rFonts w:ascii="Arial" w:hAnsi="Arial" w:cs="Arial"/>
        </w:rPr>
        <w:t xml:space="preserve"> </w:t>
      </w:r>
      <w:r w:rsidRPr="00CD59CC">
        <w:rPr>
          <w:rFonts w:ascii="Arial" w:hAnsi="Arial" w:cs="Arial"/>
        </w:rPr>
        <w:t>resulting</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severely</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status,</w:t>
      </w:r>
      <w:r w:rsidR="007B7640" w:rsidRPr="00CD59CC">
        <w:rPr>
          <w:rFonts w:ascii="Arial" w:hAnsi="Arial" w:cs="Arial"/>
        </w:rPr>
        <w:t xml:space="preserve"> </w:t>
      </w:r>
      <w:r w:rsidRPr="00CD59CC">
        <w:rPr>
          <w:rFonts w:ascii="Arial" w:hAnsi="Arial" w:cs="Arial"/>
        </w:rPr>
        <w:t>irrespective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salary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severe</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“severely</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eligible.</w:t>
      </w:r>
    </w:p>
    <w:p w14:paraId="6216F977" w14:textId="77777777" w:rsidR="00956635" w:rsidRPr="00CD59CC" w:rsidRDefault="00956635" w:rsidP="00CD59CC">
      <w:pPr>
        <w:rPr>
          <w:rFonts w:ascii="Arial" w:hAnsi="Arial" w:cs="Arial"/>
        </w:rPr>
      </w:pPr>
    </w:p>
    <w:p w14:paraId="266D2977" w14:textId="77777777" w:rsidR="00956635" w:rsidRPr="00CD59CC" w:rsidRDefault="00956635"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23</w:t>
      </w:r>
      <w:r w:rsidR="007B7640" w:rsidRPr="00CD59CC">
        <w:rPr>
          <w:rFonts w:ascii="Arial" w:hAnsi="Arial" w:cs="Arial"/>
        </w:rPr>
        <w:t xml:space="preserve"> </w:t>
      </w:r>
      <w:r w:rsidRPr="00CD59CC">
        <w:rPr>
          <w:rFonts w:ascii="Arial" w:hAnsi="Arial" w:cs="Arial"/>
        </w:rPr>
        <w:t>defines</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“severely</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eligible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support.</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p>
    <w:p w14:paraId="44DC8EE6" w14:textId="77777777" w:rsidR="00956635" w:rsidRPr="00B97ED3" w:rsidRDefault="00956635" w:rsidP="00CD59CC">
      <w:pPr>
        <w:rPr>
          <w:rFonts w:ascii="Arial" w:hAnsi="Arial" w:cs="Arial"/>
        </w:rPr>
      </w:pPr>
    </w:p>
    <w:p w14:paraId="5C62F122" w14:textId="77777777" w:rsidR="00956635" w:rsidRPr="00B97ED3" w:rsidRDefault="00956635" w:rsidP="00BB4E9F">
      <w:pPr>
        <w:numPr>
          <w:ilvl w:val="0"/>
          <w:numId w:val="40"/>
        </w:numPr>
        <w:tabs>
          <w:tab w:val="left" w:pos="1134"/>
        </w:tabs>
        <w:ind w:left="1134" w:hanging="567"/>
        <w:rPr>
          <w:rFonts w:ascii="Arial" w:hAnsi="Arial" w:cs="Arial"/>
        </w:rPr>
      </w:pPr>
      <w:r w:rsidRPr="00B97ED3">
        <w:rPr>
          <w:rFonts w:ascii="Arial" w:hAnsi="Arial" w:cs="Arial"/>
        </w:rPr>
        <w:t>“whose</w:t>
      </w:r>
      <w:r w:rsidR="007B7640" w:rsidRPr="00B97ED3">
        <w:rPr>
          <w:rFonts w:ascii="Arial" w:hAnsi="Arial" w:cs="Arial"/>
        </w:rPr>
        <w:t xml:space="preserve"> </w:t>
      </w:r>
      <w:r w:rsidRPr="00B97ED3">
        <w:rPr>
          <w:rFonts w:ascii="Arial" w:hAnsi="Arial" w:cs="Arial"/>
        </w:rPr>
        <w:t>sight</w:t>
      </w:r>
      <w:r w:rsidR="007B7640" w:rsidRPr="00B97ED3">
        <w:rPr>
          <w:rFonts w:ascii="Arial" w:hAnsi="Arial" w:cs="Arial"/>
        </w:rPr>
        <w:t xml:space="preserve"> </w:t>
      </w:r>
      <w:r w:rsidRPr="00B97ED3">
        <w:rPr>
          <w:rFonts w:ascii="Arial" w:hAnsi="Arial" w:cs="Arial"/>
        </w:rPr>
        <w:t>is</w:t>
      </w:r>
      <w:r w:rsidR="007B7640" w:rsidRPr="00B97ED3">
        <w:rPr>
          <w:rFonts w:ascii="Arial" w:hAnsi="Arial" w:cs="Arial"/>
        </w:rPr>
        <w:t xml:space="preserve"> </w:t>
      </w:r>
      <w:r w:rsidRPr="00B97ED3">
        <w:rPr>
          <w:rFonts w:ascii="Arial" w:hAnsi="Arial" w:cs="Arial"/>
        </w:rPr>
        <w:t>totally</w:t>
      </w:r>
      <w:r w:rsidR="007B7640" w:rsidRPr="00B97ED3">
        <w:rPr>
          <w:rFonts w:ascii="Arial" w:hAnsi="Arial" w:cs="Arial"/>
        </w:rPr>
        <w:t xml:space="preserve"> </w:t>
      </w:r>
      <w:r w:rsidRPr="00B97ED3">
        <w:rPr>
          <w:rFonts w:ascii="Arial" w:hAnsi="Arial" w:cs="Arial"/>
        </w:rPr>
        <w:t>missing</w:t>
      </w:r>
      <w:r w:rsidR="007B7640" w:rsidRPr="00B97ED3">
        <w:rPr>
          <w:rFonts w:ascii="Arial" w:hAnsi="Arial" w:cs="Arial"/>
        </w:rPr>
        <w:t xml:space="preserve"> </w:t>
      </w:r>
      <w:r w:rsidRPr="00B97ED3">
        <w:rPr>
          <w:rFonts w:ascii="Arial" w:hAnsi="Arial" w:cs="Arial"/>
        </w:rPr>
        <w:t>and</w:t>
      </w:r>
      <w:r w:rsidR="007B7640" w:rsidRPr="00B97ED3">
        <w:rPr>
          <w:rFonts w:ascii="Arial" w:hAnsi="Arial" w:cs="Arial"/>
        </w:rPr>
        <w:t xml:space="preserve"> </w:t>
      </w:r>
      <w:r w:rsidRPr="00B97ED3">
        <w:rPr>
          <w:rFonts w:ascii="Arial" w:hAnsi="Arial" w:cs="Arial"/>
        </w:rPr>
        <w:t>cannot</w:t>
      </w:r>
      <w:r w:rsidR="007B7640" w:rsidRPr="00B97ED3">
        <w:rPr>
          <w:rFonts w:ascii="Arial" w:hAnsi="Arial" w:cs="Arial"/>
        </w:rPr>
        <w:t xml:space="preserve"> </w:t>
      </w:r>
      <w:r w:rsidRPr="00B97ED3">
        <w:rPr>
          <w:rFonts w:ascii="Arial" w:hAnsi="Arial" w:cs="Arial"/>
        </w:rPr>
        <w:t>be</w:t>
      </w:r>
      <w:r w:rsidR="007B7640" w:rsidRPr="00B97ED3">
        <w:rPr>
          <w:rFonts w:ascii="Arial" w:hAnsi="Arial" w:cs="Arial"/>
        </w:rPr>
        <w:t xml:space="preserve"> </w:t>
      </w:r>
      <w:r w:rsidRPr="00B97ED3">
        <w:rPr>
          <w:rFonts w:ascii="Arial" w:hAnsi="Arial" w:cs="Arial"/>
        </w:rPr>
        <w:t>cured</w:t>
      </w:r>
      <w:r w:rsidR="007B7640" w:rsidRPr="00B97ED3">
        <w:rPr>
          <w:rFonts w:ascii="Arial" w:hAnsi="Arial" w:cs="Arial"/>
        </w:rPr>
        <w:t xml:space="preserve"> </w:t>
      </w:r>
      <w:r w:rsidRPr="00B97ED3">
        <w:rPr>
          <w:rFonts w:ascii="Arial" w:hAnsi="Arial" w:cs="Arial"/>
        </w:rPr>
        <w:t>either</w:t>
      </w:r>
      <w:r w:rsidR="007B7640" w:rsidRPr="00B97ED3">
        <w:rPr>
          <w:rFonts w:ascii="Arial" w:hAnsi="Arial" w:cs="Arial"/>
        </w:rPr>
        <w:t xml:space="preserve"> </w:t>
      </w:r>
      <w:r w:rsidRPr="00B97ED3">
        <w:rPr>
          <w:rFonts w:ascii="Arial" w:hAnsi="Arial" w:cs="Arial"/>
        </w:rPr>
        <w:t>surgically</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with</w:t>
      </w:r>
      <w:r w:rsidR="007B7640" w:rsidRPr="00B97ED3">
        <w:rPr>
          <w:rFonts w:ascii="Arial" w:hAnsi="Arial" w:cs="Arial"/>
        </w:rPr>
        <w:t xml:space="preserve"> </w:t>
      </w:r>
      <w:r w:rsidRPr="00B97ED3">
        <w:rPr>
          <w:rFonts w:ascii="Arial" w:hAnsi="Arial" w:cs="Arial"/>
        </w:rPr>
        <w:t>special</w:t>
      </w:r>
      <w:r w:rsidR="007B7640" w:rsidRPr="00B97ED3">
        <w:rPr>
          <w:rFonts w:ascii="Arial" w:hAnsi="Arial" w:cs="Arial"/>
        </w:rPr>
        <w:t xml:space="preserve"> </w:t>
      </w:r>
      <w:r w:rsidRPr="00B97ED3">
        <w:rPr>
          <w:rFonts w:ascii="Arial" w:hAnsi="Arial" w:cs="Arial"/>
        </w:rPr>
        <w:t>treatment,</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who</w:t>
      </w:r>
      <w:r w:rsidR="007B7640" w:rsidRPr="00B97ED3">
        <w:rPr>
          <w:rFonts w:ascii="Arial" w:hAnsi="Arial" w:cs="Arial"/>
        </w:rPr>
        <w:t xml:space="preserve"> </w:t>
      </w:r>
      <w:r w:rsidRPr="00B97ED3">
        <w:rPr>
          <w:rFonts w:ascii="Arial" w:hAnsi="Arial" w:cs="Arial"/>
        </w:rPr>
        <w:t>–</w:t>
      </w:r>
      <w:r w:rsidR="007B7640" w:rsidRPr="00B97ED3">
        <w:rPr>
          <w:rFonts w:ascii="Arial" w:hAnsi="Arial" w:cs="Arial"/>
        </w:rPr>
        <w:t xml:space="preserve"> </w:t>
      </w:r>
      <w:r w:rsidRPr="00B97ED3">
        <w:rPr>
          <w:rFonts w:ascii="Arial" w:hAnsi="Arial" w:cs="Arial"/>
        </w:rPr>
        <w:t>as</w:t>
      </w:r>
      <w:r w:rsidR="007B7640" w:rsidRPr="00B97ED3">
        <w:rPr>
          <w:rFonts w:ascii="Arial" w:hAnsi="Arial" w:cs="Arial"/>
        </w:rPr>
        <w:t xml:space="preserve"> </w:t>
      </w:r>
      <w:r w:rsidRPr="00B97ED3">
        <w:rPr>
          <w:rFonts w:ascii="Arial" w:hAnsi="Arial" w:cs="Arial"/>
        </w:rPr>
        <w:t>partially-sighted</w:t>
      </w:r>
      <w:r w:rsidR="007B7640" w:rsidRPr="00B97ED3">
        <w:rPr>
          <w:rFonts w:ascii="Arial" w:hAnsi="Arial" w:cs="Arial"/>
        </w:rPr>
        <w:t xml:space="preserve"> </w:t>
      </w:r>
      <w:r w:rsidRPr="00B97ED3">
        <w:rPr>
          <w:rFonts w:ascii="Arial" w:hAnsi="Arial" w:cs="Arial"/>
        </w:rPr>
        <w:t>–</w:t>
      </w:r>
      <w:r w:rsidR="007B7640" w:rsidRPr="00B97ED3">
        <w:rPr>
          <w:rFonts w:ascii="Arial" w:hAnsi="Arial" w:cs="Arial"/>
        </w:rPr>
        <w:t xml:space="preserve"> </w:t>
      </w:r>
      <w:r w:rsidRPr="00B97ED3">
        <w:rPr>
          <w:rFonts w:ascii="Arial" w:hAnsi="Arial" w:cs="Arial"/>
        </w:rPr>
        <w:t>have</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minimal</w:t>
      </w:r>
      <w:r w:rsidR="007B7640" w:rsidRPr="00B97ED3">
        <w:rPr>
          <w:rFonts w:ascii="Arial" w:hAnsi="Arial" w:cs="Arial"/>
        </w:rPr>
        <w:t xml:space="preserve"> </w:t>
      </w:r>
      <w:r w:rsidRPr="00B97ED3">
        <w:rPr>
          <w:rFonts w:ascii="Arial" w:hAnsi="Arial" w:cs="Arial"/>
        </w:rPr>
        <w:t>capability</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seeing</w:t>
      </w:r>
      <w:r w:rsidR="007B7640" w:rsidRPr="00B97ED3">
        <w:rPr>
          <w:rFonts w:ascii="Arial" w:hAnsi="Arial" w:cs="Arial"/>
        </w:rPr>
        <w:t xml:space="preserve"> </w:t>
      </w:r>
      <w:r w:rsidRPr="00B97ED3">
        <w:rPr>
          <w:rFonts w:ascii="Arial" w:hAnsi="Arial" w:cs="Arial"/>
        </w:rPr>
        <w:t>and</w:t>
      </w:r>
      <w:r w:rsidR="007B7640" w:rsidRPr="00B97ED3">
        <w:rPr>
          <w:rFonts w:ascii="Arial" w:hAnsi="Arial" w:cs="Arial"/>
        </w:rPr>
        <w:t xml:space="preserve"> </w:t>
      </w:r>
      <w:r w:rsidRPr="00B97ED3">
        <w:rPr>
          <w:rFonts w:ascii="Arial" w:hAnsi="Arial" w:cs="Arial"/>
        </w:rPr>
        <w:t>are</w:t>
      </w:r>
      <w:r w:rsidR="007B7640" w:rsidRPr="00B97ED3">
        <w:rPr>
          <w:rFonts w:ascii="Arial" w:hAnsi="Arial" w:cs="Arial"/>
        </w:rPr>
        <w:t xml:space="preserve"> </w:t>
      </w:r>
      <w:r w:rsidRPr="00B97ED3">
        <w:rPr>
          <w:rFonts w:ascii="Arial" w:hAnsi="Arial" w:cs="Arial"/>
        </w:rPr>
        <w:t>therefore</w:t>
      </w:r>
      <w:r w:rsidR="007B7640" w:rsidRPr="00B97ED3">
        <w:rPr>
          <w:rFonts w:ascii="Arial" w:hAnsi="Arial" w:cs="Arial"/>
        </w:rPr>
        <w:t xml:space="preserve"> </w:t>
      </w:r>
      <w:r w:rsidRPr="00B97ED3">
        <w:rPr>
          <w:rFonts w:ascii="Arial" w:hAnsi="Arial" w:cs="Arial"/>
        </w:rPr>
        <w:t>only</w:t>
      </w:r>
      <w:r w:rsidR="007B7640" w:rsidRPr="00B97ED3">
        <w:rPr>
          <w:rFonts w:ascii="Arial" w:hAnsi="Arial" w:cs="Arial"/>
        </w:rPr>
        <w:t xml:space="preserve"> </w:t>
      </w:r>
      <w:r w:rsidRPr="00B97ED3">
        <w:rPr>
          <w:rFonts w:ascii="Arial" w:hAnsi="Arial" w:cs="Arial"/>
        </w:rPr>
        <w:t>capable</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conducting</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tactile-hearing</w:t>
      </w:r>
      <w:r w:rsidR="007B7640" w:rsidRPr="00B97ED3">
        <w:rPr>
          <w:rFonts w:ascii="Arial" w:hAnsi="Arial" w:cs="Arial"/>
        </w:rPr>
        <w:t xml:space="preserve"> </w:t>
      </w:r>
      <w:r w:rsidRPr="00B97ED3">
        <w:rPr>
          <w:rFonts w:ascii="Arial" w:hAnsi="Arial" w:cs="Arial"/>
        </w:rPr>
        <w:t>way</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life</w:t>
      </w:r>
      <w:r w:rsidR="007B7640" w:rsidRPr="00B97ED3">
        <w:rPr>
          <w:rFonts w:ascii="Arial" w:hAnsi="Arial" w:cs="Arial"/>
        </w:rPr>
        <w:t xml:space="preserve"> </w:t>
      </w:r>
      <w:r w:rsidRPr="00B97ED3">
        <w:rPr>
          <w:rFonts w:ascii="Arial" w:hAnsi="Arial" w:cs="Arial"/>
        </w:rPr>
        <w:t>(visual</w:t>
      </w:r>
      <w:r w:rsidR="007B7640" w:rsidRPr="00B97ED3">
        <w:rPr>
          <w:rFonts w:ascii="Arial" w:hAnsi="Arial" w:cs="Arial"/>
        </w:rPr>
        <w:t xml:space="preserve"> </w:t>
      </w:r>
      <w:r w:rsidRPr="00B97ED3">
        <w:rPr>
          <w:rFonts w:ascii="Arial" w:hAnsi="Arial" w:cs="Arial"/>
        </w:rPr>
        <w:t>impairment),</w:t>
      </w:r>
    </w:p>
    <w:p w14:paraId="5AC98E8D" w14:textId="77777777" w:rsidR="00956635" w:rsidRPr="00B97ED3" w:rsidRDefault="00956635" w:rsidP="00BB4E9F">
      <w:pPr>
        <w:numPr>
          <w:ilvl w:val="0"/>
          <w:numId w:val="40"/>
        </w:numPr>
        <w:tabs>
          <w:tab w:val="left" w:pos="1134"/>
        </w:tabs>
        <w:ind w:left="1134" w:hanging="567"/>
        <w:rPr>
          <w:rFonts w:ascii="Arial" w:hAnsi="Arial" w:cs="Arial"/>
        </w:rPr>
      </w:pPr>
      <w:r w:rsidRPr="00B97ED3">
        <w:rPr>
          <w:rFonts w:ascii="Arial" w:hAnsi="Arial" w:cs="Arial"/>
        </w:rPr>
        <w:t>whose</w:t>
      </w:r>
      <w:r w:rsidR="007B7640" w:rsidRPr="00B97ED3">
        <w:rPr>
          <w:rFonts w:ascii="Arial" w:hAnsi="Arial" w:cs="Arial"/>
        </w:rPr>
        <w:t xml:space="preserve"> </w:t>
      </w:r>
      <w:r w:rsidRPr="00B97ED3">
        <w:rPr>
          <w:rFonts w:ascii="Arial" w:hAnsi="Arial" w:cs="Arial"/>
        </w:rPr>
        <w:t>loss</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hearing</w:t>
      </w:r>
      <w:r w:rsidR="007B7640" w:rsidRPr="00B97ED3">
        <w:rPr>
          <w:rFonts w:ascii="Arial" w:hAnsi="Arial" w:cs="Arial"/>
        </w:rPr>
        <w:t xml:space="preserve"> </w:t>
      </w:r>
      <w:r w:rsidRPr="00B97ED3">
        <w:rPr>
          <w:rFonts w:ascii="Arial" w:hAnsi="Arial" w:cs="Arial"/>
        </w:rPr>
        <w:t>is</w:t>
      </w:r>
      <w:r w:rsidR="007B7640" w:rsidRPr="00B97ED3">
        <w:rPr>
          <w:rFonts w:ascii="Arial" w:hAnsi="Arial" w:cs="Arial"/>
        </w:rPr>
        <w:t xml:space="preserve"> </w:t>
      </w:r>
      <w:r w:rsidRPr="00B97ED3">
        <w:rPr>
          <w:rFonts w:ascii="Arial" w:hAnsi="Arial" w:cs="Arial"/>
        </w:rPr>
        <w:t>so</w:t>
      </w:r>
      <w:r w:rsidR="007B7640" w:rsidRPr="00B97ED3">
        <w:rPr>
          <w:rFonts w:ascii="Arial" w:hAnsi="Arial" w:cs="Arial"/>
        </w:rPr>
        <w:t xml:space="preserve"> </w:t>
      </w:r>
      <w:r w:rsidRPr="00B97ED3">
        <w:rPr>
          <w:rFonts w:ascii="Arial" w:hAnsi="Arial" w:cs="Arial"/>
        </w:rPr>
        <w:t>severe</w:t>
      </w:r>
      <w:r w:rsidR="007B7640" w:rsidRPr="00B97ED3">
        <w:rPr>
          <w:rFonts w:ascii="Arial" w:hAnsi="Arial" w:cs="Arial"/>
        </w:rPr>
        <w:t xml:space="preserve"> </w:t>
      </w:r>
      <w:r w:rsidRPr="00B97ED3">
        <w:rPr>
          <w:rFonts w:ascii="Arial" w:hAnsi="Arial" w:cs="Arial"/>
        </w:rPr>
        <w:t>that</w:t>
      </w:r>
      <w:r w:rsidR="007B7640" w:rsidRPr="00B97ED3">
        <w:rPr>
          <w:rFonts w:ascii="Arial" w:hAnsi="Arial" w:cs="Arial"/>
        </w:rPr>
        <w:t xml:space="preserve"> </w:t>
      </w:r>
      <w:r w:rsidRPr="00B97ED3">
        <w:rPr>
          <w:rFonts w:ascii="Arial" w:hAnsi="Arial" w:cs="Arial"/>
        </w:rPr>
        <w:t>not</w:t>
      </w:r>
      <w:r w:rsidR="007B7640" w:rsidRPr="00B97ED3">
        <w:rPr>
          <w:rFonts w:ascii="Arial" w:hAnsi="Arial" w:cs="Arial"/>
        </w:rPr>
        <w:t xml:space="preserve"> </w:t>
      </w:r>
      <w:r w:rsidRPr="00B97ED3">
        <w:rPr>
          <w:rFonts w:ascii="Arial" w:hAnsi="Arial" w:cs="Arial"/>
        </w:rPr>
        <w:t>even</w:t>
      </w:r>
      <w:r w:rsidR="007B7640" w:rsidRPr="00B97ED3">
        <w:rPr>
          <w:rFonts w:ascii="Arial" w:hAnsi="Arial" w:cs="Arial"/>
        </w:rPr>
        <w:t xml:space="preserve"> </w:t>
      </w:r>
      <w:r w:rsidRPr="00B97ED3">
        <w:rPr>
          <w:rFonts w:ascii="Arial" w:hAnsi="Arial" w:cs="Arial"/>
        </w:rPr>
        <w:t>with</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hearing</w:t>
      </w:r>
      <w:r w:rsidR="007B7640" w:rsidRPr="00B97ED3">
        <w:rPr>
          <w:rFonts w:ascii="Arial" w:hAnsi="Arial" w:cs="Arial"/>
        </w:rPr>
        <w:t xml:space="preserve"> </w:t>
      </w:r>
      <w:r w:rsidRPr="00B97ED3">
        <w:rPr>
          <w:rFonts w:ascii="Arial" w:hAnsi="Arial" w:cs="Arial"/>
        </w:rPr>
        <w:t>aid</w:t>
      </w:r>
      <w:r w:rsidR="007B7640" w:rsidRPr="00B97ED3">
        <w:rPr>
          <w:rFonts w:ascii="Arial" w:hAnsi="Arial" w:cs="Arial"/>
        </w:rPr>
        <w:t xml:space="preserve"> </w:t>
      </w:r>
      <w:r w:rsidRPr="00B97ED3">
        <w:rPr>
          <w:rFonts w:ascii="Arial" w:hAnsi="Arial" w:cs="Arial"/>
        </w:rPr>
        <w:t>are</w:t>
      </w:r>
      <w:r w:rsidR="007B7640" w:rsidRPr="00B97ED3">
        <w:rPr>
          <w:rFonts w:ascii="Arial" w:hAnsi="Arial" w:cs="Arial"/>
        </w:rPr>
        <w:t xml:space="preserve"> </w:t>
      </w:r>
      <w:r w:rsidRPr="00B97ED3">
        <w:rPr>
          <w:rFonts w:ascii="Arial" w:hAnsi="Arial" w:cs="Arial"/>
        </w:rPr>
        <w:t>they</w:t>
      </w:r>
      <w:r w:rsidR="007B7640" w:rsidRPr="00B97ED3">
        <w:rPr>
          <w:rFonts w:ascii="Arial" w:hAnsi="Arial" w:cs="Arial"/>
        </w:rPr>
        <w:t xml:space="preserve"> </w:t>
      </w:r>
      <w:r w:rsidRPr="00B97ED3">
        <w:rPr>
          <w:rFonts w:ascii="Arial" w:hAnsi="Arial" w:cs="Arial"/>
        </w:rPr>
        <w:t>capable</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hearing</w:t>
      </w:r>
      <w:r w:rsidR="007B7640" w:rsidRPr="00B97ED3">
        <w:rPr>
          <w:rFonts w:ascii="Arial" w:hAnsi="Arial" w:cs="Arial"/>
        </w:rPr>
        <w:t xml:space="preserve"> </w:t>
      </w:r>
      <w:r w:rsidRPr="00B97ED3">
        <w:rPr>
          <w:rFonts w:ascii="Arial" w:hAnsi="Arial" w:cs="Arial"/>
        </w:rPr>
        <w:t>speech,</w:t>
      </w:r>
      <w:r w:rsidR="007B7640" w:rsidRPr="00B97ED3">
        <w:rPr>
          <w:rFonts w:ascii="Arial" w:hAnsi="Arial" w:cs="Arial"/>
        </w:rPr>
        <w:t xml:space="preserve"> </w:t>
      </w:r>
      <w:r w:rsidRPr="00B97ED3">
        <w:rPr>
          <w:rFonts w:ascii="Arial" w:hAnsi="Arial" w:cs="Arial"/>
        </w:rPr>
        <w:t>provided</w:t>
      </w:r>
      <w:r w:rsidR="007B7640" w:rsidRPr="00B97ED3">
        <w:rPr>
          <w:rFonts w:ascii="Arial" w:hAnsi="Arial" w:cs="Arial"/>
        </w:rPr>
        <w:t xml:space="preserve"> </w:t>
      </w:r>
      <w:r w:rsidRPr="00B97ED3">
        <w:rPr>
          <w:rFonts w:ascii="Arial" w:hAnsi="Arial" w:cs="Arial"/>
        </w:rPr>
        <w:t>that</w:t>
      </w:r>
    </w:p>
    <w:p w14:paraId="016E91F7" w14:textId="77777777" w:rsidR="00956635" w:rsidRPr="00B97ED3" w:rsidRDefault="00956635" w:rsidP="00BB4E9F">
      <w:pPr>
        <w:numPr>
          <w:ilvl w:val="0"/>
          <w:numId w:val="41"/>
        </w:numPr>
        <w:tabs>
          <w:tab w:val="left" w:pos="1701"/>
        </w:tabs>
        <w:ind w:left="1701" w:hanging="567"/>
        <w:rPr>
          <w:rFonts w:ascii="Arial" w:hAnsi="Arial" w:cs="Arial"/>
        </w:rPr>
      </w:pPr>
      <w:r w:rsidRPr="00B97ED3">
        <w:rPr>
          <w:rFonts w:ascii="Arial" w:hAnsi="Arial" w:cs="Arial"/>
        </w:rPr>
        <w:t>their</w:t>
      </w:r>
      <w:r w:rsidR="007B7640" w:rsidRPr="00B97ED3">
        <w:rPr>
          <w:rFonts w:ascii="Arial" w:hAnsi="Arial" w:cs="Arial"/>
        </w:rPr>
        <w:t xml:space="preserve"> </w:t>
      </w:r>
      <w:r w:rsidRPr="00B97ED3">
        <w:rPr>
          <w:rFonts w:ascii="Arial" w:hAnsi="Arial" w:cs="Arial"/>
        </w:rPr>
        <w:t>loss</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hearing</w:t>
      </w:r>
      <w:r w:rsidR="007B7640" w:rsidRPr="00B97ED3">
        <w:rPr>
          <w:rFonts w:ascii="Arial" w:hAnsi="Arial" w:cs="Arial"/>
        </w:rPr>
        <w:t xml:space="preserve"> </w:t>
      </w:r>
      <w:r w:rsidRPr="00B97ED3">
        <w:rPr>
          <w:rFonts w:ascii="Arial" w:hAnsi="Arial" w:cs="Arial"/>
        </w:rPr>
        <w:t>occurred</w:t>
      </w:r>
      <w:r w:rsidR="007B7640" w:rsidRPr="00B97ED3">
        <w:rPr>
          <w:rFonts w:ascii="Arial" w:hAnsi="Arial" w:cs="Arial"/>
        </w:rPr>
        <w:t xml:space="preserve"> </w:t>
      </w:r>
      <w:r w:rsidRPr="00B97ED3">
        <w:rPr>
          <w:rFonts w:ascii="Arial" w:hAnsi="Arial" w:cs="Arial"/>
        </w:rPr>
        <w:t>before</w:t>
      </w:r>
      <w:r w:rsidR="007B7640" w:rsidRPr="00B97ED3">
        <w:rPr>
          <w:rFonts w:ascii="Arial" w:hAnsi="Arial" w:cs="Arial"/>
        </w:rPr>
        <w:t xml:space="preserve"> </w:t>
      </w:r>
      <w:r w:rsidRPr="00B97ED3">
        <w:rPr>
          <w:rFonts w:ascii="Arial" w:hAnsi="Arial" w:cs="Arial"/>
        </w:rPr>
        <w:t>the</w:t>
      </w:r>
      <w:r w:rsidR="007B7640" w:rsidRPr="00B97ED3">
        <w:rPr>
          <w:rFonts w:ascii="Arial" w:hAnsi="Arial" w:cs="Arial"/>
        </w:rPr>
        <w:t xml:space="preserve"> </w:t>
      </w:r>
      <w:r w:rsidRPr="00B97ED3">
        <w:rPr>
          <w:rFonts w:ascii="Arial" w:hAnsi="Arial" w:cs="Arial"/>
        </w:rPr>
        <w:t>age</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25,</w:t>
      </w:r>
      <w:r w:rsidR="007B7640" w:rsidRPr="00B97ED3">
        <w:rPr>
          <w:rFonts w:ascii="Arial" w:hAnsi="Arial" w:cs="Arial"/>
        </w:rPr>
        <w:t xml:space="preserve"> </w:t>
      </w:r>
      <w:r w:rsidRPr="00B97ED3">
        <w:rPr>
          <w:rFonts w:ascii="Arial" w:hAnsi="Arial" w:cs="Arial"/>
        </w:rPr>
        <w:t>or</w:t>
      </w:r>
    </w:p>
    <w:p w14:paraId="09E262F0" w14:textId="77777777" w:rsidR="006F5D91" w:rsidRPr="00B97ED3" w:rsidRDefault="007B7640" w:rsidP="00BB4E9F">
      <w:pPr>
        <w:numPr>
          <w:ilvl w:val="0"/>
          <w:numId w:val="41"/>
        </w:numPr>
        <w:tabs>
          <w:tab w:val="left" w:pos="1701"/>
        </w:tabs>
        <w:ind w:left="1701" w:hanging="567"/>
        <w:rPr>
          <w:rFonts w:ascii="Arial" w:hAnsi="Arial" w:cs="Arial"/>
        </w:rPr>
      </w:pPr>
      <w:r w:rsidRPr="00B97ED3">
        <w:rPr>
          <w:rFonts w:ascii="Arial" w:hAnsi="Arial" w:cs="Arial"/>
        </w:rPr>
        <w:t xml:space="preserve"> </w:t>
      </w:r>
      <w:r w:rsidR="00956635" w:rsidRPr="00B97ED3">
        <w:rPr>
          <w:rFonts w:ascii="Arial" w:hAnsi="Arial" w:cs="Arial"/>
        </w:rPr>
        <w:t>besides</w:t>
      </w:r>
      <w:r w:rsidRPr="00B97ED3">
        <w:rPr>
          <w:rFonts w:ascii="Arial" w:hAnsi="Arial" w:cs="Arial"/>
        </w:rPr>
        <w:t xml:space="preserve"> </w:t>
      </w:r>
      <w:r w:rsidR="00956635" w:rsidRPr="00B97ED3">
        <w:rPr>
          <w:rFonts w:ascii="Arial" w:hAnsi="Arial" w:cs="Arial"/>
        </w:rPr>
        <w:t>the</w:t>
      </w:r>
      <w:r w:rsidRPr="00B97ED3">
        <w:rPr>
          <w:rFonts w:ascii="Arial" w:hAnsi="Arial" w:cs="Arial"/>
        </w:rPr>
        <w:t xml:space="preserve"> </w:t>
      </w:r>
      <w:r w:rsidR="00956635" w:rsidRPr="00B97ED3">
        <w:rPr>
          <w:rFonts w:ascii="Arial" w:hAnsi="Arial" w:cs="Arial"/>
        </w:rPr>
        <w:t>loss</w:t>
      </w:r>
      <w:r w:rsidRPr="00B97ED3">
        <w:rPr>
          <w:rFonts w:ascii="Arial" w:hAnsi="Arial" w:cs="Arial"/>
        </w:rPr>
        <w:t xml:space="preserve"> </w:t>
      </w:r>
      <w:r w:rsidR="00956635" w:rsidRPr="00B97ED3">
        <w:rPr>
          <w:rFonts w:ascii="Arial" w:hAnsi="Arial" w:cs="Arial"/>
        </w:rPr>
        <w:t>of</w:t>
      </w:r>
      <w:r w:rsidRPr="00B97ED3">
        <w:rPr>
          <w:rFonts w:ascii="Arial" w:hAnsi="Arial" w:cs="Arial"/>
        </w:rPr>
        <w:t xml:space="preserve"> </w:t>
      </w:r>
      <w:r w:rsidR="00956635" w:rsidRPr="00B97ED3">
        <w:rPr>
          <w:rFonts w:ascii="Arial" w:hAnsi="Arial" w:cs="Arial"/>
        </w:rPr>
        <w:t>hearing</w:t>
      </w:r>
      <w:r w:rsidRPr="00B97ED3">
        <w:rPr>
          <w:rFonts w:ascii="Arial" w:hAnsi="Arial" w:cs="Arial"/>
        </w:rPr>
        <w:t xml:space="preserve"> </w:t>
      </w:r>
      <w:r w:rsidR="00956635" w:rsidRPr="00B97ED3">
        <w:rPr>
          <w:rFonts w:ascii="Arial" w:hAnsi="Arial" w:cs="Arial"/>
        </w:rPr>
        <w:t>they</w:t>
      </w:r>
      <w:r w:rsidRPr="00B97ED3">
        <w:rPr>
          <w:rFonts w:ascii="Arial" w:hAnsi="Arial" w:cs="Arial"/>
        </w:rPr>
        <w:t xml:space="preserve"> </w:t>
      </w:r>
      <w:r w:rsidR="00956635" w:rsidRPr="00B97ED3">
        <w:rPr>
          <w:rFonts w:ascii="Arial" w:hAnsi="Arial" w:cs="Arial"/>
        </w:rPr>
        <w:t>are</w:t>
      </w:r>
      <w:r w:rsidRPr="00B97ED3">
        <w:rPr>
          <w:rFonts w:ascii="Arial" w:hAnsi="Arial" w:cs="Arial"/>
        </w:rPr>
        <w:t xml:space="preserve"> </w:t>
      </w:r>
      <w:r w:rsidR="00956635" w:rsidRPr="00B97ED3">
        <w:rPr>
          <w:rFonts w:ascii="Arial" w:hAnsi="Arial" w:cs="Arial"/>
        </w:rPr>
        <w:t>not</w:t>
      </w:r>
      <w:r w:rsidRPr="00B97ED3">
        <w:rPr>
          <w:rFonts w:ascii="Arial" w:hAnsi="Arial" w:cs="Arial"/>
        </w:rPr>
        <w:t xml:space="preserve"> </w:t>
      </w:r>
      <w:r w:rsidR="00956635" w:rsidRPr="00B97ED3">
        <w:rPr>
          <w:rFonts w:ascii="Arial" w:hAnsi="Arial" w:cs="Arial"/>
        </w:rPr>
        <w:t>capable</w:t>
      </w:r>
      <w:r w:rsidRPr="00B97ED3">
        <w:rPr>
          <w:rFonts w:ascii="Arial" w:hAnsi="Arial" w:cs="Arial"/>
        </w:rPr>
        <w:t xml:space="preserve"> </w:t>
      </w:r>
      <w:r w:rsidR="00956635" w:rsidRPr="00B97ED3">
        <w:rPr>
          <w:rFonts w:ascii="Arial" w:hAnsi="Arial" w:cs="Arial"/>
        </w:rPr>
        <w:t>of</w:t>
      </w:r>
      <w:r w:rsidRPr="00B97ED3">
        <w:rPr>
          <w:rFonts w:ascii="Arial" w:hAnsi="Arial" w:cs="Arial"/>
        </w:rPr>
        <w:t xml:space="preserve"> </w:t>
      </w:r>
      <w:r w:rsidR="00956635" w:rsidRPr="00B97ED3">
        <w:rPr>
          <w:rFonts w:ascii="Arial" w:hAnsi="Arial" w:cs="Arial"/>
        </w:rPr>
        <w:t>comprehensively</w:t>
      </w:r>
      <w:r w:rsidRPr="00B97ED3">
        <w:rPr>
          <w:rFonts w:ascii="Arial" w:hAnsi="Arial" w:cs="Arial"/>
        </w:rPr>
        <w:t xml:space="preserve"> </w:t>
      </w:r>
      <w:r w:rsidR="00956635" w:rsidRPr="00B97ED3">
        <w:rPr>
          <w:rFonts w:ascii="Arial" w:hAnsi="Arial" w:cs="Arial"/>
        </w:rPr>
        <w:t>pronouncing</w:t>
      </w:r>
      <w:r w:rsidRPr="00B97ED3">
        <w:rPr>
          <w:rFonts w:ascii="Arial" w:hAnsi="Arial" w:cs="Arial"/>
        </w:rPr>
        <w:t xml:space="preserve"> </w:t>
      </w:r>
      <w:r w:rsidR="00956635" w:rsidRPr="00B97ED3">
        <w:rPr>
          <w:rFonts w:ascii="Arial" w:hAnsi="Arial" w:cs="Arial"/>
        </w:rPr>
        <w:t>sounding-talk</w:t>
      </w:r>
      <w:r w:rsidRPr="00B97ED3">
        <w:rPr>
          <w:rFonts w:ascii="Arial" w:hAnsi="Arial" w:cs="Arial"/>
        </w:rPr>
        <w:t xml:space="preserve">  </w:t>
      </w:r>
      <w:r w:rsidR="00956635" w:rsidRPr="00B97ED3">
        <w:rPr>
          <w:rFonts w:ascii="Arial" w:hAnsi="Arial" w:cs="Arial"/>
        </w:rPr>
        <w:t>(hearing</w:t>
      </w:r>
      <w:r w:rsidRPr="00B97ED3">
        <w:rPr>
          <w:rFonts w:ascii="Arial" w:hAnsi="Arial" w:cs="Arial"/>
        </w:rPr>
        <w:t xml:space="preserve"> </w:t>
      </w:r>
      <w:r w:rsidR="00956635" w:rsidRPr="00B97ED3">
        <w:rPr>
          <w:rFonts w:ascii="Arial" w:hAnsi="Arial" w:cs="Arial"/>
        </w:rPr>
        <w:t>impairment),</w:t>
      </w:r>
    </w:p>
    <w:p w14:paraId="4CFA3920" w14:textId="3A20E145" w:rsidR="00956635" w:rsidRPr="00B97ED3" w:rsidRDefault="00956635" w:rsidP="00BB4E9F">
      <w:pPr>
        <w:numPr>
          <w:ilvl w:val="0"/>
          <w:numId w:val="40"/>
        </w:numPr>
        <w:tabs>
          <w:tab w:val="left" w:pos="1134"/>
        </w:tabs>
        <w:ind w:left="1134" w:hanging="567"/>
        <w:rPr>
          <w:rFonts w:ascii="Arial" w:hAnsi="Arial" w:cs="Arial"/>
        </w:rPr>
      </w:pPr>
      <w:r w:rsidRPr="00B97ED3">
        <w:rPr>
          <w:rFonts w:ascii="Arial" w:hAnsi="Arial" w:cs="Arial"/>
        </w:rPr>
        <w:t>who</w:t>
      </w:r>
      <w:r w:rsidR="007B7640" w:rsidRPr="00B97ED3">
        <w:rPr>
          <w:rFonts w:ascii="Arial" w:hAnsi="Arial" w:cs="Arial"/>
        </w:rPr>
        <w:t xml:space="preserve"> </w:t>
      </w:r>
      <w:r w:rsidRPr="00B97ED3">
        <w:rPr>
          <w:rFonts w:ascii="Arial" w:hAnsi="Arial" w:cs="Arial"/>
        </w:rPr>
        <w:t>suffer</w:t>
      </w:r>
      <w:r w:rsidR="007B7640" w:rsidRPr="00B97ED3">
        <w:rPr>
          <w:rFonts w:ascii="Arial" w:hAnsi="Arial" w:cs="Arial"/>
        </w:rPr>
        <w:t xml:space="preserve"> </w:t>
      </w:r>
      <w:r w:rsidRPr="00B97ED3">
        <w:rPr>
          <w:rFonts w:ascii="Arial" w:hAnsi="Arial" w:cs="Arial"/>
        </w:rPr>
        <w:t>from</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severe</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medium-severe</w:t>
      </w:r>
      <w:r w:rsidR="007B7640" w:rsidRPr="00B97ED3">
        <w:rPr>
          <w:rFonts w:ascii="Arial" w:hAnsi="Arial" w:cs="Arial"/>
        </w:rPr>
        <w:t xml:space="preserve"> </w:t>
      </w:r>
      <w:r w:rsidR="009C5349" w:rsidRPr="00B97ED3">
        <w:rPr>
          <w:rFonts w:ascii="Arial" w:hAnsi="Arial" w:cs="Arial"/>
        </w:rPr>
        <w:t>intellectual</w:t>
      </w:r>
      <w:r w:rsidR="007B7640" w:rsidRPr="00B97ED3">
        <w:rPr>
          <w:rFonts w:ascii="Arial" w:hAnsi="Arial" w:cs="Arial"/>
        </w:rPr>
        <w:t xml:space="preserve"> </w:t>
      </w:r>
      <w:r w:rsidR="009C5349" w:rsidRPr="00B97ED3">
        <w:rPr>
          <w:rFonts w:ascii="Arial" w:hAnsi="Arial" w:cs="Arial"/>
        </w:rPr>
        <w:t>impairment</w:t>
      </w:r>
      <w:r w:rsidR="007B7640" w:rsidRPr="00B97ED3">
        <w:rPr>
          <w:rFonts w:ascii="Arial" w:hAnsi="Arial" w:cs="Arial"/>
        </w:rPr>
        <w:t xml:space="preserve"> </w:t>
      </w:r>
      <w:r w:rsidRPr="00B97ED3">
        <w:rPr>
          <w:rFonts w:ascii="Arial" w:hAnsi="Arial" w:cs="Arial"/>
        </w:rPr>
        <w:t>due</w:t>
      </w:r>
      <w:r w:rsidR="007B7640" w:rsidRPr="00B97ED3">
        <w:rPr>
          <w:rFonts w:ascii="Arial" w:hAnsi="Arial" w:cs="Arial"/>
        </w:rPr>
        <w:t xml:space="preserve"> </w:t>
      </w:r>
      <w:r w:rsidRPr="00B97ED3">
        <w:rPr>
          <w:rFonts w:ascii="Arial" w:hAnsi="Arial" w:cs="Arial"/>
        </w:rPr>
        <w:t>to</w:t>
      </w:r>
      <w:r w:rsidR="007B7640" w:rsidRPr="00B97ED3">
        <w:rPr>
          <w:rFonts w:ascii="Arial" w:hAnsi="Arial" w:cs="Arial"/>
        </w:rPr>
        <w:t xml:space="preserve"> </w:t>
      </w:r>
      <w:r w:rsidRPr="00B97ED3">
        <w:rPr>
          <w:rFonts w:ascii="Arial" w:hAnsi="Arial" w:cs="Arial"/>
        </w:rPr>
        <w:t>genetic</w:t>
      </w:r>
      <w:r w:rsidR="007B7640" w:rsidRPr="00B97ED3">
        <w:rPr>
          <w:rFonts w:ascii="Arial" w:hAnsi="Arial" w:cs="Arial"/>
        </w:rPr>
        <w:t xml:space="preserve"> </w:t>
      </w:r>
      <w:r w:rsidRPr="00B97ED3">
        <w:rPr>
          <w:rFonts w:ascii="Arial" w:hAnsi="Arial" w:cs="Arial"/>
        </w:rPr>
        <w:t>reasons,</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in</w:t>
      </w:r>
      <w:r w:rsidR="007B7640" w:rsidRPr="00B97ED3">
        <w:rPr>
          <w:rFonts w:ascii="Arial" w:hAnsi="Arial" w:cs="Arial"/>
        </w:rPr>
        <w:t xml:space="preserve"> </w:t>
      </w:r>
      <w:r w:rsidRPr="00B97ED3">
        <w:rPr>
          <w:rFonts w:ascii="Arial" w:hAnsi="Arial" w:cs="Arial"/>
        </w:rPr>
        <w:t>relation</w:t>
      </w:r>
      <w:r w:rsidR="007B7640" w:rsidRPr="00B97ED3">
        <w:rPr>
          <w:rFonts w:ascii="Arial" w:hAnsi="Arial" w:cs="Arial"/>
        </w:rPr>
        <w:t xml:space="preserve"> </w:t>
      </w:r>
      <w:r w:rsidRPr="00B97ED3">
        <w:rPr>
          <w:rFonts w:ascii="Arial" w:hAnsi="Arial" w:cs="Arial"/>
        </w:rPr>
        <w:t>to</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foetal</w:t>
      </w:r>
      <w:r w:rsidR="007B7640" w:rsidRPr="00B97ED3">
        <w:rPr>
          <w:rFonts w:ascii="Arial" w:hAnsi="Arial" w:cs="Arial"/>
        </w:rPr>
        <w:t xml:space="preserve"> </w:t>
      </w:r>
      <w:r w:rsidRPr="00B97ED3">
        <w:rPr>
          <w:rFonts w:ascii="Arial" w:hAnsi="Arial" w:cs="Arial"/>
        </w:rPr>
        <w:t>damage</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birth</w:t>
      </w:r>
      <w:r w:rsidR="007B7640" w:rsidRPr="00B97ED3">
        <w:rPr>
          <w:rFonts w:ascii="Arial" w:hAnsi="Arial" w:cs="Arial"/>
        </w:rPr>
        <w:t xml:space="preserve"> </w:t>
      </w:r>
      <w:r w:rsidRPr="00B97ED3">
        <w:rPr>
          <w:rFonts w:ascii="Arial" w:hAnsi="Arial" w:cs="Arial"/>
        </w:rPr>
        <w:t>trauma,</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as</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result</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serious</w:t>
      </w:r>
      <w:r w:rsidR="007B7640" w:rsidRPr="00B97ED3">
        <w:rPr>
          <w:rFonts w:ascii="Arial" w:hAnsi="Arial" w:cs="Arial"/>
        </w:rPr>
        <w:t xml:space="preserve"> </w:t>
      </w:r>
      <w:r w:rsidRPr="00B97ED3">
        <w:rPr>
          <w:rFonts w:ascii="Arial" w:hAnsi="Arial" w:cs="Arial"/>
        </w:rPr>
        <w:t>disease</w:t>
      </w:r>
      <w:r w:rsidR="007B7640" w:rsidRPr="00B97ED3">
        <w:rPr>
          <w:rFonts w:ascii="Arial" w:hAnsi="Arial" w:cs="Arial"/>
        </w:rPr>
        <w:t xml:space="preserve"> </w:t>
      </w:r>
      <w:r w:rsidRPr="00B97ED3">
        <w:rPr>
          <w:rFonts w:ascii="Arial" w:hAnsi="Arial" w:cs="Arial"/>
        </w:rPr>
        <w:t>which</w:t>
      </w:r>
      <w:r w:rsidR="007B7640" w:rsidRPr="00B97ED3">
        <w:rPr>
          <w:rFonts w:ascii="Arial" w:hAnsi="Arial" w:cs="Arial"/>
        </w:rPr>
        <w:t xml:space="preserve"> </w:t>
      </w:r>
      <w:r w:rsidRPr="00B97ED3">
        <w:rPr>
          <w:rFonts w:ascii="Arial" w:hAnsi="Arial" w:cs="Arial"/>
        </w:rPr>
        <w:t>occurred</w:t>
      </w:r>
      <w:r w:rsidR="007B7640" w:rsidRPr="00B97ED3">
        <w:rPr>
          <w:rFonts w:ascii="Arial" w:hAnsi="Arial" w:cs="Arial"/>
        </w:rPr>
        <w:t xml:space="preserve"> </w:t>
      </w:r>
      <w:r w:rsidRPr="00B97ED3">
        <w:rPr>
          <w:rFonts w:ascii="Arial" w:hAnsi="Arial" w:cs="Arial"/>
        </w:rPr>
        <w:t>before</w:t>
      </w:r>
      <w:r w:rsidR="007B7640" w:rsidRPr="00B97ED3">
        <w:rPr>
          <w:rFonts w:ascii="Arial" w:hAnsi="Arial" w:cs="Arial"/>
        </w:rPr>
        <w:t xml:space="preserve"> </w:t>
      </w:r>
      <w:r w:rsidRPr="00B97ED3">
        <w:rPr>
          <w:rFonts w:ascii="Arial" w:hAnsi="Arial" w:cs="Arial"/>
        </w:rPr>
        <w:t>the</w:t>
      </w:r>
      <w:r w:rsidR="007B7640" w:rsidRPr="00B97ED3">
        <w:rPr>
          <w:rFonts w:ascii="Arial" w:hAnsi="Arial" w:cs="Arial"/>
        </w:rPr>
        <w:t xml:space="preserve"> </w:t>
      </w:r>
      <w:r w:rsidRPr="00B97ED3">
        <w:rPr>
          <w:rFonts w:ascii="Arial" w:hAnsi="Arial" w:cs="Arial"/>
        </w:rPr>
        <w:t>age</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14</w:t>
      </w:r>
      <w:r w:rsidR="007B7640" w:rsidRPr="00B97ED3">
        <w:rPr>
          <w:rFonts w:ascii="Arial" w:hAnsi="Arial" w:cs="Arial"/>
        </w:rPr>
        <w:t xml:space="preserve"> </w:t>
      </w:r>
      <w:r w:rsidRPr="00B97ED3">
        <w:rPr>
          <w:rFonts w:ascii="Arial" w:hAnsi="Arial" w:cs="Arial"/>
        </w:rPr>
        <w:t>(</w:t>
      </w:r>
      <w:r w:rsidR="009C5349" w:rsidRPr="00B97ED3">
        <w:rPr>
          <w:rFonts w:ascii="Arial" w:hAnsi="Arial" w:cs="Arial"/>
        </w:rPr>
        <w:t>intellectual</w:t>
      </w:r>
      <w:r w:rsidR="007B7640" w:rsidRPr="00B97ED3">
        <w:rPr>
          <w:rFonts w:ascii="Arial" w:hAnsi="Arial" w:cs="Arial"/>
        </w:rPr>
        <w:t xml:space="preserve"> </w:t>
      </w:r>
      <w:r w:rsidRPr="00B97ED3">
        <w:rPr>
          <w:rFonts w:ascii="Arial" w:hAnsi="Arial" w:cs="Arial"/>
        </w:rPr>
        <w:t>disability),</w:t>
      </w:r>
    </w:p>
    <w:p w14:paraId="366E5ED9" w14:textId="77777777" w:rsidR="00956635" w:rsidRPr="00B97ED3" w:rsidRDefault="00956635" w:rsidP="00BB4E9F">
      <w:pPr>
        <w:numPr>
          <w:ilvl w:val="0"/>
          <w:numId w:val="40"/>
        </w:numPr>
        <w:tabs>
          <w:tab w:val="left" w:pos="1134"/>
        </w:tabs>
        <w:ind w:left="1134" w:hanging="567"/>
        <w:rPr>
          <w:rFonts w:ascii="Arial" w:hAnsi="Arial" w:cs="Arial"/>
        </w:rPr>
      </w:pPr>
      <w:r w:rsidRPr="00B97ED3">
        <w:rPr>
          <w:rFonts w:ascii="Arial" w:hAnsi="Arial" w:cs="Arial"/>
        </w:rPr>
        <w:t>whose</w:t>
      </w:r>
      <w:r w:rsidR="007B7640" w:rsidRPr="00B97ED3">
        <w:rPr>
          <w:rFonts w:ascii="Arial" w:hAnsi="Arial" w:cs="Arial"/>
        </w:rPr>
        <w:t xml:space="preserve"> </w:t>
      </w:r>
      <w:r w:rsidRPr="00B97ED3">
        <w:rPr>
          <w:rFonts w:ascii="Arial" w:hAnsi="Arial" w:cs="Arial"/>
        </w:rPr>
        <w:t>condition</w:t>
      </w:r>
      <w:r w:rsidR="007B7640" w:rsidRPr="00B97ED3">
        <w:rPr>
          <w:rFonts w:ascii="Arial" w:hAnsi="Arial" w:cs="Arial"/>
        </w:rPr>
        <w:t xml:space="preserve"> </w:t>
      </w:r>
      <w:r w:rsidRPr="00B97ED3">
        <w:rPr>
          <w:rFonts w:ascii="Arial" w:hAnsi="Arial" w:cs="Arial"/>
        </w:rPr>
        <w:t>may</w:t>
      </w:r>
      <w:r w:rsidR="007B7640" w:rsidRPr="00B97ED3">
        <w:rPr>
          <w:rFonts w:ascii="Arial" w:hAnsi="Arial" w:cs="Arial"/>
        </w:rPr>
        <w:t xml:space="preserve"> </w:t>
      </w:r>
      <w:r w:rsidRPr="00B97ED3">
        <w:rPr>
          <w:rFonts w:ascii="Arial" w:hAnsi="Arial" w:cs="Arial"/>
        </w:rPr>
        <w:t>–</w:t>
      </w:r>
      <w:r w:rsidR="007B7640" w:rsidRPr="00B97ED3">
        <w:rPr>
          <w:rFonts w:ascii="Arial" w:hAnsi="Arial" w:cs="Arial"/>
        </w:rPr>
        <w:t xml:space="preserve"> </w:t>
      </w:r>
      <w:r w:rsidRPr="00B97ED3">
        <w:rPr>
          <w:rFonts w:ascii="Arial" w:hAnsi="Arial" w:cs="Arial"/>
        </w:rPr>
        <w:t>on</w:t>
      </w:r>
      <w:r w:rsidR="007B7640" w:rsidRPr="00B97ED3">
        <w:rPr>
          <w:rFonts w:ascii="Arial" w:hAnsi="Arial" w:cs="Arial"/>
        </w:rPr>
        <w:t xml:space="preserve"> </w:t>
      </w:r>
      <w:r w:rsidRPr="00B97ED3">
        <w:rPr>
          <w:rFonts w:ascii="Arial" w:hAnsi="Arial" w:cs="Arial"/>
        </w:rPr>
        <w:t>the</w:t>
      </w:r>
      <w:r w:rsidR="007B7640" w:rsidRPr="00B97ED3">
        <w:rPr>
          <w:rFonts w:ascii="Arial" w:hAnsi="Arial" w:cs="Arial"/>
        </w:rPr>
        <w:t xml:space="preserve"> </w:t>
      </w:r>
      <w:r w:rsidRPr="00B97ED3">
        <w:rPr>
          <w:rFonts w:ascii="Arial" w:hAnsi="Arial" w:cs="Arial"/>
        </w:rPr>
        <w:t>basis</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autonomy-tests</w:t>
      </w:r>
      <w:r w:rsidR="007B7640" w:rsidRPr="00B97ED3">
        <w:rPr>
          <w:rFonts w:ascii="Arial" w:hAnsi="Arial" w:cs="Arial"/>
        </w:rPr>
        <w:t xml:space="preserve"> </w:t>
      </w:r>
      <w:r w:rsidRPr="00B97ED3">
        <w:rPr>
          <w:rFonts w:ascii="Arial" w:hAnsi="Arial" w:cs="Arial"/>
        </w:rPr>
        <w:t>–</w:t>
      </w:r>
      <w:r w:rsidR="007B7640" w:rsidRPr="00B97ED3">
        <w:rPr>
          <w:rFonts w:ascii="Arial" w:hAnsi="Arial" w:cs="Arial"/>
        </w:rPr>
        <w:t xml:space="preserve"> </w:t>
      </w:r>
      <w:r w:rsidRPr="00B97ED3">
        <w:rPr>
          <w:rFonts w:ascii="Arial" w:hAnsi="Arial" w:cs="Arial"/>
        </w:rPr>
        <w:t>be</w:t>
      </w:r>
      <w:r w:rsidR="007B7640" w:rsidRPr="00B97ED3">
        <w:rPr>
          <w:rFonts w:ascii="Arial" w:hAnsi="Arial" w:cs="Arial"/>
        </w:rPr>
        <w:t xml:space="preserve"> </w:t>
      </w:r>
      <w:r w:rsidRPr="00B97ED3">
        <w:rPr>
          <w:rFonts w:ascii="Arial" w:hAnsi="Arial" w:cs="Arial"/>
        </w:rPr>
        <w:t>qualified</w:t>
      </w:r>
      <w:r w:rsidR="007B7640" w:rsidRPr="00B97ED3">
        <w:rPr>
          <w:rFonts w:ascii="Arial" w:hAnsi="Arial" w:cs="Arial"/>
        </w:rPr>
        <w:t xml:space="preserve"> </w:t>
      </w:r>
      <w:r w:rsidRPr="00B97ED3">
        <w:rPr>
          <w:rFonts w:ascii="Arial" w:hAnsi="Arial" w:cs="Arial"/>
        </w:rPr>
        <w:t>as</w:t>
      </w:r>
      <w:r w:rsidR="007B7640" w:rsidRPr="00B97ED3">
        <w:rPr>
          <w:rFonts w:ascii="Arial" w:hAnsi="Arial" w:cs="Arial"/>
        </w:rPr>
        <w:t xml:space="preserve"> </w:t>
      </w:r>
      <w:r w:rsidRPr="00B97ED3">
        <w:rPr>
          <w:rFonts w:ascii="Arial" w:hAnsi="Arial" w:cs="Arial"/>
        </w:rPr>
        <w:t>severe</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medium-severe,</w:t>
      </w:r>
      <w:r w:rsidR="007B7640" w:rsidRPr="00B97ED3">
        <w:rPr>
          <w:rFonts w:ascii="Arial" w:hAnsi="Arial" w:cs="Arial"/>
        </w:rPr>
        <w:t xml:space="preserve"> </w:t>
      </w:r>
      <w:r w:rsidRPr="00B97ED3">
        <w:rPr>
          <w:rFonts w:ascii="Arial" w:hAnsi="Arial" w:cs="Arial"/>
        </w:rPr>
        <w:t>as</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result</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disorder</w:t>
      </w:r>
      <w:r w:rsidR="007B7640" w:rsidRPr="00B97ED3">
        <w:rPr>
          <w:rFonts w:ascii="Arial" w:hAnsi="Arial" w:cs="Arial"/>
        </w:rPr>
        <w:t xml:space="preserve"> </w:t>
      </w:r>
      <w:r w:rsidRPr="00B97ED3">
        <w:rPr>
          <w:rFonts w:ascii="Arial" w:hAnsi="Arial" w:cs="Arial"/>
        </w:rPr>
        <w:t>in</w:t>
      </w:r>
      <w:r w:rsidR="007B7640" w:rsidRPr="00B97ED3">
        <w:rPr>
          <w:rFonts w:ascii="Arial" w:hAnsi="Arial" w:cs="Arial"/>
        </w:rPr>
        <w:t xml:space="preserve"> </w:t>
      </w:r>
      <w:r w:rsidRPr="00B97ED3">
        <w:rPr>
          <w:rFonts w:ascii="Arial" w:hAnsi="Arial" w:cs="Arial"/>
        </w:rPr>
        <w:t>personality</w:t>
      </w:r>
      <w:r w:rsidR="007B7640" w:rsidRPr="00B97ED3">
        <w:rPr>
          <w:rFonts w:ascii="Arial" w:hAnsi="Arial" w:cs="Arial"/>
        </w:rPr>
        <w:t xml:space="preserve"> </w:t>
      </w:r>
      <w:r w:rsidRPr="00B97ED3">
        <w:rPr>
          <w:rFonts w:ascii="Arial" w:hAnsi="Arial" w:cs="Arial"/>
        </w:rPr>
        <w:t>formation</w:t>
      </w:r>
      <w:r w:rsidR="007B7640" w:rsidRPr="00B97ED3">
        <w:rPr>
          <w:rFonts w:ascii="Arial" w:hAnsi="Arial" w:cs="Arial"/>
        </w:rPr>
        <w:t xml:space="preserve"> </w:t>
      </w:r>
      <w:r w:rsidRPr="00B97ED3">
        <w:rPr>
          <w:rFonts w:ascii="Arial" w:hAnsi="Arial" w:cs="Arial"/>
        </w:rPr>
        <w:t>[autism],</w:t>
      </w:r>
      <w:r w:rsidR="007B7640" w:rsidRPr="00B97ED3">
        <w:rPr>
          <w:rFonts w:ascii="Arial" w:hAnsi="Arial" w:cs="Arial"/>
        </w:rPr>
        <w:t xml:space="preserve"> </w:t>
      </w:r>
    </w:p>
    <w:p w14:paraId="4339814D" w14:textId="77777777" w:rsidR="00956635" w:rsidRPr="00B97ED3" w:rsidRDefault="00956635" w:rsidP="00BB4E9F">
      <w:pPr>
        <w:numPr>
          <w:ilvl w:val="0"/>
          <w:numId w:val="40"/>
        </w:numPr>
        <w:tabs>
          <w:tab w:val="left" w:pos="1134"/>
        </w:tabs>
        <w:ind w:left="1134" w:hanging="567"/>
        <w:rPr>
          <w:rFonts w:ascii="Arial" w:hAnsi="Arial" w:cs="Arial"/>
        </w:rPr>
      </w:pPr>
      <w:r w:rsidRPr="00B97ED3">
        <w:rPr>
          <w:rFonts w:ascii="Arial" w:hAnsi="Arial" w:cs="Arial"/>
        </w:rPr>
        <w:t>who,</w:t>
      </w:r>
      <w:r w:rsidR="007B7640" w:rsidRPr="00B97ED3">
        <w:rPr>
          <w:rFonts w:ascii="Arial" w:hAnsi="Arial" w:cs="Arial"/>
        </w:rPr>
        <w:t xml:space="preserve"> </w:t>
      </w:r>
      <w:r w:rsidRPr="00B97ED3">
        <w:rPr>
          <w:rFonts w:ascii="Arial" w:hAnsi="Arial" w:cs="Arial"/>
        </w:rPr>
        <w:t>due</w:t>
      </w:r>
      <w:r w:rsidR="007B7640" w:rsidRPr="00B97ED3">
        <w:rPr>
          <w:rFonts w:ascii="Arial" w:hAnsi="Arial" w:cs="Arial"/>
        </w:rPr>
        <w:t xml:space="preserve"> </w:t>
      </w:r>
      <w:r w:rsidRPr="00B97ED3">
        <w:rPr>
          <w:rFonts w:ascii="Arial" w:hAnsi="Arial" w:cs="Arial"/>
        </w:rPr>
        <w:t>to</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damage</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functional</w:t>
      </w:r>
      <w:r w:rsidR="007B7640" w:rsidRPr="00B97ED3">
        <w:rPr>
          <w:rFonts w:ascii="Arial" w:hAnsi="Arial" w:cs="Arial"/>
        </w:rPr>
        <w:t xml:space="preserve"> </w:t>
      </w:r>
      <w:r w:rsidRPr="00B97ED3">
        <w:rPr>
          <w:rFonts w:ascii="Arial" w:hAnsi="Arial" w:cs="Arial"/>
        </w:rPr>
        <w:t>disorder</w:t>
      </w:r>
      <w:r w:rsidR="007B7640" w:rsidRPr="00B97ED3">
        <w:rPr>
          <w:rFonts w:ascii="Arial" w:hAnsi="Arial" w:cs="Arial"/>
        </w:rPr>
        <w:t xml:space="preserve"> </w:t>
      </w:r>
      <w:r w:rsidRPr="00B97ED3">
        <w:rPr>
          <w:rFonts w:ascii="Arial" w:hAnsi="Arial" w:cs="Arial"/>
        </w:rPr>
        <w:t>in</w:t>
      </w:r>
      <w:r w:rsidR="007B7640" w:rsidRPr="00B97ED3">
        <w:rPr>
          <w:rFonts w:ascii="Arial" w:hAnsi="Arial" w:cs="Arial"/>
        </w:rPr>
        <w:t xml:space="preserve"> </w:t>
      </w:r>
      <w:r w:rsidRPr="00B97ED3">
        <w:rPr>
          <w:rFonts w:ascii="Arial" w:hAnsi="Arial" w:cs="Arial"/>
        </w:rPr>
        <w:t>his/her</w:t>
      </w:r>
      <w:r w:rsidR="007B7640" w:rsidRPr="00B97ED3">
        <w:rPr>
          <w:rFonts w:ascii="Arial" w:hAnsi="Arial" w:cs="Arial"/>
        </w:rPr>
        <w:t xml:space="preserve"> </w:t>
      </w:r>
      <w:r w:rsidRPr="00B97ED3">
        <w:rPr>
          <w:rFonts w:ascii="Arial" w:hAnsi="Arial" w:cs="Arial"/>
        </w:rPr>
        <w:t>locomotive</w:t>
      </w:r>
      <w:r w:rsidR="007B7640" w:rsidRPr="00B97ED3">
        <w:rPr>
          <w:rFonts w:ascii="Arial" w:hAnsi="Arial" w:cs="Arial"/>
        </w:rPr>
        <w:t xml:space="preserve"> </w:t>
      </w:r>
      <w:r w:rsidRPr="00B97ED3">
        <w:rPr>
          <w:rFonts w:ascii="Arial" w:hAnsi="Arial" w:cs="Arial"/>
        </w:rPr>
        <w:t>system,</w:t>
      </w:r>
      <w:r w:rsidR="007B7640" w:rsidRPr="00B97ED3">
        <w:rPr>
          <w:rFonts w:ascii="Arial" w:hAnsi="Arial" w:cs="Arial"/>
        </w:rPr>
        <w:t xml:space="preserve"> </w:t>
      </w:r>
      <w:r w:rsidRPr="00B97ED3">
        <w:rPr>
          <w:rFonts w:ascii="Arial" w:hAnsi="Arial" w:cs="Arial"/>
        </w:rPr>
        <w:t>is</w:t>
      </w:r>
      <w:r w:rsidR="007B7640" w:rsidRPr="00B97ED3">
        <w:rPr>
          <w:rFonts w:ascii="Arial" w:hAnsi="Arial" w:cs="Arial"/>
        </w:rPr>
        <w:t xml:space="preserve"> </w:t>
      </w:r>
      <w:r w:rsidRPr="00B97ED3">
        <w:rPr>
          <w:rFonts w:ascii="Arial" w:hAnsi="Arial" w:cs="Arial"/>
        </w:rPr>
        <w:t>not</w:t>
      </w:r>
      <w:r w:rsidR="007B7640" w:rsidRPr="00B97ED3">
        <w:rPr>
          <w:rFonts w:ascii="Arial" w:hAnsi="Arial" w:cs="Arial"/>
        </w:rPr>
        <w:t xml:space="preserve"> </w:t>
      </w:r>
      <w:r w:rsidRPr="00B97ED3">
        <w:rPr>
          <w:rFonts w:ascii="Arial" w:hAnsi="Arial" w:cs="Arial"/>
        </w:rPr>
        <w:t>capable</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changing</w:t>
      </w:r>
      <w:r w:rsidR="007B7640" w:rsidRPr="00B97ED3">
        <w:rPr>
          <w:rFonts w:ascii="Arial" w:hAnsi="Arial" w:cs="Arial"/>
        </w:rPr>
        <w:t xml:space="preserve"> </w:t>
      </w:r>
      <w:r w:rsidRPr="00B97ED3">
        <w:rPr>
          <w:rFonts w:ascii="Arial" w:hAnsi="Arial" w:cs="Arial"/>
        </w:rPr>
        <w:t>place</w:t>
      </w:r>
      <w:r w:rsidR="007B7640" w:rsidRPr="00B97ED3">
        <w:rPr>
          <w:rFonts w:ascii="Arial" w:hAnsi="Arial" w:cs="Arial"/>
        </w:rPr>
        <w:t xml:space="preserve"> </w:t>
      </w:r>
      <w:r w:rsidRPr="00B97ED3">
        <w:rPr>
          <w:rFonts w:ascii="Arial" w:hAnsi="Arial" w:cs="Arial"/>
        </w:rPr>
        <w:t>without</w:t>
      </w:r>
      <w:r w:rsidR="007B7640" w:rsidRPr="00B97ED3">
        <w:rPr>
          <w:rFonts w:ascii="Arial" w:hAnsi="Arial" w:cs="Arial"/>
        </w:rPr>
        <w:t xml:space="preserve"> </w:t>
      </w:r>
      <w:r w:rsidRPr="00B97ED3">
        <w:rPr>
          <w:rFonts w:ascii="Arial" w:hAnsi="Arial" w:cs="Arial"/>
        </w:rPr>
        <w:t>the</w:t>
      </w:r>
      <w:r w:rsidR="007B7640" w:rsidRPr="00B97ED3">
        <w:rPr>
          <w:rFonts w:ascii="Arial" w:hAnsi="Arial" w:cs="Arial"/>
        </w:rPr>
        <w:t xml:space="preserve"> </w:t>
      </w:r>
      <w:r w:rsidRPr="00B97ED3">
        <w:rPr>
          <w:rFonts w:ascii="Arial" w:hAnsi="Arial" w:cs="Arial"/>
        </w:rPr>
        <w:t>constant</w:t>
      </w:r>
      <w:r w:rsidR="007B7640" w:rsidRPr="00B97ED3">
        <w:rPr>
          <w:rFonts w:ascii="Arial" w:hAnsi="Arial" w:cs="Arial"/>
        </w:rPr>
        <w:t xml:space="preserve"> </w:t>
      </w:r>
      <w:r w:rsidRPr="00B97ED3">
        <w:rPr>
          <w:rFonts w:ascii="Arial" w:hAnsi="Arial" w:cs="Arial"/>
        </w:rPr>
        <w:t>and</w:t>
      </w:r>
      <w:r w:rsidR="007B7640" w:rsidRPr="00B97ED3">
        <w:rPr>
          <w:rFonts w:ascii="Arial" w:hAnsi="Arial" w:cs="Arial"/>
        </w:rPr>
        <w:t xml:space="preserve"> </w:t>
      </w:r>
      <w:r w:rsidRPr="00B97ED3">
        <w:rPr>
          <w:rFonts w:ascii="Arial" w:hAnsi="Arial" w:cs="Arial"/>
        </w:rPr>
        <w:t>necessary</w:t>
      </w:r>
      <w:r w:rsidR="007B7640" w:rsidRPr="00B97ED3">
        <w:rPr>
          <w:rFonts w:ascii="Arial" w:hAnsi="Arial" w:cs="Arial"/>
        </w:rPr>
        <w:t xml:space="preserve"> </w:t>
      </w:r>
      <w:r w:rsidRPr="00B97ED3">
        <w:rPr>
          <w:rFonts w:ascii="Arial" w:hAnsi="Arial" w:cs="Arial"/>
        </w:rPr>
        <w:t>use</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medical</w:t>
      </w:r>
      <w:r w:rsidR="007B7640" w:rsidRPr="00B97ED3">
        <w:rPr>
          <w:rFonts w:ascii="Arial" w:hAnsi="Arial" w:cs="Arial"/>
        </w:rPr>
        <w:t xml:space="preserve"> </w:t>
      </w:r>
      <w:r w:rsidRPr="00B97ED3">
        <w:rPr>
          <w:rFonts w:ascii="Arial" w:hAnsi="Arial" w:cs="Arial"/>
        </w:rPr>
        <w:t>aid</w:t>
      </w:r>
      <w:r w:rsidR="007B7640" w:rsidRPr="00B97ED3">
        <w:rPr>
          <w:rFonts w:ascii="Arial" w:hAnsi="Arial" w:cs="Arial"/>
        </w:rPr>
        <w:t xml:space="preserve"> </w:t>
      </w:r>
      <w:r w:rsidRPr="00B97ED3">
        <w:rPr>
          <w:rFonts w:ascii="Arial" w:hAnsi="Arial" w:cs="Arial"/>
        </w:rPr>
        <w:t>device</w:t>
      </w:r>
      <w:r w:rsidR="007B7640" w:rsidRPr="00B97ED3">
        <w:rPr>
          <w:rFonts w:ascii="Arial" w:hAnsi="Arial" w:cs="Arial"/>
        </w:rPr>
        <w:t xml:space="preserve"> </w:t>
      </w:r>
      <w:r w:rsidRPr="00B97ED3">
        <w:rPr>
          <w:rFonts w:ascii="Arial" w:hAnsi="Arial" w:cs="Arial"/>
        </w:rPr>
        <w:t>determined</w:t>
      </w:r>
      <w:r w:rsidR="007B7640" w:rsidRPr="00B97ED3">
        <w:rPr>
          <w:rFonts w:ascii="Arial" w:hAnsi="Arial" w:cs="Arial"/>
        </w:rPr>
        <w:t xml:space="preserve"> </w:t>
      </w:r>
      <w:r w:rsidRPr="00B97ED3">
        <w:rPr>
          <w:rFonts w:ascii="Arial" w:hAnsi="Arial" w:cs="Arial"/>
        </w:rPr>
        <w:t>in</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separate</w:t>
      </w:r>
      <w:r w:rsidR="007B7640" w:rsidRPr="00B97ED3">
        <w:rPr>
          <w:rFonts w:ascii="Arial" w:hAnsi="Arial" w:cs="Arial"/>
        </w:rPr>
        <w:t xml:space="preserve"> </w:t>
      </w:r>
      <w:r w:rsidRPr="00B97ED3">
        <w:rPr>
          <w:rFonts w:ascii="Arial" w:hAnsi="Arial" w:cs="Arial"/>
        </w:rPr>
        <w:t>legal</w:t>
      </w:r>
      <w:r w:rsidR="007B7640" w:rsidRPr="00B97ED3">
        <w:rPr>
          <w:rFonts w:ascii="Arial" w:hAnsi="Arial" w:cs="Arial"/>
        </w:rPr>
        <w:t xml:space="preserve"> </w:t>
      </w:r>
      <w:r w:rsidRPr="00B97ED3">
        <w:rPr>
          <w:rFonts w:ascii="Arial" w:hAnsi="Arial" w:cs="Arial"/>
        </w:rPr>
        <w:t>statute,</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whose</w:t>
      </w:r>
      <w:r w:rsidR="007B7640" w:rsidRPr="00B97ED3">
        <w:rPr>
          <w:rFonts w:ascii="Arial" w:hAnsi="Arial" w:cs="Arial"/>
        </w:rPr>
        <w:t xml:space="preserve"> </w:t>
      </w:r>
      <w:r w:rsidRPr="00B97ED3">
        <w:rPr>
          <w:rFonts w:ascii="Arial" w:hAnsi="Arial" w:cs="Arial"/>
        </w:rPr>
        <w:t>condition</w:t>
      </w:r>
      <w:r w:rsidR="007B7640" w:rsidRPr="00B97ED3">
        <w:rPr>
          <w:rFonts w:ascii="Arial" w:hAnsi="Arial" w:cs="Arial"/>
        </w:rPr>
        <w:t xml:space="preserve"> </w:t>
      </w:r>
      <w:r w:rsidRPr="00B97ED3">
        <w:rPr>
          <w:rFonts w:ascii="Arial" w:hAnsi="Arial" w:cs="Arial"/>
        </w:rPr>
        <w:t>may</w:t>
      </w:r>
      <w:r w:rsidR="007B7640" w:rsidRPr="00B97ED3">
        <w:rPr>
          <w:rFonts w:ascii="Arial" w:hAnsi="Arial" w:cs="Arial"/>
        </w:rPr>
        <w:t xml:space="preserve"> </w:t>
      </w:r>
      <w:r w:rsidRPr="00B97ED3">
        <w:rPr>
          <w:rFonts w:ascii="Arial" w:hAnsi="Arial" w:cs="Arial"/>
        </w:rPr>
        <w:t>not</w:t>
      </w:r>
      <w:r w:rsidR="007B7640" w:rsidRPr="00B97ED3">
        <w:rPr>
          <w:rFonts w:ascii="Arial" w:hAnsi="Arial" w:cs="Arial"/>
        </w:rPr>
        <w:t xml:space="preserve"> </w:t>
      </w:r>
      <w:r w:rsidRPr="00B97ED3">
        <w:rPr>
          <w:rFonts w:ascii="Arial" w:hAnsi="Arial" w:cs="Arial"/>
        </w:rPr>
        <w:t>be</w:t>
      </w:r>
      <w:r w:rsidR="007B7640" w:rsidRPr="00B97ED3">
        <w:rPr>
          <w:rFonts w:ascii="Arial" w:hAnsi="Arial" w:cs="Arial"/>
        </w:rPr>
        <w:t xml:space="preserve"> </w:t>
      </w:r>
      <w:r w:rsidRPr="00B97ED3">
        <w:rPr>
          <w:rFonts w:ascii="Arial" w:hAnsi="Arial" w:cs="Arial"/>
        </w:rPr>
        <w:t>influenced</w:t>
      </w:r>
      <w:r w:rsidR="007B7640" w:rsidRPr="00B97ED3">
        <w:rPr>
          <w:rFonts w:ascii="Arial" w:hAnsi="Arial" w:cs="Arial"/>
        </w:rPr>
        <w:t xml:space="preserve"> </w:t>
      </w:r>
      <w:r w:rsidRPr="00B97ED3">
        <w:rPr>
          <w:rFonts w:ascii="Arial" w:hAnsi="Arial" w:cs="Arial"/>
        </w:rPr>
        <w:t>effectively</w:t>
      </w:r>
      <w:r w:rsidR="007B7640" w:rsidRPr="00B97ED3">
        <w:rPr>
          <w:rFonts w:ascii="Arial" w:hAnsi="Arial" w:cs="Arial"/>
        </w:rPr>
        <w:t xml:space="preserve"> </w:t>
      </w:r>
      <w:r w:rsidRPr="00B97ED3">
        <w:rPr>
          <w:rFonts w:ascii="Arial" w:hAnsi="Arial" w:cs="Arial"/>
        </w:rPr>
        <w:t>with</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medical</w:t>
      </w:r>
      <w:r w:rsidR="007B7640" w:rsidRPr="00B97ED3">
        <w:rPr>
          <w:rFonts w:ascii="Arial" w:hAnsi="Arial" w:cs="Arial"/>
        </w:rPr>
        <w:t xml:space="preserve"> </w:t>
      </w:r>
      <w:r w:rsidRPr="00B97ED3">
        <w:rPr>
          <w:rFonts w:ascii="Arial" w:hAnsi="Arial" w:cs="Arial"/>
        </w:rPr>
        <w:t>aid</w:t>
      </w:r>
      <w:r w:rsidR="007B7640" w:rsidRPr="00B97ED3">
        <w:rPr>
          <w:rFonts w:ascii="Arial" w:hAnsi="Arial" w:cs="Arial"/>
        </w:rPr>
        <w:t xml:space="preserve"> </w:t>
      </w:r>
      <w:r w:rsidRPr="00B97ED3">
        <w:rPr>
          <w:rFonts w:ascii="Arial" w:hAnsi="Arial" w:cs="Arial"/>
        </w:rPr>
        <w:t>device</w:t>
      </w:r>
      <w:r w:rsidR="007B7640" w:rsidRPr="00B97ED3">
        <w:rPr>
          <w:rFonts w:ascii="Arial" w:hAnsi="Arial" w:cs="Arial"/>
        </w:rPr>
        <w:t xml:space="preserve"> </w:t>
      </w:r>
      <w:r w:rsidRPr="00B97ED3">
        <w:rPr>
          <w:rFonts w:ascii="Arial" w:hAnsi="Arial" w:cs="Arial"/>
        </w:rPr>
        <w:t>due</w:t>
      </w:r>
      <w:r w:rsidR="007B7640" w:rsidRPr="00B97ED3">
        <w:rPr>
          <w:rFonts w:ascii="Arial" w:hAnsi="Arial" w:cs="Arial"/>
        </w:rPr>
        <w:t xml:space="preserve"> </w:t>
      </w:r>
      <w:r w:rsidRPr="00B97ED3">
        <w:rPr>
          <w:rFonts w:ascii="Arial" w:hAnsi="Arial" w:cs="Arial"/>
        </w:rPr>
        <w:t>to</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locomotive</w:t>
      </w:r>
      <w:r w:rsidR="007B7640" w:rsidRPr="00B97ED3">
        <w:rPr>
          <w:rFonts w:ascii="Arial" w:hAnsi="Arial" w:cs="Arial"/>
        </w:rPr>
        <w:t xml:space="preserve"> </w:t>
      </w:r>
      <w:r w:rsidRPr="00B97ED3">
        <w:rPr>
          <w:rFonts w:ascii="Arial" w:hAnsi="Arial" w:cs="Arial"/>
        </w:rPr>
        <w:t>disorder</w:t>
      </w:r>
      <w:r w:rsidR="007B7640" w:rsidRPr="00B97ED3">
        <w:rPr>
          <w:rFonts w:ascii="Arial" w:hAnsi="Arial" w:cs="Arial"/>
        </w:rPr>
        <w:t xml:space="preserve"> </w:t>
      </w:r>
      <w:r w:rsidRPr="00B97ED3">
        <w:rPr>
          <w:rFonts w:ascii="Arial" w:hAnsi="Arial" w:cs="Arial"/>
        </w:rPr>
        <w:t>defined</w:t>
      </w:r>
      <w:r w:rsidR="007B7640" w:rsidRPr="00B97ED3">
        <w:rPr>
          <w:rFonts w:ascii="Arial" w:hAnsi="Arial" w:cs="Arial"/>
        </w:rPr>
        <w:t xml:space="preserve"> </w:t>
      </w:r>
      <w:r w:rsidRPr="00B97ED3">
        <w:rPr>
          <w:rFonts w:ascii="Arial" w:hAnsi="Arial" w:cs="Arial"/>
        </w:rPr>
        <w:t>in</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separate</w:t>
      </w:r>
      <w:r w:rsidR="007B7640" w:rsidRPr="00B97ED3">
        <w:rPr>
          <w:rFonts w:ascii="Arial" w:hAnsi="Arial" w:cs="Arial"/>
        </w:rPr>
        <w:t xml:space="preserve"> </w:t>
      </w:r>
      <w:r w:rsidRPr="00B97ED3">
        <w:rPr>
          <w:rFonts w:ascii="Arial" w:hAnsi="Arial" w:cs="Arial"/>
        </w:rPr>
        <w:t>legal</w:t>
      </w:r>
      <w:r w:rsidR="007B7640" w:rsidRPr="00B97ED3">
        <w:rPr>
          <w:rFonts w:ascii="Arial" w:hAnsi="Arial" w:cs="Arial"/>
        </w:rPr>
        <w:t xml:space="preserve"> </w:t>
      </w:r>
      <w:r w:rsidRPr="00B97ED3">
        <w:rPr>
          <w:rFonts w:ascii="Arial" w:hAnsi="Arial" w:cs="Arial"/>
        </w:rPr>
        <w:t>statute</w:t>
      </w:r>
      <w:r w:rsidR="007B7640" w:rsidRPr="00B97ED3">
        <w:rPr>
          <w:rFonts w:ascii="Arial" w:hAnsi="Arial" w:cs="Arial"/>
        </w:rPr>
        <w:t xml:space="preserve"> </w:t>
      </w:r>
      <w:r w:rsidRPr="00B97ED3">
        <w:rPr>
          <w:rFonts w:ascii="Arial" w:hAnsi="Arial" w:cs="Arial"/>
        </w:rPr>
        <w:t>(mobility</w:t>
      </w:r>
      <w:r w:rsidR="007B7640" w:rsidRPr="00B97ED3">
        <w:rPr>
          <w:rFonts w:ascii="Arial" w:hAnsi="Arial" w:cs="Arial"/>
        </w:rPr>
        <w:t xml:space="preserve"> </w:t>
      </w:r>
      <w:r w:rsidRPr="00B97ED3">
        <w:rPr>
          <w:rFonts w:ascii="Arial" w:hAnsi="Arial" w:cs="Arial"/>
        </w:rPr>
        <w:t>impairment),</w:t>
      </w:r>
    </w:p>
    <w:p w14:paraId="102231FB" w14:textId="77777777" w:rsidR="00956635" w:rsidRPr="00B97ED3" w:rsidRDefault="00956635" w:rsidP="00BB4E9F">
      <w:pPr>
        <w:numPr>
          <w:ilvl w:val="0"/>
          <w:numId w:val="40"/>
        </w:numPr>
        <w:tabs>
          <w:tab w:val="left" w:pos="1134"/>
        </w:tabs>
        <w:ind w:left="1134" w:hanging="567"/>
        <w:rPr>
          <w:rFonts w:ascii="Arial" w:hAnsi="Arial" w:cs="Arial"/>
        </w:rPr>
      </w:pPr>
      <w:r w:rsidRPr="00B97ED3">
        <w:rPr>
          <w:rFonts w:ascii="Arial" w:hAnsi="Arial" w:cs="Arial"/>
        </w:rPr>
        <w:t>who</w:t>
      </w:r>
      <w:r w:rsidR="007B7640" w:rsidRPr="00B97ED3">
        <w:rPr>
          <w:rFonts w:ascii="Arial" w:hAnsi="Arial" w:cs="Arial"/>
        </w:rPr>
        <w:t xml:space="preserve"> </w:t>
      </w:r>
      <w:r w:rsidRPr="00B97ED3">
        <w:rPr>
          <w:rFonts w:ascii="Arial" w:hAnsi="Arial" w:cs="Arial"/>
        </w:rPr>
        <w:t>suffer</w:t>
      </w:r>
      <w:r w:rsidR="007B7640" w:rsidRPr="00B97ED3">
        <w:rPr>
          <w:rFonts w:ascii="Arial" w:hAnsi="Arial" w:cs="Arial"/>
        </w:rPr>
        <w:t xml:space="preserve"> </w:t>
      </w:r>
      <w:r w:rsidRPr="00B97ED3">
        <w:rPr>
          <w:rFonts w:ascii="Arial" w:hAnsi="Arial" w:cs="Arial"/>
        </w:rPr>
        <w:t>from</w:t>
      </w:r>
      <w:r w:rsidR="007B7640" w:rsidRPr="00B97ED3">
        <w:rPr>
          <w:rFonts w:ascii="Arial" w:hAnsi="Arial" w:cs="Arial"/>
        </w:rPr>
        <w:t xml:space="preserve"> </w:t>
      </w:r>
      <w:r w:rsidRPr="00B97ED3">
        <w:rPr>
          <w:rFonts w:ascii="Arial" w:hAnsi="Arial" w:cs="Arial"/>
        </w:rPr>
        <w:t>at</w:t>
      </w:r>
      <w:r w:rsidR="007B7640" w:rsidRPr="00B97ED3">
        <w:rPr>
          <w:rFonts w:ascii="Arial" w:hAnsi="Arial" w:cs="Arial"/>
        </w:rPr>
        <w:t xml:space="preserve"> </w:t>
      </w:r>
      <w:r w:rsidRPr="00B97ED3">
        <w:rPr>
          <w:rFonts w:ascii="Arial" w:hAnsi="Arial" w:cs="Arial"/>
        </w:rPr>
        <w:t>least</w:t>
      </w:r>
      <w:r w:rsidR="007B7640" w:rsidRPr="00B97ED3">
        <w:rPr>
          <w:rFonts w:ascii="Arial" w:hAnsi="Arial" w:cs="Arial"/>
        </w:rPr>
        <w:t xml:space="preserve"> </w:t>
      </w:r>
      <w:r w:rsidRPr="00B97ED3">
        <w:rPr>
          <w:rFonts w:ascii="Arial" w:hAnsi="Arial" w:cs="Arial"/>
        </w:rPr>
        <w:t>two</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the</w:t>
      </w:r>
      <w:r w:rsidR="007B7640" w:rsidRPr="00B97ED3">
        <w:rPr>
          <w:rFonts w:ascii="Arial" w:hAnsi="Arial" w:cs="Arial"/>
        </w:rPr>
        <w:t xml:space="preserve"> </w:t>
      </w:r>
      <w:r w:rsidRPr="00B97ED3">
        <w:rPr>
          <w:rFonts w:ascii="Arial" w:hAnsi="Arial" w:cs="Arial"/>
        </w:rPr>
        <w:t>disorders</w:t>
      </w:r>
      <w:r w:rsidR="007B7640" w:rsidRPr="00B97ED3">
        <w:rPr>
          <w:rFonts w:ascii="Arial" w:hAnsi="Arial" w:cs="Arial"/>
        </w:rPr>
        <w:t xml:space="preserve"> </w:t>
      </w:r>
      <w:r w:rsidRPr="00B97ED3">
        <w:rPr>
          <w:rFonts w:ascii="Arial" w:hAnsi="Arial" w:cs="Arial"/>
        </w:rPr>
        <w:t>listed</w:t>
      </w:r>
      <w:r w:rsidR="007B7640" w:rsidRPr="00B97ED3">
        <w:rPr>
          <w:rFonts w:ascii="Arial" w:hAnsi="Arial" w:cs="Arial"/>
        </w:rPr>
        <w:t xml:space="preserve"> </w:t>
      </w:r>
      <w:r w:rsidRPr="00B97ED3">
        <w:rPr>
          <w:rFonts w:ascii="Arial" w:hAnsi="Arial" w:cs="Arial"/>
        </w:rPr>
        <w:t>above</w:t>
      </w:r>
      <w:r w:rsidR="007B7640" w:rsidRPr="00B97ED3">
        <w:rPr>
          <w:rFonts w:ascii="Arial" w:hAnsi="Arial" w:cs="Arial"/>
        </w:rPr>
        <w:t xml:space="preserve"> </w:t>
      </w:r>
      <w:r w:rsidRPr="00B97ED3">
        <w:rPr>
          <w:rFonts w:ascii="Arial" w:hAnsi="Arial" w:cs="Arial"/>
        </w:rPr>
        <w:t>from</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to</w:t>
      </w:r>
      <w:r w:rsidR="007B7640" w:rsidRPr="00B97ED3">
        <w:rPr>
          <w:rFonts w:ascii="Arial" w:hAnsi="Arial" w:cs="Arial"/>
        </w:rPr>
        <w:t xml:space="preserve"> </w:t>
      </w:r>
      <w:r w:rsidRPr="00B97ED3">
        <w:rPr>
          <w:rFonts w:ascii="Arial" w:hAnsi="Arial" w:cs="Arial"/>
        </w:rPr>
        <w:t>(e)</w:t>
      </w:r>
      <w:r w:rsidR="007B7640" w:rsidRPr="00B97ED3">
        <w:rPr>
          <w:rFonts w:ascii="Arial" w:hAnsi="Arial" w:cs="Arial"/>
        </w:rPr>
        <w:t xml:space="preserve"> </w:t>
      </w:r>
      <w:r w:rsidRPr="00B97ED3">
        <w:rPr>
          <w:rFonts w:ascii="Arial" w:hAnsi="Arial" w:cs="Arial"/>
        </w:rPr>
        <w:t>(multiple</w:t>
      </w:r>
      <w:r w:rsidR="007B7640" w:rsidRPr="00B97ED3">
        <w:rPr>
          <w:rFonts w:ascii="Arial" w:hAnsi="Arial" w:cs="Arial"/>
        </w:rPr>
        <w:t xml:space="preserve"> </w:t>
      </w:r>
      <w:r w:rsidRPr="00B97ED3">
        <w:rPr>
          <w:rFonts w:ascii="Arial" w:hAnsi="Arial" w:cs="Arial"/>
        </w:rPr>
        <w:t>impairment),</w:t>
      </w:r>
    </w:p>
    <w:p w14:paraId="0AE416D8" w14:textId="1A6EE42B" w:rsidR="009C5349" w:rsidRPr="00B97ED3" w:rsidRDefault="00956635" w:rsidP="00BB4E9F">
      <w:pPr>
        <w:numPr>
          <w:ilvl w:val="0"/>
          <w:numId w:val="40"/>
        </w:numPr>
        <w:tabs>
          <w:tab w:val="left" w:pos="1134"/>
        </w:tabs>
        <w:ind w:left="1134" w:hanging="567"/>
        <w:rPr>
          <w:rFonts w:ascii="Arial" w:hAnsi="Arial" w:cs="Arial"/>
        </w:rPr>
      </w:pPr>
      <w:r w:rsidRPr="00B97ED3">
        <w:rPr>
          <w:rFonts w:ascii="Arial" w:hAnsi="Arial" w:cs="Arial"/>
        </w:rPr>
        <w:t>whose</w:t>
      </w:r>
      <w:r w:rsidR="007B7640" w:rsidRPr="00B97ED3">
        <w:rPr>
          <w:rFonts w:ascii="Arial" w:hAnsi="Arial" w:cs="Arial"/>
        </w:rPr>
        <w:t xml:space="preserve"> </w:t>
      </w:r>
      <w:r w:rsidRPr="00B97ED3">
        <w:rPr>
          <w:rFonts w:ascii="Arial" w:hAnsi="Arial" w:cs="Arial"/>
        </w:rPr>
        <w:t>loss</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hearing</w:t>
      </w:r>
      <w:r w:rsidR="007B7640" w:rsidRPr="00B97ED3">
        <w:rPr>
          <w:rFonts w:ascii="Arial" w:hAnsi="Arial" w:cs="Arial"/>
        </w:rPr>
        <w:t xml:space="preserve"> </w:t>
      </w:r>
      <w:r w:rsidRPr="00B97ED3">
        <w:rPr>
          <w:rFonts w:ascii="Arial" w:hAnsi="Arial" w:cs="Arial"/>
        </w:rPr>
        <w:t>is</w:t>
      </w:r>
      <w:r w:rsidR="007B7640" w:rsidRPr="00B97ED3">
        <w:rPr>
          <w:rFonts w:ascii="Arial" w:hAnsi="Arial" w:cs="Arial"/>
        </w:rPr>
        <w:t xml:space="preserve"> </w:t>
      </w:r>
      <w:r w:rsidRPr="00B97ED3">
        <w:rPr>
          <w:rFonts w:ascii="Arial" w:hAnsi="Arial" w:cs="Arial"/>
        </w:rPr>
        <w:t>so</w:t>
      </w:r>
      <w:r w:rsidR="007B7640" w:rsidRPr="00B97ED3">
        <w:rPr>
          <w:rFonts w:ascii="Arial" w:hAnsi="Arial" w:cs="Arial"/>
        </w:rPr>
        <w:t xml:space="preserve"> </w:t>
      </w:r>
      <w:r w:rsidRPr="00B97ED3">
        <w:rPr>
          <w:rFonts w:ascii="Arial" w:hAnsi="Arial" w:cs="Arial"/>
        </w:rPr>
        <w:t>severe</w:t>
      </w:r>
      <w:r w:rsidR="007B7640" w:rsidRPr="00B97ED3">
        <w:rPr>
          <w:rFonts w:ascii="Arial" w:hAnsi="Arial" w:cs="Arial"/>
        </w:rPr>
        <w:t xml:space="preserve"> </w:t>
      </w:r>
      <w:r w:rsidRPr="00B97ED3">
        <w:rPr>
          <w:rFonts w:ascii="Arial" w:hAnsi="Arial" w:cs="Arial"/>
        </w:rPr>
        <w:t>that</w:t>
      </w:r>
      <w:r w:rsidR="007B7640" w:rsidRPr="00B97ED3">
        <w:rPr>
          <w:rFonts w:ascii="Arial" w:hAnsi="Arial" w:cs="Arial"/>
        </w:rPr>
        <w:t xml:space="preserve"> </w:t>
      </w:r>
      <w:r w:rsidRPr="00B97ED3">
        <w:rPr>
          <w:rFonts w:ascii="Arial" w:hAnsi="Arial" w:cs="Arial"/>
        </w:rPr>
        <w:t>they</w:t>
      </w:r>
      <w:r w:rsidR="007B7640" w:rsidRPr="00B97ED3">
        <w:rPr>
          <w:rFonts w:ascii="Arial" w:hAnsi="Arial" w:cs="Arial"/>
        </w:rPr>
        <w:t xml:space="preserve"> </w:t>
      </w:r>
      <w:r w:rsidRPr="00B97ED3">
        <w:rPr>
          <w:rFonts w:ascii="Arial" w:hAnsi="Arial" w:cs="Arial"/>
        </w:rPr>
        <w:t>are</w:t>
      </w:r>
      <w:r w:rsidR="007B7640" w:rsidRPr="00B97ED3">
        <w:rPr>
          <w:rFonts w:ascii="Arial" w:hAnsi="Arial" w:cs="Arial"/>
        </w:rPr>
        <w:t xml:space="preserve"> </w:t>
      </w:r>
      <w:r w:rsidRPr="00B97ED3">
        <w:rPr>
          <w:rFonts w:ascii="Arial" w:hAnsi="Arial" w:cs="Arial"/>
        </w:rPr>
        <w:t>incapable</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hearing</w:t>
      </w:r>
      <w:r w:rsidR="007B7640" w:rsidRPr="00B97ED3">
        <w:rPr>
          <w:rFonts w:ascii="Arial" w:hAnsi="Arial" w:cs="Arial"/>
        </w:rPr>
        <w:t xml:space="preserve"> </w:t>
      </w:r>
      <w:r w:rsidRPr="00B97ED3">
        <w:rPr>
          <w:rFonts w:ascii="Arial" w:hAnsi="Arial" w:cs="Arial"/>
        </w:rPr>
        <w:t>speech</w:t>
      </w:r>
      <w:r w:rsidR="007B7640" w:rsidRPr="00B97ED3">
        <w:rPr>
          <w:rFonts w:ascii="Arial" w:hAnsi="Arial" w:cs="Arial"/>
        </w:rPr>
        <w:t xml:space="preserve"> </w:t>
      </w:r>
      <w:r w:rsidRPr="00B97ED3">
        <w:rPr>
          <w:rFonts w:ascii="Arial" w:hAnsi="Arial" w:cs="Arial"/>
        </w:rPr>
        <w:t>even</w:t>
      </w:r>
      <w:r w:rsidR="007B7640" w:rsidRPr="00B97ED3">
        <w:rPr>
          <w:rFonts w:ascii="Arial" w:hAnsi="Arial" w:cs="Arial"/>
        </w:rPr>
        <w:t xml:space="preserve"> </w:t>
      </w:r>
      <w:r w:rsidRPr="00B97ED3">
        <w:rPr>
          <w:rFonts w:ascii="Arial" w:hAnsi="Arial" w:cs="Arial"/>
        </w:rPr>
        <w:t>with</w:t>
      </w:r>
      <w:r w:rsidR="007B7640" w:rsidRPr="00B97ED3">
        <w:rPr>
          <w:rFonts w:ascii="Arial" w:hAnsi="Arial" w:cs="Arial"/>
        </w:rPr>
        <w:t xml:space="preserve"> </w:t>
      </w:r>
      <w:r w:rsidRPr="00B97ED3">
        <w:rPr>
          <w:rFonts w:ascii="Arial" w:hAnsi="Arial" w:cs="Arial"/>
        </w:rPr>
        <w:t>hearing</w:t>
      </w:r>
      <w:r w:rsidR="007B7640" w:rsidRPr="00B97ED3">
        <w:rPr>
          <w:rFonts w:ascii="Arial" w:hAnsi="Arial" w:cs="Arial"/>
        </w:rPr>
        <w:t xml:space="preserve"> </w:t>
      </w:r>
      <w:r w:rsidRPr="00B97ED3">
        <w:rPr>
          <w:rFonts w:ascii="Arial" w:hAnsi="Arial" w:cs="Arial"/>
        </w:rPr>
        <w:t>aid,</w:t>
      </w:r>
      <w:r w:rsidR="007B7640" w:rsidRPr="00B97ED3">
        <w:rPr>
          <w:rFonts w:ascii="Arial" w:hAnsi="Arial" w:cs="Arial"/>
        </w:rPr>
        <w:t xml:space="preserve"> </w:t>
      </w:r>
      <w:r w:rsidRPr="00B97ED3">
        <w:rPr>
          <w:rFonts w:ascii="Arial" w:hAnsi="Arial" w:cs="Arial"/>
        </w:rPr>
        <w:t>and</w:t>
      </w:r>
      <w:r w:rsidR="007B7640" w:rsidRPr="00B97ED3">
        <w:rPr>
          <w:rFonts w:ascii="Arial" w:hAnsi="Arial" w:cs="Arial"/>
        </w:rPr>
        <w:t xml:space="preserve"> </w:t>
      </w:r>
      <w:r w:rsidRPr="00B97ED3">
        <w:rPr>
          <w:rFonts w:ascii="Arial" w:hAnsi="Arial" w:cs="Arial"/>
        </w:rPr>
        <w:t>additionally</w:t>
      </w:r>
      <w:r w:rsidR="007B7640" w:rsidRPr="00B97ED3">
        <w:rPr>
          <w:rFonts w:ascii="Arial" w:hAnsi="Arial" w:cs="Arial"/>
        </w:rPr>
        <w:t xml:space="preserve"> </w:t>
      </w:r>
      <w:r w:rsidRPr="00B97ED3">
        <w:rPr>
          <w:rFonts w:ascii="Arial" w:hAnsi="Arial" w:cs="Arial"/>
        </w:rPr>
        <w:t>suffer</w:t>
      </w:r>
      <w:r w:rsidR="007B7640" w:rsidRPr="00B97ED3">
        <w:rPr>
          <w:rFonts w:ascii="Arial" w:hAnsi="Arial" w:cs="Arial"/>
        </w:rPr>
        <w:t xml:space="preserve"> </w:t>
      </w:r>
      <w:r w:rsidRPr="00B97ED3">
        <w:rPr>
          <w:rFonts w:ascii="Arial" w:hAnsi="Arial" w:cs="Arial"/>
        </w:rPr>
        <w:t>from</w:t>
      </w:r>
      <w:r w:rsidR="007B7640" w:rsidRPr="00B97ED3">
        <w:rPr>
          <w:rFonts w:ascii="Arial" w:hAnsi="Arial" w:cs="Arial"/>
        </w:rPr>
        <w:t xml:space="preserve"> </w:t>
      </w:r>
      <w:r w:rsidRPr="00B97ED3">
        <w:rPr>
          <w:rFonts w:ascii="Arial" w:hAnsi="Arial" w:cs="Arial"/>
        </w:rPr>
        <w:t>one</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the</w:t>
      </w:r>
      <w:r w:rsidR="007B7640" w:rsidRPr="00B97ED3">
        <w:rPr>
          <w:rFonts w:ascii="Arial" w:hAnsi="Arial" w:cs="Arial"/>
        </w:rPr>
        <w:t xml:space="preserve"> </w:t>
      </w:r>
      <w:r w:rsidRPr="00B97ED3">
        <w:rPr>
          <w:rFonts w:ascii="Arial" w:hAnsi="Arial" w:cs="Arial"/>
        </w:rPr>
        <w:t>disorders</w:t>
      </w:r>
      <w:r w:rsidR="007B7640" w:rsidRPr="00B97ED3">
        <w:rPr>
          <w:rFonts w:ascii="Arial" w:hAnsi="Arial" w:cs="Arial"/>
        </w:rPr>
        <w:t xml:space="preserve"> </w:t>
      </w:r>
      <w:r w:rsidRPr="00B97ED3">
        <w:rPr>
          <w:rFonts w:ascii="Arial" w:hAnsi="Arial" w:cs="Arial"/>
        </w:rPr>
        <w:t>listed</w:t>
      </w:r>
      <w:r w:rsidR="007B7640" w:rsidRPr="00B97ED3">
        <w:rPr>
          <w:rFonts w:ascii="Arial" w:hAnsi="Arial" w:cs="Arial"/>
        </w:rPr>
        <w:t xml:space="preserve"> </w:t>
      </w:r>
      <w:r w:rsidRPr="00B97ED3">
        <w:rPr>
          <w:rFonts w:ascii="Arial" w:hAnsi="Arial" w:cs="Arial"/>
        </w:rPr>
        <w:t>above</w:t>
      </w:r>
      <w:r w:rsidR="007B7640" w:rsidRPr="00B97ED3">
        <w:rPr>
          <w:rFonts w:ascii="Arial" w:hAnsi="Arial" w:cs="Arial"/>
        </w:rPr>
        <w:t xml:space="preserve"> </w:t>
      </w:r>
      <w:r w:rsidRPr="00B97ED3">
        <w:rPr>
          <w:rFonts w:ascii="Arial" w:hAnsi="Arial" w:cs="Arial"/>
        </w:rPr>
        <w:t>under</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from</w:t>
      </w:r>
      <w:r w:rsidR="007B7640" w:rsidRPr="00B97ED3">
        <w:rPr>
          <w:rFonts w:ascii="Arial" w:hAnsi="Arial" w:cs="Arial"/>
        </w:rPr>
        <w:t xml:space="preserve"> </w:t>
      </w:r>
      <w:r w:rsidRPr="00B97ED3">
        <w:rPr>
          <w:rFonts w:ascii="Arial" w:hAnsi="Arial" w:cs="Arial"/>
        </w:rPr>
        <w:t>c)</w:t>
      </w:r>
      <w:r w:rsidR="007B7640" w:rsidRPr="00B97ED3">
        <w:rPr>
          <w:rFonts w:ascii="Arial" w:hAnsi="Arial" w:cs="Arial"/>
        </w:rPr>
        <w:t xml:space="preserve"> </w:t>
      </w:r>
      <w:r w:rsidRPr="00B97ED3">
        <w:rPr>
          <w:rFonts w:ascii="Arial" w:hAnsi="Arial" w:cs="Arial"/>
        </w:rPr>
        <w:t>to</w:t>
      </w:r>
      <w:r w:rsidR="007B7640" w:rsidRPr="00B97ED3">
        <w:rPr>
          <w:rFonts w:ascii="Arial" w:hAnsi="Arial" w:cs="Arial"/>
        </w:rPr>
        <w:t xml:space="preserve"> </w:t>
      </w:r>
      <w:r w:rsidRPr="00B97ED3">
        <w:rPr>
          <w:rFonts w:ascii="Arial" w:hAnsi="Arial" w:cs="Arial"/>
        </w:rPr>
        <w:t>(e)</w:t>
      </w:r>
      <w:r w:rsidR="007B7640" w:rsidRPr="00B97ED3">
        <w:rPr>
          <w:rFonts w:ascii="Arial" w:hAnsi="Arial" w:cs="Arial"/>
        </w:rPr>
        <w:t xml:space="preserve"> </w:t>
      </w:r>
      <w:r w:rsidRPr="00B97ED3">
        <w:rPr>
          <w:rFonts w:ascii="Arial" w:hAnsi="Arial" w:cs="Arial"/>
        </w:rPr>
        <w:t>(multiple</w:t>
      </w:r>
      <w:r w:rsidR="007B7640" w:rsidRPr="00B97ED3">
        <w:rPr>
          <w:rFonts w:ascii="Arial" w:hAnsi="Arial" w:cs="Arial"/>
        </w:rPr>
        <w:t xml:space="preserve"> </w:t>
      </w:r>
      <w:r w:rsidRPr="00B97ED3">
        <w:rPr>
          <w:rFonts w:ascii="Arial" w:hAnsi="Arial" w:cs="Arial"/>
        </w:rPr>
        <w:t>impairment),provided</w:t>
      </w:r>
      <w:r w:rsidR="007B7640" w:rsidRPr="00B97ED3">
        <w:rPr>
          <w:rFonts w:ascii="Arial" w:hAnsi="Arial" w:cs="Arial"/>
        </w:rPr>
        <w:t xml:space="preserve"> </w:t>
      </w:r>
      <w:r w:rsidRPr="00B97ED3">
        <w:rPr>
          <w:rFonts w:ascii="Arial" w:hAnsi="Arial" w:cs="Arial"/>
        </w:rPr>
        <w:t>in</w:t>
      </w:r>
      <w:r w:rsidR="007B7640" w:rsidRPr="00B97ED3">
        <w:rPr>
          <w:rFonts w:ascii="Arial" w:hAnsi="Arial" w:cs="Arial"/>
        </w:rPr>
        <w:t xml:space="preserve"> </w:t>
      </w:r>
      <w:r w:rsidRPr="00B97ED3">
        <w:rPr>
          <w:rFonts w:ascii="Arial" w:hAnsi="Arial" w:cs="Arial"/>
        </w:rPr>
        <w:t>all</w:t>
      </w:r>
      <w:r w:rsidR="007B7640" w:rsidRPr="00B97ED3">
        <w:rPr>
          <w:rFonts w:ascii="Arial" w:hAnsi="Arial" w:cs="Arial"/>
        </w:rPr>
        <w:t xml:space="preserve"> </w:t>
      </w:r>
      <w:r w:rsidRPr="00B97ED3">
        <w:rPr>
          <w:rFonts w:ascii="Arial" w:hAnsi="Arial" w:cs="Arial"/>
        </w:rPr>
        <w:t>the</w:t>
      </w:r>
      <w:r w:rsidR="007B7640" w:rsidRPr="00B97ED3">
        <w:rPr>
          <w:rFonts w:ascii="Arial" w:hAnsi="Arial" w:cs="Arial"/>
        </w:rPr>
        <w:t xml:space="preserve"> </w:t>
      </w:r>
      <w:r w:rsidRPr="00B97ED3">
        <w:rPr>
          <w:rFonts w:ascii="Arial" w:hAnsi="Arial" w:cs="Arial"/>
        </w:rPr>
        <w:t>above</w:t>
      </w:r>
      <w:r w:rsidR="007B7640" w:rsidRPr="00B97ED3">
        <w:rPr>
          <w:rFonts w:ascii="Arial" w:hAnsi="Arial" w:cs="Arial"/>
        </w:rPr>
        <w:t xml:space="preserve"> </w:t>
      </w:r>
      <w:r w:rsidRPr="00B97ED3">
        <w:rPr>
          <w:rFonts w:ascii="Arial" w:hAnsi="Arial" w:cs="Arial"/>
        </w:rPr>
        <w:t>cases</w:t>
      </w:r>
      <w:r w:rsidR="007B7640" w:rsidRPr="00B97ED3">
        <w:rPr>
          <w:rFonts w:ascii="Arial" w:hAnsi="Arial" w:cs="Arial"/>
        </w:rPr>
        <w:t xml:space="preserve"> </w:t>
      </w:r>
      <w:r w:rsidRPr="00B97ED3">
        <w:rPr>
          <w:rFonts w:ascii="Arial" w:hAnsi="Arial" w:cs="Arial"/>
        </w:rPr>
        <w:t>that</w:t>
      </w:r>
      <w:r w:rsidR="007B7640" w:rsidRPr="00B97ED3">
        <w:rPr>
          <w:rFonts w:ascii="Arial" w:hAnsi="Arial" w:cs="Arial"/>
        </w:rPr>
        <w:t xml:space="preserve"> </w:t>
      </w:r>
      <w:r w:rsidRPr="00B97ED3">
        <w:rPr>
          <w:rFonts w:ascii="Arial" w:hAnsi="Arial" w:cs="Arial"/>
        </w:rPr>
        <w:t>their</w:t>
      </w:r>
      <w:r w:rsidR="007B7640" w:rsidRPr="00B97ED3">
        <w:rPr>
          <w:rFonts w:ascii="Arial" w:hAnsi="Arial" w:cs="Arial"/>
        </w:rPr>
        <w:t xml:space="preserve"> </w:t>
      </w:r>
      <w:r w:rsidRPr="00B97ED3">
        <w:rPr>
          <w:rFonts w:ascii="Arial" w:hAnsi="Arial" w:cs="Arial"/>
        </w:rPr>
        <w:t>condition</w:t>
      </w:r>
      <w:r w:rsidR="007B7640" w:rsidRPr="00B97ED3">
        <w:rPr>
          <w:rFonts w:ascii="Arial" w:hAnsi="Arial" w:cs="Arial"/>
        </w:rPr>
        <w:t xml:space="preserve"> </w:t>
      </w:r>
      <w:r w:rsidRPr="00B97ED3">
        <w:rPr>
          <w:rFonts w:ascii="Arial" w:hAnsi="Arial" w:cs="Arial"/>
        </w:rPr>
        <w:t>continues</w:t>
      </w:r>
      <w:r w:rsidR="007B7640" w:rsidRPr="00B97ED3">
        <w:rPr>
          <w:rFonts w:ascii="Arial" w:hAnsi="Arial" w:cs="Arial"/>
        </w:rPr>
        <w:t xml:space="preserve"> </w:t>
      </w:r>
      <w:r w:rsidRPr="00B97ED3">
        <w:rPr>
          <w:rFonts w:ascii="Arial" w:hAnsi="Arial" w:cs="Arial"/>
        </w:rPr>
        <w:t>to</w:t>
      </w:r>
      <w:r w:rsidR="007B7640" w:rsidRPr="00B97ED3">
        <w:rPr>
          <w:rFonts w:ascii="Arial" w:hAnsi="Arial" w:cs="Arial"/>
        </w:rPr>
        <w:t xml:space="preserve"> </w:t>
      </w:r>
      <w:r w:rsidRPr="00B97ED3">
        <w:rPr>
          <w:rFonts w:ascii="Arial" w:hAnsi="Arial" w:cs="Arial"/>
        </w:rPr>
        <w:t>exist</w:t>
      </w:r>
      <w:r w:rsidR="007B7640" w:rsidRPr="00B97ED3">
        <w:rPr>
          <w:rFonts w:ascii="Arial" w:hAnsi="Arial" w:cs="Arial"/>
        </w:rPr>
        <w:t xml:space="preserve"> </w:t>
      </w:r>
      <w:r w:rsidRPr="00B97ED3">
        <w:rPr>
          <w:rFonts w:ascii="Arial" w:hAnsi="Arial" w:cs="Arial"/>
        </w:rPr>
        <w:t>permanently</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indefinitely,</w:t>
      </w:r>
      <w:r w:rsidR="007B7640" w:rsidRPr="00B97ED3">
        <w:rPr>
          <w:rFonts w:ascii="Arial" w:hAnsi="Arial" w:cs="Arial"/>
        </w:rPr>
        <w:t xml:space="preserve"> </w:t>
      </w:r>
      <w:r w:rsidRPr="00B97ED3">
        <w:rPr>
          <w:rFonts w:ascii="Arial" w:hAnsi="Arial" w:cs="Arial"/>
        </w:rPr>
        <w:t>therefore</w:t>
      </w:r>
      <w:r w:rsidR="007B7640" w:rsidRPr="00B97ED3">
        <w:rPr>
          <w:rFonts w:ascii="Arial" w:hAnsi="Arial" w:cs="Arial"/>
        </w:rPr>
        <w:t xml:space="preserve"> </w:t>
      </w:r>
      <w:r w:rsidRPr="00B97ED3">
        <w:rPr>
          <w:rFonts w:ascii="Arial" w:hAnsi="Arial" w:cs="Arial"/>
        </w:rPr>
        <w:t>they</w:t>
      </w:r>
      <w:r w:rsidR="007B7640" w:rsidRPr="00B97ED3">
        <w:rPr>
          <w:rFonts w:ascii="Arial" w:hAnsi="Arial" w:cs="Arial"/>
        </w:rPr>
        <w:t xml:space="preserve"> </w:t>
      </w:r>
      <w:r w:rsidRPr="00B97ED3">
        <w:rPr>
          <w:rFonts w:ascii="Arial" w:hAnsi="Arial" w:cs="Arial"/>
        </w:rPr>
        <w:t>are</w:t>
      </w:r>
      <w:r w:rsidR="007B7640" w:rsidRPr="00B97ED3">
        <w:rPr>
          <w:rFonts w:ascii="Arial" w:hAnsi="Arial" w:cs="Arial"/>
        </w:rPr>
        <w:t xml:space="preserve"> </w:t>
      </w:r>
      <w:r w:rsidRPr="00B97ED3">
        <w:rPr>
          <w:rFonts w:ascii="Arial" w:hAnsi="Arial" w:cs="Arial"/>
        </w:rPr>
        <w:t>not</w:t>
      </w:r>
      <w:r w:rsidR="007B7640" w:rsidRPr="00B97ED3">
        <w:rPr>
          <w:rFonts w:ascii="Arial" w:hAnsi="Arial" w:cs="Arial"/>
        </w:rPr>
        <w:t xml:space="preserve"> </w:t>
      </w:r>
      <w:r w:rsidRPr="00B97ED3">
        <w:rPr>
          <w:rFonts w:ascii="Arial" w:hAnsi="Arial" w:cs="Arial"/>
        </w:rPr>
        <w:t>capable</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living</w:t>
      </w:r>
      <w:r w:rsidR="007B7640" w:rsidRPr="00B97ED3">
        <w:rPr>
          <w:rFonts w:ascii="Arial" w:hAnsi="Arial" w:cs="Arial"/>
        </w:rPr>
        <w:t xml:space="preserve"> </w:t>
      </w:r>
      <w:r w:rsidRPr="00B97ED3">
        <w:rPr>
          <w:rFonts w:ascii="Arial" w:hAnsi="Arial" w:cs="Arial"/>
        </w:rPr>
        <w:t>independently</w:t>
      </w:r>
      <w:r w:rsidR="007B7640" w:rsidRPr="00B97ED3">
        <w:rPr>
          <w:rFonts w:ascii="Arial" w:hAnsi="Arial" w:cs="Arial"/>
        </w:rPr>
        <w:t xml:space="preserve"> </w:t>
      </w:r>
      <w:r w:rsidRPr="00B97ED3">
        <w:rPr>
          <w:rFonts w:ascii="Arial" w:hAnsi="Arial" w:cs="Arial"/>
        </w:rPr>
        <w:t>in</w:t>
      </w:r>
      <w:r w:rsidR="007B7640" w:rsidRPr="00B97ED3">
        <w:rPr>
          <w:rFonts w:ascii="Arial" w:hAnsi="Arial" w:cs="Arial"/>
        </w:rPr>
        <w:t xml:space="preserve"> </w:t>
      </w:r>
      <w:r w:rsidRPr="00B97ED3">
        <w:rPr>
          <w:rFonts w:ascii="Arial" w:hAnsi="Arial" w:cs="Arial"/>
        </w:rPr>
        <w:t>the</w:t>
      </w:r>
      <w:r w:rsidR="007B7640" w:rsidRPr="00B97ED3">
        <w:rPr>
          <w:rFonts w:ascii="Arial" w:hAnsi="Arial" w:cs="Arial"/>
        </w:rPr>
        <w:t xml:space="preserve"> </w:t>
      </w:r>
      <w:r w:rsidRPr="00B97ED3">
        <w:rPr>
          <w:rFonts w:ascii="Arial" w:hAnsi="Arial" w:cs="Arial"/>
        </w:rPr>
        <w:t>future</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need</w:t>
      </w:r>
      <w:r w:rsidR="007B7640" w:rsidRPr="00B97ED3">
        <w:rPr>
          <w:rFonts w:ascii="Arial" w:hAnsi="Arial" w:cs="Arial"/>
        </w:rPr>
        <w:t xml:space="preserve"> </w:t>
      </w:r>
      <w:r w:rsidRPr="00B97ED3">
        <w:rPr>
          <w:rFonts w:ascii="Arial" w:hAnsi="Arial" w:cs="Arial"/>
        </w:rPr>
        <w:t>permanent</w:t>
      </w:r>
      <w:r w:rsidR="007B7640" w:rsidRPr="00B97ED3">
        <w:rPr>
          <w:rFonts w:ascii="Arial" w:hAnsi="Arial" w:cs="Arial"/>
        </w:rPr>
        <w:t xml:space="preserve"> </w:t>
      </w:r>
      <w:r w:rsidRPr="00B97ED3">
        <w:rPr>
          <w:rFonts w:ascii="Arial" w:hAnsi="Arial" w:cs="Arial"/>
        </w:rPr>
        <w:t>assistance</w:t>
      </w:r>
      <w:r w:rsidR="007B7640" w:rsidRPr="00B97ED3">
        <w:rPr>
          <w:rFonts w:ascii="Arial" w:hAnsi="Arial" w:cs="Arial"/>
        </w:rPr>
        <w:t xml:space="preserve"> </w:t>
      </w:r>
      <w:r w:rsidRPr="00B97ED3">
        <w:rPr>
          <w:rFonts w:ascii="Arial" w:hAnsi="Arial" w:cs="Arial"/>
        </w:rPr>
        <w:t>from</w:t>
      </w:r>
      <w:r w:rsidR="007B7640" w:rsidRPr="00B97ED3">
        <w:rPr>
          <w:rFonts w:ascii="Arial" w:hAnsi="Arial" w:cs="Arial"/>
        </w:rPr>
        <w:t xml:space="preserve"> </w:t>
      </w:r>
      <w:r w:rsidRPr="00B97ED3">
        <w:rPr>
          <w:rFonts w:ascii="Arial" w:hAnsi="Arial" w:cs="Arial"/>
        </w:rPr>
        <w:t>others.</w:t>
      </w:r>
    </w:p>
    <w:p w14:paraId="6B4D19D5" w14:textId="77777777" w:rsidR="00956635" w:rsidRPr="00B97ED3" w:rsidRDefault="009C5349" w:rsidP="007B4138">
      <w:pPr>
        <w:numPr>
          <w:ilvl w:val="0"/>
          <w:numId w:val="40"/>
        </w:numPr>
        <w:tabs>
          <w:tab w:val="left" w:pos="1134"/>
        </w:tabs>
        <w:ind w:left="1134" w:hanging="567"/>
        <w:rPr>
          <w:rFonts w:ascii="Arial" w:hAnsi="Arial" w:cs="Arial"/>
        </w:rPr>
      </w:pPr>
      <w:r w:rsidRPr="00B97ED3">
        <w:rPr>
          <w:rFonts w:ascii="Arial" w:hAnsi="Arial" w:cs="Arial"/>
        </w:rPr>
        <w:lastRenderedPageBreak/>
        <w:t>whose</w:t>
      </w:r>
      <w:r w:rsidR="007B7640" w:rsidRPr="00B97ED3">
        <w:rPr>
          <w:rFonts w:ascii="Arial" w:hAnsi="Arial" w:cs="Arial"/>
        </w:rPr>
        <w:t xml:space="preserve"> </w:t>
      </w:r>
      <w:r w:rsidRPr="00B97ED3">
        <w:rPr>
          <w:rFonts w:ascii="Arial" w:hAnsi="Arial" w:cs="Arial"/>
        </w:rPr>
        <w:t>condition</w:t>
      </w:r>
      <w:r w:rsidR="007B7640" w:rsidRPr="00B97ED3">
        <w:rPr>
          <w:rFonts w:ascii="Arial" w:hAnsi="Arial" w:cs="Arial"/>
        </w:rPr>
        <w:t xml:space="preserve"> </w:t>
      </w:r>
      <w:r w:rsidRPr="00B97ED3">
        <w:rPr>
          <w:rFonts w:ascii="Arial" w:hAnsi="Arial" w:cs="Arial"/>
        </w:rPr>
        <w:t>may</w:t>
      </w:r>
      <w:r w:rsidR="007B7640" w:rsidRPr="00B97ED3">
        <w:rPr>
          <w:rFonts w:ascii="Arial" w:hAnsi="Arial" w:cs="Arial"/>
        </w:rPr>
        <w:t xml:space="preserve"> </w:t>
      </w:r>
      <w:r w:rsidRPr="00B97ED3">
        <w:rPr>
          <w:rFonts w:ascii="Arial" w:hAnsi="Arial" w:cs="Arial"/>
        </w:rPr>
        <w:t>be</w:t>
      </w:r>
      <w:r w:rsidR="007B7640" w:rsidRPr="00B97ED3">
        <w:rPr>
          <w:rFonts w:ascii="Arial" w:hAnsi="Arial" w:cs="Arial"/>
        </w:rPr>
        <w:t xml:space="preserve"> </w:t>
      </w:r>
      <w:r w:rsidRPr="00B97ED3">
        <w:rPr>
          <w:rFonts w:ascii="Arial" w:hAnsi="Arial" w:cs="Arial"/>
        </w:rPr>
        <w:t>qualified</w:t>
      </w:r>
      <w:r w:rsidR="007B7640" w:rsidRPr="00B97ED3">
        <w:rPr>
          <w:rFonts w:ascii="Arial" w:hAnsi="Arial" w:cs="Arial"/>
        </w:rPr>
        <w:t xml:space="preserve"> </w:t>
      </w:r>
      <w:r w:rsidRPr="00B97ED3">
        <w:rPr>
          <w:rFonts w:ascii="Arial" w:hAnsi="Arial" w:cs="Arial"/>
        </w:rPr>
        <w:t>as</w:t>
      </w:r>
      <w:r w:rsidR="007B7640" w:rsidRPr="00B97ED3">
        <w:rPr>
          <w:rFonts w:ascii="Arial" w:hAnsi="Arial" w:cs="Arial"/>
        </w:rPr>
        <w:t xml:space="preserve"> </w:t>
      </w:r>
      <w:r w:rsidRPr="00B97ED3">
        <w:rPr>
          <w:rFonts w:ascii="Arial" w:hAnsi="Arial" w:cs="Arial"/>
        </w:rPr>
        <w:t>severe</w:t>
      </w:r>
      <w:r w:rsidR="007B7640" w:rsidRPr="00B97ED3">
        <w:rPr>
          <w:rFonts w:ascii="Arial" w:hAnsi="Arial" w:cs="Arial"/>
        </w:rPr>
        <w:t xml:space="preserve"> </w:t>
      </w:r>
      <w:r w:rsidRPr="00B97ED3">
        <w:rPr>
          <w:rFonts w:ascii="Arial" w:hAnsi="Arial" w:cs="Arial"/>
        </w:rPr>
        <w:t>or</w:t>
      </w:r>
      <w:r w:rsidR="007B7640" w:rsidRPr="00B97ED3">
        <w:rPr>
          <w:rFonts w:ascii="Arial" w:hAnsi="Arial" w:cs="Arial"/>
        </w:rPr>
        <w:t xml:space="preserve"> </w:t>
      </w:r>
      <w:r w:rsidRPr="00B97ED3">
        <w:rPr>
          <w:rFonts w:ascii="Arial" w:hAnsi="Arial" w:cs="Arial"/>
        </w:rPr>
        <w:t>medium-severe,</w:t>
      </w:r>
      <w:r w:rsidR="007B7640" w:rsidRPr="00B97ED3">
        <w:rPr>
          <w:rFonts w:ascii="Arial" w:hAnsi="Arial" w:cs="Arial"/>
        </w:rPr>
        <w:t xml:space="preserve"> </w:t>
      </w:r>
      <w:r w:rsidRPr="00B97ED3">
        <w:rPr>
          <w:rFonts w:ascii="Arial" w:hAnsi="Arial" w:cs="Arial"/>
        </w:rPr>
        <w:t>as</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result</w:t>
      </w:r>
      <w:r w:rsidR="007B7640" w:rsidRPr="00B97ED3">
        <w:rPr>
          <w:rFonts w:ascii="Arial" w:hAnsi="Arial" w:cs="Arial"/>
        </w:rPr>
        <w:t xml:space="preserve"> </w:t>
      </w:r>
      <w:r w:rsidRPr="00B97ED3">
        <w:rPr>
          <w:rFonts w:ascii="Arial" w:hAnsi="Arial" w:cs="Arial"/>
        </w:rPr>
        <w:t>of</w:t>
      </w:r>
      <w:r w:rsidR="007B7640" w:rsidRPr="00B97ED3">
        <w:rPr>
          <w:rFonts w:ascii="Arial" w:hAnsi="Arial" w:cs="Arial"/>
        </w:rPr>
        <w:t xml:space="preserve"> </w:t>
      </w:r>
      <w:r w:rsidRPr="00B97ED3">
        <w:rPr>
          <w:rFonts w:ascii="Arial" w:hAnsi="Arial" w:cs="Arial"/>
        </w:rPr>
        <w:t>a</w:t>
      </w:r>
      <w:r w:rsidR="007B7640" w:rsidRPr="00B97ED3">
        <w:rPr>
          <w:rFonts w:ascii="Arial" w:hAnsi="Arial" w:cs="Arial"/>
        </w:rPr>
        <w:t xml:space="preserve"> </w:t>
      </w:r>
      <w:r w:rsidRPr="00B97ED3">
        <w:rPr>
          <w:rFonts w:ascii="Arial" w:hAnsi="Arial" w:cs="Arial"/>
        </w:rPr>
        <w:t>chromosome</w:t>
      </w:r>
      <w:r w:rsidR="007B7640" w:rsidRPr="00B97ED3">
        <w:rPr>
          <w:rFonts w:ascii="Arial" w:hAnsi="Arial" w:cs="Arial"/>
        </w:rPr>
        <w:t xml:space="preserve"> </w:t>
      </w:r>
      <w:r w:rsidRPr="00B97ED3">
        <w:rPr>
          <w:rFonts w:ascii="Arial" w:hAnsi="Arial" w:cs="Arial"/>
        </w:rPr>
        <w:t>disorder</w:t>
      </w:r>
      <w:r w:rsidR="007B7640" w:rsidRPr="00B97ED3">
        <w:rPr>
          <w:rFonts w:ascii="Arial" w:hAnsi="Arial" w:cs="Arial"/>
        </w:rPr>
        <w:t xml:space="preserve"> </w:t>
      </w:r>
      <w:r w:rsidRPr="00B97ED3">
        <w:rPr>
          <w:rFonts w:ascii="Arial" w:hAnsi="Arial" w:cs="Arial"/>
        </w:rPr>
        <w:t>[e.g.</w:t>
      </w:r>
      <w:r w:rsidR="007B7640" w:rsidRPr="00B97ED3">
        <w:rPr>
          <w:rFonts w:ascii="Arial" w:hAnsi="Arial" w:cs="Arial"/>
        </w:rPr>
        <w:t xml:space="preserve"> </w:t>
      </w:r>
      <w:r w:rsidRPr="00B97ED3">
        <w:rPr>
          <w:rFonts w:ascii="Arial" w:hAnsi="Arial" w:cs="Arial"/>
        </w:rPr>
        <w:t>Down</w:t>
      </w:r>
      <w:r w:rsidR="007B7640" w:rsidRPr="00B97ED3">
        <w:rPr>
          <w:rFonts w:ascii="Arial" w:hAnsi="Arial" w:cs="Arial"/>
        </w:rPr>
        <w:t xml:space="preserve"> </w:t>
      </w:r>
      <w:r w:rsidRPr="00B97ED3">
        <w:rPr>
          <w:rFonts w:ascii="Arial" w:hAnsi="Arial" w:cs="Arial"/>
        </w:rPr>
        <w:t>syndrome,</w:t>
      </w:r>
      <w:r w:rsidR="007B7640" w:rsidRPr="00B97ED3">
        <w:rPr>
          <w:rFonts w:ascii="Arial" w:hAnsi="Arial" w:cs="Arial"/>
        </w:rPr>
        <w:t xml:space="preserve"> </w:t>
      </w:r>
      <w:r w:rsidRPr="00B97ED3">
        <w:rPr>
          <w:rFonts w:ascii="Arial" w:hAnsi="Arial" w:cs="Arial"/>
        </w:rPr>
        <w:t>Edwards</w:t>
      </w:r>
      <w:r w:rsidR="007B7640" w:rsidRPr="00B97ED3">
        <w:rPr>
          <w:rFonts w:ascii="Arial" w:hAnsi="Arial" w:cs="Arial"/>
        </w:rPr>
        <w:t xml:space="preserve"> </w:t>
      </w:r>
      <w:r w:rsidRPr="00B97ED3">
        <w:rPr>
          <w:rFonts w:ascii="Arial" w:hAnsi="Arial" w:cs="Arial"/>
        </w:rPr>
        <w:t>syndrome,</w:t>
      </w:r>
      <w:r w:rsidR="007B7640" w:rsidRPr="00B97ED3">
        <w:rPr>
          <w:rFonts w:ascii="Arial" w:hAnsi="Arial" w:cs="Arial"/>
        </w:rPr>
        <w:t xml:space="preserve"> </w:t>
      </w:r>
      <w:r w:rsidRPr="00B97ED3">
        <w:rPr>
          <w:rFonts w:ascii="Arial" w:hAnsi="Arial" w:cs="Arial"/>
        </w:rPr>
        <w:t>Williams</w:t>
      </w:r>
      <w:r w:rsidR="007B7640" w:rsidRPr="00B97ED3">
        <w:rPr>
          <w:rFonts w:ascii="Arial" w:hAnsi="Arial" w:cs="Arial"/>
        </w:rPr>
        <w:t xml:space="preserve"> </w:t>
      </w:r>
      <w:r w:rsidRPr="00B97ED3">
        <w:rPr>
          <w:rFonts w:ascii="Arial" w:hAnsi="Arial" w:cs="Arial"/>
        </w:rPr>
        <w:t>syndrome,</w:t>
      </w:r>
      <w:r w:rsidR="007B7640" w:rsidRPr="00B97ED3">
        <w:rPr>
          <w:rFonts w:ascii="Arial" w:hAnsi="Arial" w:cs="Arial"/>
        </w:rPr>
        <w:t xml:space="preserve"> </w:t>
      </w:r>
      <w:r w:rsidRPr="00B97ED3">
        <w:rPr>
          <w:rFonts w:ascii="Arial" w:hAnsi="Arial" w:cs="Arial"/>
        </w:rPr>
        <w:t>Patau</w:t>
      </w:r>
      <w:r w:rsidR="007B7640" w:rsidRPr="00B97ED3">
        <w:rPr>
          <w:rFonts w:ascii="Arial" w:hAnsi="Arial" w:cs="Arial"/>
        </w:rPr>
        <w:t xml:space="preserve"> </w:t>
      </w:r>
      <w:r w:rsidRPr="00B97ED3">
        <w:rPr>
          <w:rFonts w:ascii="Arial" w:hAnsi="Arial" w:cs="Arial"/>
        </w:rPr>
        <w:t>syndrome,</w:t>
      </w:r>
      <w:r w:rsidR="007B7640" w:rsidRPr="00B97ED3">
        <w:rPr>
          <w:rFonts w:ascii="Arial" w:hAnsi="Arial" w:cs="Arial"/>
        </w:rPr>
        <w:t xml:space="preserve"> </w:t>
      </w:r>
      <w:r w:rsidRPr="00B97ED3">
        <w:rPr>
          <w:rFonts w:ascii="Arial" w:hAnsi="Arial" w:cs="Arial"/>
        </w:rPr>
        <w:t>Turner</w:t>
      </w:r>
      <w:r w:rsidR="007B7640" w:rsidRPr="00B97ED3">
        <w:rPr>
          <w:rFonts w:ascii="Arial" w:hAnsi="Arial" w:cs="Arial"/>
        </w:rPr>
        <w:t xml:space="preserve"> </w:t>
      </w:r>
      <w:r w:rsidRPr="00B97ED3">
        <w:rPr>
          <w:rFonts w:ascii="Arial" w:hAnsi="Arial" w:cs="Arial"/>
        </w:rPr>
        <w:t>syndrome].</w:t>
      </w:r>
      <w:r w:rsidR="00956635" w:rsidRPr="00B97ED3">
        <w:rPr>
          <w:rFonts w:ascii="Arial" w:hAnsi="Arial" w:cs="Arial"/>
        </w:rPr>
        <w:t>”</w:t>
      </w:r>
    </w:p>
    <w:p w14:paraId="07E4F785" w14:textId="77777777" w:rsidR="00956635" w:rsidRPr="00CD59CC" w:rsidRDefault="00956635" w:rsidP="00CD59CC">
      <w:pPr>
        <w:rPr>
          <w:rFonts w:ascii="Arial" w:hAnsi="Arial" w:cs="Arial"/>
        </w:rPr>
      </w:pPr>
    </w:p>
    <w:p w14:paraId="75F85599" w14:textId="77777777" w:rsidR="00DA0BFC" w:rsidRPr="00CD59CC" w:rsidRDefault="00DA0BFC" w:rsidP="00CD59CC">
      <w:pPr>
        <w:rPr>
          <w:rFonts w:ascii="Arial" w:hAnsi="Arial" w:cs="Arial"/>
        </w:rPr>
      </w:pPr>
      <w:r w:rsidRPr="00CD59CC">
        <w:rPr>
          <w:rFonts w:ascii="Arial" w:hAnsi="Arial" w:cs="Arial"/>
        </w:rPr>
        <w:t>(This list is closed, which means that persons with other types of impairment, for instance persons with psycho-social disabilities could not quality as "severely disabled" for the purposes of the allowance.)</w:t>
      </w:r>
    </w:p>
    <w:p w14:paraId="52F8B5D5" w14:textId="77777777" w:rsidR="00DA0BFC" w:rsidRPr="00CD59CC" w:rsidRDefault="00DA0BFC" w:rsidP="00CD59CC">
      <w:pPr>
        <w:rPr>
          <w:rFonts w:ascii="Arial" w:hAnsi="Arial" w:cs="Arial"/>
        </w:rPr>
      </w:pPr>
    </w:p>
    <w:p w14:paraId="2A6491E9" w14:textId="77777777" w:rsidR="00956635" w:rsidRPr="00CD59CC" w:rsidRDefault="00956635" w:rsidP="00CD59CC">
      <w:pPr>
        <w:rPr>
          <w:rFonts w:ascii="Arial" w:hAnsi="Arial" w:cs="Arial"/>
        </w:rPr>
      </w:pPr>
      <w:r w:rsidRPr="00CD59CC">
        <w:rPr>
          <w:rFonts w:ascii="Arial" w:hAnsi="Arial" w:cs="Arial"/>
        </w:rPr>
        <w:t>These</w:t>
      </w:r>
      <w:r w:rsidR="007B7640" w:rsidRPr="00CD59CC">
        <w:rPr>
          <w:rFonts w:ascii="Arial" w:hAnsi="Arial" w:cs="Arial"/>
        </w:rPr>
        <w:t xml:space="preserve"> </w:t>
      </w:r>
      <w:r w:rsidRPr="00CD59CC">
        <w:rPr>
          <w:rFonts w:ascii="Arial" w:hAnsi="Arial" w:cs="Arial"/>
        </w:rPr>
        <w:t>definitions</w:t>
      </w:r>
      <w:r w:rsidR="007B7640" w:rsidRPr="00CD59CC">
        <w:rPr>
          <w:rFonts w:ascii="Arial" w:hAnsi="Arial" w:cs="Arial"/>
        </w:rPr>
        <w:t xml:space="preserve"> </w:t>
      </w:r>
      <w:r w:rsidRPr="00CD59CC">
        <w:rPr>
          <w:rFonts w:ascii="Arial" w:hAnsi="Arial" w:cs="Arial"/>
        </w:rPr>
        <w:t>(along</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ones</w:t>
      </w:r>
      <w:r w:rsidR="007B7640" w:rsidRPr="00CD59CC">
        <w:rPr>
          <w:rFonts w:ascii="Arial" w:hAnsi="Arial" w:cs="Arial"/>
        </w:rPr>
        <w:t xml:space="preserve"> </w:t>
      </w:r>
      <w:r w:rsidRPr="00CD59CC">
        <w:rPr>
          <w:rFonts w:ascii="Arial" w:hAnsi="Arial" w:cs="Arial"/>
        </w:rPr>
        <w:t>contained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lower</w:t>
      </w:r>
      <w:r w:rsidR="007B7640" w:rsidRPr="00CD59CC">
        <w:rPr>
          <w:rFonts w:ascii="Arial" w:hAnsi="Arial" w:cs="Arial"/>
        </w:rPr>
        <w:t xml:space="preserve"> </w:t>
      </w:r>
      <w:r w:rsidRPr="00CD59CC">
        <w:rPr>
          <w:rFonts w:ascii="Arial" w:hAnsi="Arial" w:cs="Arial"/>
        </w:rPr>
        <w:t>level</w:t>
      </w:r>
      <w:r w:rsidR="007B7640" w:rsidRPr="00CD59CC">
        <w:rPr>
          <w:rFonts w:ascii="Arial" w:hAnsi="Arial" w:cs="Arial"/>
        </w:rPr>
        <w:t xml:space="preserve"> </w:t>
      </w:r>
      <w:r w:rsidRPr="00CD59CC">
        <w:rPr>
          <w:rFonts w:ascii="Arial" w:hAnsi="Arial" w:cs="Arial"/>
        </w:rPr>
        <w:t>norms,</w:t>
      </w:r>
      <w:r w:rsidR="007B7640" w:rsidRPr="00CD59CC">
        <w:rPr>
          <w:rFonts w:ascii="Arial" w:hAnsi="Arial" w:cs="Arial"/>
        </w:rPr>
        <w:t xml:space="preserve"> </w:t>
      </w:r>
      <w:r w:rsidRPr="00CD59CC">
        <w:rPr>
          <w:rFonts w:ascii="Arial" w:hAnsi="Arial" w:cs="Arial"/>
        </w:rPr>
        <w:t>e.g.</w:t>
      </w:r>
      <w:r w:rsidR="007B7640" w:rsidRPr="00CD59CC">
        <w:rPr>
          <w:rFonts w:ascii="Arial" w:hAnsi="Arial" w:cs="Arial"/>
        </w:rPr>
        <w:t xml:space="preserve"> </w:t>
      </w:r>
      <w:r w:rsidRPr="00CD59CC">
        <w:rPr>
          <w:rFonts w:ascii="Arial" w:hAnsi="Arial" w:cs="Arial"/>
        </w:rPr>
        <w:t>Government</w:t>
      </w:r>
      <w:r w:rsidR="007B7640" w:rsidRPr="00CD59CC">
        <w:rPr>
          <w:rFonts w:ascii="Arial" w:hAnsi="Arial" w:cs="Arial"/>
        </w:rPr>
        <w:t xml:space="preserve"> </w:t>
      </w:r>
      <w:r w:rsidRPr="00CD59CC">
        <w:rPr>
          <w:rFonts w:ascii="Arial" w:hAnsi="Arial" w:cs="Arial"/>
        </w:rPr>
        <w:t>Decrees)</w:t>
      </w:r>
      <w:r w:rsidR="007B7640" w:rsidRPr="00CD59CC">
        <w:rPr>
          <w:rFonts w:ascii="Arial" w:hAnsi="Arial" w:cs="Arial"/>
        </w:rPr>
        <w:t xml:space="preserve"> </w:t>
      </w:r>
      <w:r w:rsidRPr="00CD59CC">
        <w:rPr>
          <w:rFonts w:ascii="Arial" w:hAnsi="Arial" w:cs="Arial"/>
        </w:rPr>
        <w:t>could</w:t>
      </w:r>
      <w:r w:rsidR="007B7640" w:rsidRPr="00CD59CC">
        <w:rPr>
          <w:rFonts w:ascii="Arial" w:hAnsi="Arial" w:cs="Arial"/>
        </w:rPr>
        <w:t xml:space="preserve"> </w:t>
      </w:r>
      <w:r w:rsidRPr="00CD59CC">
        <w:rPr>
          <w:rFonts w:ascii="Arial" w:hAnsi="Arial" w:cs="Arial"/>
        </w:rPr>
        <w:t>theoretically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used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applying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practice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find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emerged</w:t>
      </w:r>
      <w:r w:rsidR="007B7640" w:rsidRPr="00CD59CC">
        <w:rPr>
          <w:rFonts w:ascii="Arial" w:hAnsi="Arial" w:cs="Arial"/>
        </w:rPr>
        <w:t xml:space="preserve"> </w:t>
      </w:r>
      <w:r w:rsidRPr="00CD59CC">
        <w:rPr>
          <w:rFonts w:ascii="Arial" w:hAnsi="Arial" w:cs="Arial"/>
        </w:rPr>
        <w:t>yet.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dealt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far,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applicants</w:t>
      </w:r>
      <w:r w:rsidR="007B7640" w:rsidRPr="00CD59CC">
        <w:rPr>
          <w:rFonts w:ascii="Arial" w:hAnsi="Arial" w:cs="Arial"/>
        </w:rPr>
        <w:t xml:space="preserve"> </w:t>
      </w:r>
      <w:r w:rsidRPr="00CD59CC">
        <w:rPr>
          <w:rFonts w:ascii="Arial" w:hAnsi="Arial" w:cs="Arial"/>
        </w:rPr>
        <w:t>could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without</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difficulty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challenged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opposing</w:t>
      </w:r>
      <w:r w:rsidR="007B7640" w:rsidRPr="00CD59CC">
        <w:rPr>
          <w:rFonts w:ascii="Arial" w:hAnsi="Arial" w:cs="Arial"/>
        </w:rPr>
        <w:t xml:space="preserve"> </w:t>
      </w:r>
      <w:r w:rsidRPr="00CD59CC">
        <w:rPr>
          <w:rFonts w:ascii="Arial" w:hAnsi="Arial" w:cs="Arial"/>
        </w:rPr>
        <w:t>party.</w:t>
      </w:r>
    </w:p>
    <w:p w14:paraId="6F3E4FD7" w14:textId="77777777" w:rsidR="00956635" w:rsidRPr="00CD59CC" w:rsidRDefault="00956635" w:rsidP="00BB4E9F">
      <w:pPr>
        <w:pStyle w:val="ListParagraph"/>
        <w:tabs>
          <w:tab w:val="left" w:pos="1134"/>
        </w:tabs>
        <w:ind w:left="1134"/>
        <w:contextualSpacing/>
        <w:rPr>
          <w:rFonts w:ascii="Arial" w:hAnsi="Arial" w:cs="Arial"/>
          <w:i/>
        </w:rPr>
      </w:pPr>
    </w:p>
    <w:p w14:paraId="75A87A66" w14:textId="77777777" w:rsidR="002B5BCD" w:rsidRPr="00CD59CC" w:rsidRDefault="00007A35" w:rsidP="007B4138">
      <w:pPr>
        <w:pStyle w:val="ListParagraph"/>
        <w:numPr>
          <w:ilvl w:val="0"/>
          <w:numId w:val="32"/>
        </w:numPr>
        <w:tabs>
          <w:tab w:val="left" w:pos="1134"/>
        </w:tabs>
        <w:ind w:left="1134" w:hanging="567"/>
        <w:contextualSpacing/>
        <w:rPr>
          <w:rFonts w:ascii="Arial" w:hAnsi="Arial" w:cs="Arial"/>
          <w:i/>
        </w:rPr>
      </w:pPr>
      <w:r w:rsidRPr="00CD59CC">
        <w:rPr>
          <w:rFonts w:ascii="Arial" w:hAnsi="Arial" w:cs="Arial"/>
          <w:i/>
        </w:rPr>
        <w:t>A</w:t>
      </w:r>
      <w:r w:rsidR="002B5BCD" w:rsidRPr="00CD59CC">
        <w:rPr>
          <w:rFonts w:ascii="Arial" w:hAnsi="Arial" w:cs="Arial"/>
          <w:i/>
        </w:rPr>
        <w:t>ge</w:t>
      </w:r>
    </w:p>
    <w:p w14:paraId="5B6C87D9" w14:textId="77777777" w:rsidR="00007A35" w:rsidRPr="00CD59CC" w:rsidRDefault="00007A35" w:rsidP="00BB4E9F">
      <w:pPr>
        <w:pStyle w:val="ListParagraph"/>
        <w:tabs>
          <w:tab w:val="left" w:pos="1134"/>
        </w:tabs>
        <w:ind w:left="1134"/>
        <w:contextualSpacing/>
        <w:rPr>
          <w:rFonts w:ascii="Arial" w:hAnsi="Arial" w:cs="Arial"/>
          <w:i/>
        </w:rPr>
      </w:pPr>
    </w:p>
    <w:p w14:paraId="6DA48624" w14:textId="77777777" w:rsidR="00007A35" w:rsidRPr="00CD59CC" w:rsidRDefault="00007A35" w:rsidP="00CD59CC">
      <w:pPr>
        <w:suppressAutoHyphens/>
        <w:rPr>
          <w:rFonts w:ascii="Arial" w:hAnsi="Arial" w:cs="Arial"/>
        </w:rPr>
      </w:pPr>
      <w:r w:rsidRPr="00CD59CC">
        <w:rPr>
          <w:rFonts w:ascii="Arial" w:hAnsi="Arial" w:cs="Arial"/>
        </w:rPr>
        <w:t>Age</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included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lists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various</w:t>
      </w:r>
      <w:r w:rsidR="007B7640" w:rsidRPr="00CD59CC">
        <w:rPr>
          <w:rFonts w:ascii="Arial" w:hAnsi="Arial" w:cs="Arial"/>
        </w:rPr>
        <w:t xml:space="preserve"> </w:t>
      </w:r>
      <w:r w:rsidRPr="00CD59CC">
        <w:rPr>
          <w:rFonts w:ascii="Arial" w:hAnsi="Arial" w:cs="Arial"/>
        </w:rPr>
        <w:t>non-discrimination</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ever</w:t>
      </w:r>
      <w:r w:rsidR="007B7640" w:rsidRPr="00CD59CC">
        <w:rPr>
          <w:rFonts w:ascii="Arial" w:hAnsi="Arial" w:cs="Arial"/>
        </w:rPr>
        <w:t xml:space="preserve"> </w:t>
      </w:r>
      <w:r w:rsidRPr="00CD59CC">
        <w:rPr>
          <w:rFonts w:ascii="Arial" w:hAnsi="Arial" w:cs="Arial"/>
        </w:rPr>
        <w:t>since</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first</w:t>
      </w:r>
      <w:r w:rsidR="007B7640" w:rsidRPr="00CD59CC">
        <w:rPr>
          <w:rFonts w:ascii="Arial" w:hAnsi="Arial" w:cs="Arial"/>
        </w:rPr>
        <w:t xml:space="preserve"> </w:t>
      </w:r>
      <w:r w:rsidRPr="00CD59CC">
        <w:rPr>
          <w:rFonts w:ascii="Arial" w:hAnsi="Arial" w:cs="Arial"/>
        </w:rPr>
        <w:t>appearance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1991</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first</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Promotion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Employment).</w:t>
      </w:r>
    </w:p>
    <w:p w14:paraId="5BBB0C03" w14:textId="77777777" w:rsidR="00007A35" w:rsidRPr="00CD59CC" w:rsidRDefault="00007A35" w:rsidP="00BB4E9F">
      <w:pPr>
        <w:pStyle w:val="ListParagraph"/>
        <w:tabs>
          <w:tab w:val="left" w:pos="1134"/>
        </w:tabs>
        <w:ind w:left="1134"/>
        <w:contextualSpacing/>
        <w:rPr>
          <w:rFonts w:ascii="Arial" w:hAnsi="Arial" w:cs="Arial"/>
          <w:i/>
        </w:rPr>
      </w:pPr>
    </w:p>
    <w:p w14:paraId="31C8AF86" w14:textId="77777777" w:rsidR="002B5BCD" w:rsidRPr="00CD59CC" w:rsidRDefault="002B5BCD" w:rsidP="007B4138">
      <w:pPr>
        <w:pStyle w:val="ListParagraph"/>
        <w:numPr>
          <w:ilvl w:val="0"/>
          <w:numId w:val="32"/>
        </w:numPr>
        <w:tabs>
          <w:tab w:val="left" w:pos="1134"/>
        </w:tabs>
        <w:ind w:left="1134" w:hanging="567"/>
        <w:contextualSpacing/>
        <w:rPr>
          <w:rFonts w:ascii="Arial" w:hAnsi="Arial" w:cs="Arial"/>
          <w:i/>
        </w:rPr>
      </w:pPr>
      <w:r w:rsidRPr="00CD59CC">
        <w:rPr>
          <w:rFonts w:ascii="Arial" w:hAnsi="Arial" w:cs="Arial"/>
          <w:i/>
        </w:rPr>
        <w:t>sexual</w:t>
      </w:r>
      <w:r w:rsidR="007B7640" w:rsidRPr="00CD59CC">
        <w:rPr>
          <w:rFonts w:ascii="Arial" w:hAnsi="Arial" w:cs="Arial"/>
          <w:i/>
        </w:rPr>
        <w:t xml:space="preserve"> </w:t>
      </w:r>
      <w:r w:rsidRPr="00CD59CC">
        <w:rPr>
          <w:rFonts w:ascii="Arial" w:hAnsi="Arial" w:cs="Arial"/>
          <w:i/>
        </w:rPr>
        <w:t>orientation</w:t>
      </w:r>
      <w:r w:rsidR="007B7640" w:rsidRPr="00CD59CC">
        <w:rPr>
          <w:rFonts w:ascii="Arial" w:hAnsi="Arial" w:cs="Arial"/>
          <w:i/>
        </w:rPr>
        <w:t xml:space="preserve"> </w:t>
      </w:r>
    </w:p>
    <w:p w14:paraId="7B0278C0" w14:textId="77777777" w:rsidR="002B5BCD" w:rsidRPr="00CD59CC" w:rsidRDefault="002B5BCD" w:rsidP="00CD59CC">
      <w:pPr>
        <w:ind w:left="567" w:hanging="567"/>
        <w:rPr>
          <w:rFonts w:ascii="Arial" w:hAnsi="Arial" w:cs="Arial"/>
        </w:rPr>
      </w:pPr>
    </w:p>
    <w:p w14:paraId="28DF4C1F" w14:textId="77777777" w:rsidR="00007A35" w:rsidRPr="00CD59CC" w:rsidRDefault="00007A35" w:rsidP="00CD59CC">
      <w:pPr>
        <w:pStyle w:val="ListParagraph"/>
        <w:tabs>
          <w:tab w:val="left" w:pos="0"/>
        </w:tabs>
        <w:ind w:left="0"/>
        <w:contextualSpacing/>
        <w:rPr>
          <w:rFonts w:ascii="Arial" w:hAnsi="Arial" w:cs="Arial"/>
          <w:i/>
        </w:rPr>
      </w:pPr>
      <w:r w:rsidRPr="00CD59CC">
        <w:rPr>
          <w:rFonts w:ascii="Arial" w:hAnsi="Arial" w:cs="Arial"/>
        </w:rPr>
        <w:t>Before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coming</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force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mentioned</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sectoral</w:t>
      </w:r>
      <w:r w:rsidR="007B7640" w:rsidRPr="00CD59CC">
        <w:rPr>
          <w:rFonts w:ascii="Arial" w:hAnsi="Arial" w:cs="Arial"/>
        </w:rPr>
        <w:t xml:space="preserve"> </w:t>
      </w:r>
      <w:r w:rsidRPr="00CD59CC">
        <w:rPr>
          <w:rFonts w:ascii="Arial" w:hAnsi="Arial" w:cs="Arial"/>
        </w:rPr>
        <w:t>statutes:</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CLIV</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1997</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Healthcare</w:t>
      </w:r>
      <w:r w:rsidR="007B7640" w:rsidRPr="00CD59CC">
        <w:rPr>
          <w:rFonts w:ascii="Arial" w:hAnsi="Arial" w:cs="Arial"/>
        </w:rPr>
        <w:t xml:space="preserve"> </w:t>
      </w:r>
      <w:r w:rsidRPr="00CD59CC">
        <w:rPr>
          <w:rFonts w:ascii="Arial" w:hAnsi="Arial" w:cs="Arial"/>
        </w:rPr>
        <w:t>(hereinafter:</w:t>
      </w:r>
      <w:r w:rsidR="007B7640" w:rsidRPr="00CD59CC">
        <w:rPr>
          <w:rFonts w:ascii="Arial" w:hAnsi="Arial" w:cs="Arial"/>
        </w:rPr>
        <w:t xml:space="preserve"> </w:t>
      </w:r>
      <w:r w:rsidRPr="00CD59CC">
        <w:rPr>
          <w:rFonts w:ascii="Arial" w:hAnsi="Arial" w:cs="Arial"/>
        </w:rPr>
        <w:t>Healthcare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pointed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jurisdiction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consequently</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being</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70/A</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Constitution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expected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XV</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covers</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define</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true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identity</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separate</w:t>
      </w:r>
      <w:r w:rsidR="007B7640" w:rsidRPr="00CD59CC">
        <w:rPr>
          <w:rFonts w:ascii="Arial" w:hAnsi="Arial" w:cs="Arial"/>
        </w:rPr>
        <w:t xml:space="preserve"> </w:t>
      </w:r>
      <w:r w:rsidRPr="00CD59CC">
        <w:rPr>
          <w:rFonts w:ascii="Arial" w:hAnsi="Arial" w:cs="Arial"/>
        </w:rPr>
        <w:t>entry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list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grounds).</w:t>
      </w:r>
    </w:p>
    <w:p w14:paraId="19780A2B" w14:textId="77777777" w:rsidR="00007A35" w:rsidRPr="00CD59CC" w:rsidRDefault="00007A35" w:rsidP="00CD59CC">
      <w:pPr>
        <w:ind w:left="567" w:hanging="567"/>
        <w:rPr>
          <w:rFonts w:ascii="Arial" w:hAnsi="Arial" w:cs="Arial"/>
        </w:rPr>
      </w:pPr>
    </w:p>
    <w:p w14:paraId="2D2AE359" w14:textId="77777777" w:rsidR="002B5BCD" w:rsidRPr="00CD59CC" w:rsidRDefault="002B5BCD" w:rsidP="00CD59CC">
      <w:pPr>
        <w:numPr>
          <w:ilvl w:val="0"/>
          <w:numId w:val="2"/>
        </w:numPr>
        <w:ind w:left="567" w:hanging="567"/>
        <w:rPr>
          <w:rFonts w:ascii="Arial" w:hAnsi="Arial" w:cs="Arial"/>
          <w:i/>
        </w:rPr>
      </w:pPr>
      <w:r w:rsidRPr="00CD59CC">
        <w:rPr>
          <w:rFonts w:ascii="Arial" w:hAnsi="Arial" w:cs="Arial"/>
          <w:i/>
        </w:rPr>
        <w:t>Are</w:t>
      </w:r>
      <w:r w:rsidR="007B7640" w:rsidRPr="00CD59CC">
        <w:rPr>
          <w:rFonts w:ascii="Arial" w:hAnsi="Arial" w:cs="Arial"/>
          <w:i/>
        </w:rPr>
        <w:t xml:space="preserve"> </w:t>
      </w:r>
      <w:r w:rsidRPr="00CD59CC">
        <w:rPr>
          <w:rFonts w:ascii="Arial" w:hAnsi="Arial" w:cs="Arial"/>
          <w:i/>
        </w:rPr>
        <w:t>there</w:t>
      </w:r>
      <w:r w:rsidR="007B7640" w:rsidRPr="00CD59CC">
        <w:rPr>
          <w:rFonts w:ascii="Arial" w:hAnsi="Arial" w:cs="Arial"/>
          <w:i/>
        </w:rPr>
        <w:t xml:space="preserve"> </w:t>
      </w:r>
      <w:r w:rsidRPr="00CD59CC">
        <w:rPr>
          <w:rFonts w:ascii="Arial" w:hAnsi="Arial" w:cs="Arial"/>
          <w:i/>
        </w:rPr>
        <w:t>any</w:t>
      </w:r>
      <w:r w:rsidR="007B7640" w:rsidRPr="00CD59CC">
        <w:rPr>
          <w:rFonts w:ascii="Arial" w:hAnsi="Arial" w:cs="Arial"/>
          <w:i/>
        </w:rPr>
        <w:t xml:space="preserve"> </w:t>
      </w:r>
      <w:r w:rsidRPr="00CD59CC">
        <w:rPr>
          <w:rFonts w:ascii="Arial" w:hAnsi="Arial" w:cs="Arial"/>
          <w:i/>
        </w:rPr>
        <w:t>restrictions</w:t>
      </w:r>
      <w:r w:rsidR="007B7640" w:rsidRPr="00CD59CC">
        <w:rPr>
          <w:rFonts w:ascii="Arial" w:hAnsi="Arial" w:cs="Arial"/>
          <w:i/>
        </w:rPr>
        <w:t xml:space="preserve"> </w:t>
      </w:r>
      <w:r w:rsidRPr="00CD59CC">
        <w:rPr>
          <w:rFonts w:ascii="Arial" w:hAnsi="Arial" w:cs="Arial"/>
          <w:i/>
        </w:rPr>
        <w:t>related</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scope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‘age’</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protected</w:t>
      </w:r>
      <w:r w:rsidR="007B7640" w:rsidRPr="00CD59CC">
        <w:rPr>
          <w:rFonts w:ascii="Arial" w:hAnsi="Arial" w:cs="Arial"/>
          <w:i/>
        </w:rPr>
        <w:t xml:space="preserve"> </w:t>
      </w:r>
      <w:r w:rsidRPr="00CD59CC">
        <w:rPr>
          <w:rFonts w:ascii="Arial" w:hAnsi="Arial" w:cs="Arial"/>
          <w:i/>
        </w:rPr>
        <w:t>ground</w:t>
      </w:r>
      <w:r w:rsidR="007B7640" w:rsidRPr="00CD59CC">
        <w:rPr>
          <w:rFonts w:ascii="Arial" w:hAnsi="Arial" w:cs="Arial"/>
          <w:i/>
        </w:rPr>
        <w:t xml:space="preserve"> </w:t>
      </w:r>
      <w:r w:rsidRPr="00CD59CC">
        <w:rPr>
          <w:rFonts w:ascii="Arial" w:hAnsi="Arial" w:cs="Arial"/>
          <w:i/>
        </w:rPr>
        <w:t>(e.g.</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minimum</w:t>
      </w:r>
      <w:r w:rsidR="007B7640" w:rsidRPr="00CD59CC">
        <w:rPr>
          <w:rFonts w:ascii="Arial" w:hAnsi="Arial" w:cs="Arial"/>
          <w:i/>
        </w:rPr>
        <w:t xml:space="preserve"> </w:t>
      </w:r>
      <w:r w:rsidRPr="00CD59CC">
        <w:rPr>
          <w:rFonts w:ascii="Arial" w:hAnsi="Arial" w:cs="Arial"/>
          <w:i/>
        </w:rPr>
        <w:t>age</w:t>
      </w:r>
      <w:r w:rsidR="007B7640" w:rsidRPr="00CD59CC">
        <w:rPr>
          <w:rFonts w:ascii="Arial" w:hAnsi="Arial" w:cs="Arial"/>
          <w:i/>
        </w:rPr>
        <w:t xml:space="preserve"> </w:t>
      </w:r>
      <w:r w:rsidRPr="00CD59CC">
        <w:rPr>
          <w:rFonts w:ascii="Arial" w:hAnsi="Arial" w:cs="Arial"/>
          <w:i/>
        </w:rPr>
        <w:t>below</w:t>
      </w:r>
      <w:r w:rsidR="007B7640" w:rsidRPr="00CD59CC">
        <w:rPr>
          <w:rFonts w:ascii="Arial" w:hAnsi="Arial" w:cs="Arial"/>
          <w:i/>
        </w:rPr>
        <w:t xml:space="preserve"> </w:t>
      </w:r>
      <w:r w:rsidRPr="00CD59CC">
        <w:rPr>
          <w:rFonts w:ascii="Arial" w:hAnsi="Arial" w:cs="Arial"/>
          <w:i/>
        </w:rPr>
        <w:t>which</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anti-discrimination</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not</w:t>
      </w:r>
      <w:r w:rsidR="007B7640" w:rsidRPr="00CD59CC">
        <w:rPr>
          <w:rFonts w:ascii="Arial" w:hAnsi="Arial" w:cs="Arial"/>
          <w:i/>
        </w:rPr>
        <w:t xml:space="preserve"> </w:t>
      </w:r>
      <w:r w:rsidRPr="00CD59CC">
        <w:rPr>
          <w:rFonts w:ascii="Arial" w:hAnsi="Arial" w:cs="Arial"/>
          <w:i/>
        </w:rPr>
        <w:t>apply)?</w:t>
      </w:r>
    </w:p>
    <w:p w14:paraId="61608AFF" w14:textId="77777777" w:rsidR="002B5BCD" w:rsidRPr="00CD59CC" w:rsidRDefault="002B5BCD" w:rsidP="00CD59CC">
      <w:pPr>
        <w:ind w:left="567" w:hanging="567"/>
        <w:rPr>
          <w:rFonts w:ascii="Arial" w:hAnsi="Arial" w:cs="Arial"/>
        </w:rPr>
      </w:pPr>
    </w:p>
    <w:p w14:paraId="4FC14548" w14:textId="77777777" w:rsidR="00B025B5" w:rsidRPr="00CD59CC" w:rsidRDefault="00B025B5" w:rsidP="00CD59CC">
      <w:pPr>
        <w:ind w:left="567" w:hanging="567"/>
        <w:rPr>
          <w:rFonts w:ascii="Arial" w:hAnsi="Arial" w:cs="Arial"/>
        </w:rPr>
      </w:pPr>
      <w:r w:rsidRPr="00CD59CC">
        <w:rPr>
          <w:rFonts w:ascii="Arial" w:hAnsi="Arial" w:cs="Arial"/>
        </w:rPr>
        <w:t>There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restrictions</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w:t>
      </w:r>
    </w:p>
    <w:p w14:paraId="448BC388" w14:textId="77777777" w:rsidR="00007A35" w:rsidRPr="00CD59CC" w:rsidRDefault="00007A35" w:rsidP="00BB4E9F">
      <w:pPr>
        <w:rPr>
          <w:rFonts w:ascii="Arial" w:hAnsi="Arial" w:cs="Arial"/>
        </w:rPr>
      </w:pPr>
    </w:p>
    <w:p w14:paraId="40D91338" w14:textId="77777777" w:rsidR="002B5BCD" w:rsidRPr="00CD59CC" w:rsidRDefault="00B97ED3" w:rsidP="00CD59CC">
      <w:pPr>
        <w:pStyle w:val="Heading3"/>
        <w:rPr>
          <w:rFonts w:cs="Arial"/>
        </w:rPr>
      </w:pPr>
      <w:r>
        <w:rPr>
          <w:rFonts w:cs="Arial"/>
        </w:rPr>
        <w:br w:type="page"/>
      </w:r>
      <w:bookmarkStart w:id="41" w:name="_Toc392758706"/>
      <w:bookmarkStart w:id="42" w:name="_Toc366846315"/>
      <w:r w:rsidR="002B5BCD" w:rsidRPr="00CD59CC">
        <w:rPr>
          <w:rFonts w:cs="Arial"/>
        </w:rPr>
        <w:lastRenderedPageBreak/>
        <w:t>Multiple</w:t>
      </w:r>
      <w:r w:rsidR="007B7640" w:rsidRPr="00CD59CC">
        <w:rPr>
          <w:rFonts w:cs="Arial"/>
        </w:rPr>
        <w:t xml:space="preserve"> </w:t>
      </w:r>
      <w:r w:rsidR="002B5BCD" w:rsidRPr="00CD59CC">
        <w:rPr>
          <w:rFonts w:cs="Arial"/>
        </w:rPr>
        <w:t>discrimination</w:t>
      </w:r>
      <w:bookmarkEnd w:id="41"/>
      <w:bookmarkEnd w:id="42"/>
    </w:p>
    <w:p w14:paraId="62C32AE0" w14:textId="77777777" w:rsidR="002B5BCD" w:rsidRPr="00CD59CC" w:rsidRDefault="002B5BCD" w:rsidP="00CD59CC">
      <w:pPr>
        <w:tabs>
          <w:tab w:val="left" w:pos="567"/>
        </w:tabs>
        <w:ind w:left="567" w:hanging="567"/>
        <w:rPr>
          <w:rFonts w:ascii="Arial" w:hAnsi="Arial" w:cs="Arial"/>
        </w:rPr>
      </w:pPr>
    </w:p>
    <w:p w14:paraId="7450C3EA" w14:textId="77777777" w:rsidR="002B5BCD" w:rsidRPr="00CD59CC" w:rsidRDefault="002B5BCD" w:rsidP="00CD59CC">
      <w:pPr>
        <w:pStyle w:val="ListParagraph"/>
        <w:numPr>
          <w:ilvl w:val="0"/>
          <w:numId w:val="28"/>
        </w:numPr>
        <w:tabs>
          <w:tab w:val="left" w:pos="567"/>
        </w:tabs>
        <w:ind w:left="567" w:hanging="567"/>
        <w:contextualSpacing/>
        <w:rPr>
          <w:rFonts w:ascii="Arial" w:hAnsi="Arial" w:cs="Arial"/>
          <w:i/>
        </w:rPr>
      </w:pPr>
      <w:r w:rsidRPr="00CD59CC">
        <w:rPr>
          <w:rFonts w:ascii="Arial" w:hAnsi="Arial" w:cs="Arial"/>
          <w:i/>
        </w:rPr>
        <w:t>Please</w:t>
      </w:r>
      <w:r w:rsidR="007B7640" w:rsidRPr="00CD59CC">
        <w:rPr>
          <w:rFonts w:ascii="Arial" w:hAnsi="Arial" w:cs="Arial"/>
          <w:i/>
        </w:rPr>
        <w:t xml:space="preserve"> </w:t>
      </w:r>
      <w:r w:rsidRPr="00CD59CC">
        <w:rPr>
          <w:rFonts w:ascii="Arial" w:hAnsi="Arial" w:cs="Arial"/>
          <w:i/>
        </w:rPr>
        <w:t>describe</w:t>
      </w:r>
      <w:r w:rsidR="007B7640" w:rsidRPr="00CD59CC">
        <w:rPr>
          <w:rFonts w:ascii="Arial" w:hAnsi="Arial" w:cs="Arial"/>
          <w:i/>
        </w:rPr>
        <w:t xml:space="preserve"> </w:t>
      </w:r>
      <w:r w:rsidRPr="00CD59CC">
        <w:rPr>
          <w:rFonts w:ascii="Arial" w:hAnsi="Arial" w:cs="Arial"/>
          <w:i/>
        </w:rPr>
        <w:t>any</w:t>
      </w:r>
      <w:r w:rsidR="007B7640" w:rsidRPr="00CD59CC">
        <w:rPr>
          <w:rFonts w:ascii="Arial" w:hAnsi="Arial" w:cs="Arial"/>
          <w:i/>
        </w:rPr>
        <w:t xml:space="preserve"> </w:t>
      </w:r>
      <w:r w:rsidRPr="00CD59CC">
        <w:rPr>
          <w:rFonts w:ascii="Arial" w:hAnsi="Arial" w:cs="Arial"/>
          <w:i/>
        </w:rPr>
        <w:t>legal</w:t>
      </w:r>
      <w:r w:rsidR="007B7640" w:rsidRPr="00CD59CC">
        <w:rPr>
          <w:rFonts w:ascii="Arial" w:hAnsi="Arial" w:cs="Arial"/>
          <w:i/>
        </w:rPr>
        <w:t xml:space="preserve"> </w:t>
      </w:r>
      <w:r w:rsidRPr="00CD59CC">
        <w:rPr>
          <w:rFonts w:ascii="Arial" w:hAnsi="Arial" w:cs="Arial"/>
          <w:i/>
        </w:rPr>
        <w:t>rules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plans</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adoption</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rules)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case</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its</w:t>
      </w:r>
      <w:r w:rsidR="007B7640" w:rsidRPr="00CD59CC">
        <w:rPr>
          <w:rFonts w:ascii="Arial" w:hAnsi="Arial" w:cs="Arial"/>
          <w:i/>
        </w:rPr>
        <w:t xml:space="preserve"> </w:t>
      </w:r>
      <w:r w:rsidRPr="00CD59CC">
        <w:rPr>
          <w:rFonts w:ascii="Arial" w:hAnsi="Arial" w:cs="Arial"/>
          <w:i/>
        </w:rPr>
        <w:t>outcome)</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field</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anti-discrimination</w:t>
      </w:r>
      <w:r w:rsidR="007B7640" w:rsidRPr="00CD59CC">
        <w:rPr>
          <w:rFonts w:ascii="Arial" w:hAnsi="Arial" w:cs="Arial"/>
          <w:i/>
        </w:rPr>
        <w:t xml:space="preserve"> </w:t>
      </w:r>
      <w:r w:rsidRPr="00CD59CC">
        <w:rPr>
          <w:rFonts w:ascii="Arial" w:hAnsi="Arial" w:cs="Arial"/>
          <w:i/>
        </w:rPr>
        <w:t>which</w:t>
      </w:r>
      <w:r w:rsidR="007B7640" w:rsidRPr="00CD59CC">
        <w:rPr>
          <w:rFonts w:ascii="Arial" w:hAnsi="Arial" w:cs="Arial"/>
          <w:i/>
        </w:rPr>
        <w:t xml:space="preserve"> </w:t>
      </w:r>
      <w:r w:rsidRPr="00CD59CC">
        <w:rPr>
          <w:rFonts w:ascii="Arial" w:hAnsi="Arial" w:cs="Arial"/>
          <w:i/>
        </w:rPr>
        <w:t>deal</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situations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multiple</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This</w:t>
      </w:r>
      <w:r w:rsidR="007B7640" w:rsidRPr="00CD59CC">
        <w:rPr>
          <w:rFonts w:ascii="Arial" w:hAnsi="Arial" w:cs="Arial"/>
          <w:i/>
        </w:rPr>
        <w:t xml:space="preserve"> </w:t>
      </w:r>
      <w:r w:rsidRPr="00CD59CC">
        <w:rPr>
          <w:rFonts w:ascii="Arial" w:hAnsi="Arial" w:cs="Arial"/>
          <w:i/>
        </w:rPr>
        <w:t>includes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way</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equality</w:t>
      </w:r>
      <w:r w:rsidR="007B7640" w:rsidRPr="00CD59CC">
        <w:rPr>
          <w:rFonts w:ascii="Arial" w:hAnsi="Arial" w:cs="Arial"/>
          <w:i/>
        </w:rPr>
        <w:t xml:space="preserve"> </w:t>
      </w:r>
      <w:r w:rsidRPr="00CD59CC">
        <w:rPr>
          <w:rFonts w:ascii="Arial" w:hAnsi="Arial" w:cs="Arial"/>
          <w:i/>
        </w:rPr>
        <w:t>body</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bodies)</w:t>
      </w:r>
      <w:r w:rsidR="007B7640" w:rsidRPr="00CD59CC">
        <w:rPr>
          <w:rFonts w:ascii="Arial" w:hAnsi="Arial" w:cs="Arial"/>
          <w:i/>
        </w:rPr>
        <w:t xml:space="preserve"> </w:t>
      </w:r>
      <w:r w:rsidRPr="00CD59CC">
        <w:rPr>
          <w:rFonts w:ascii="Arial" w:hAnsi="Arial" w:cs="Arial"/>
          <w:i/>
        </w:rPr>
        <w:t>are</w:t>
      </w:r>
      <w:r w:rsidR="007B7640" w:rsidRPr="00CD59CC">
        <w:rPr>
          <w:rFonts w:ascii="Arial" w:hAnsi="Arial" w:cs="Arial"/>
          <w:i/>
        </w:rPr>
        <w:t xml:space="preserve"> </w:t>
      </w:r>
      <w:r w:rsidRPr="00CD59CC">
        <w:rPr>
          <w:rFonts w:ascii="Arial" w:hAnsi="Arial" w:cs="Arial"/>
          <w:i/>
        </w:rPr>
        <w:t>tackling</w:t>
      </w:r>
      <w:r w:rsidR="007B7640" w:rsidRPr="00CD59CC">
        <w:rPr>
          <w:rFonts w:ascii="Arial" w:hAnsi="Arial" w:cs="Arial"/>
          <w:i/>
        </w:rPr>
        <w:t xml:space="preserve"> </w:t>
      </w:r>
      <w:r w:rsidRPr="00CD59CC">
        <w:rPr>
          <w:rFonts w:ascii="Arial" w:hAnsi="Arial" w:cs="Arial"/>
          <w:i/>
        </w:rPr>
        <w:t>cross-grounds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multiple</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discrimination.</w:t>
      </w:r>
    </w:p>
    <w:p w14:paraId="5978E177" w14:textId="77777777" w:rsidR="002B5BCD" w:rsidRPr="00CD59CC" w:rsidRDefault="002B5BCD" w:rsidP="00CD59CC">
      <w:pPr>
        <w:ind w:left="567"/>
        <w:rPr>
          <w:rFonts w:ascii="Arial" w:hAnsi="Arial" w:cs="Arial"/>
          <w:i/>
        </w:rPr>
      </w:pPr>
    </w:p>
    <w:p w14:paraId="0D6E7D02" w14:textId="77777777" w:rsidR="002B5BCD" w:rsidRDefault="002B5BCD" w:rsidP="00CD59CC">
      <w:pPr>
        <w:ind w:left="567"/>
        <w:rPr>
          <w:rFonts w:ascii="Arial" w:hAnsi="Arial" w:cs="Arial"/>
          <w:i/>
        </w:rPr>
      </w:pPr>
      <w:r w:rsidRPr="00CD59CC">
        <w:rPr>
          <w:rFonts w:ascii="Arial" w:hAnsi="Arial" w:cs="Arial"/>
          <w:i/>
        </w:rPr>
        <w:t>Would,</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your</w:t>
      </w:r>
      <w:r w:rsidR="007B7640" w:rsidRPr="00CD59CC">
        <w:rPr>
          <w:rFonts w:ascii="Arial" w:hAnsi="Arial" w:cs="Arial"/>
          <w:i/>
        </w:rPr>
        <w:t xml:space="preserve"> </w:t>
      </w:r>
      <w:r w:rsidRPr="00CD59CC">
        <w:rPr>
          <w:rFonts w:ascii="Arial" w:hAnsi="Arial" w:cs="Arial"/>
          <w:i/>
        </w:rPr>
        <w:t>view,</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European</w:t>
      </w:r>
      <w:r w:rsidR="007B7640" w:rsidRPr="00CD59CC">
        <w:rPr>
          <w:rFonts w:ascii="Arial" w:hAnsi="Arial" w:cs="Arial"/>
          <w:i/>
        </w:rPr>
        <w:t xml:space="preserve"> </w:t>
      </w:r>
      <w:r w:rsidRPr="00CD59CC">
        <w:rPr>
          <w:rFonts w:ascii="Arial" w:hAnsi="Arial" w:cs="Arial"/>
          <w:i/>
        </w:rPr>
        <w:t>legislation</w:t>
      </w:r>
      <w:r w:rsidR="007B7640" w:rsidRPr="00CD59CC">
        <w:rPr>
          <w:rFonts w:ascii="Arial" w:hAnsi="Arial" w:cs="Arial"/>
          <w:i/>
        </w:rPr>
        <w:t xml:space="preserve"> </w:t>
      </w:r>
      <w:r w:rsidRPr="00CD59CC">
        <w:rPr>
          <w:rFonts w:ascii="Arial" w:hAnsi="Arial" w:cs="Arial"/>
          <w:i/>
        </w:rPr>
        <w:t>dealing</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multiple</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necessary</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order</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facilitate</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adjudication</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such</w:t>
      </w:r>
      <w:r w:rsidR="007B7640" w:rsidRPr="00CD59CC">
        <w:rPr>
          <w:rFonts w:ascii="Arial" w:hAnsi="Arial" w:cs="Arial"/>
          <w:i/>
        </w:rPr>
        <w:t xml:space="preserve"> </w:t>
      </w:r>
      <w:r w:rsidRPr="00CD59CC">
        <w:rPr>
          <w:rFonts w:ascii="Arial" w:hAnsi="Arial" w:cs="Arial"/>
          <w:i/>
        </w:rPr>
        <w:t>cases?</w:t>
      </w:r>
    </w:p>
    <w:p w14:paraId="62BE62FB" w14:textId="77777777" w:rsidR="006F5D91" w:rsidRPr="00BB4E9F" w:rsidRDefault="006F5D91" w:rsidP="00BB4E9F">
      <w:pPr>
        <w:ind w:left="567"/>
        <w:rPr>
          <w:rFonts w:ascii="Arial" w:hAnsi="Arial"/>
          <w:i/>
        </w:rPr>
      </w:pPr>
    </w:p>
    <w:p w14:paraId="3CE82C4C" w14:textId="77777777" w:rsidR="00B025B5" w:rsidRPr="00CD59CC" w:rsidRDefault="00B025B5" w:rsidP="00CD59CC">
      <w:pPr>
        <w:rPr>
          <w:rFonts w:ascii="Arial" w:hAnsi="Arial" w:cs="Arial"/>
        </w:rPr>
      </w:pPr>
      <w:r w:rsidRPr="00CD59CC">
        <w:rPr>
          <w:rFonts w:ascii="Arial" w:hAnsi="Arial" w:cs="Arial"/>
        </w:rPr>
        <w:t>There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rules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our</w:t>
      </w:r>
      <w:r w:rsidR="007B7640" w:rsidRPr="00CD59CC">
        <w:rPr>
          <w:rFonts w:ascii="Arial" w:hAnsi="Arial" w:cs="Arial"/>
        </w:rPr>
        <w:t xml:space="preserve"> </w:t>
      </w:r>
      <w:r w:rsidRPr="00CD59CC">
        <w:rPr>
          <w:rFonts w:ascii="Arial" w:hAnsi="Arial" w:cs="Arial"/>
        </w:rPr>
        <w:t>knowledge</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plans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adoption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rules.</w:t>
      </w:r>
      <w:r w:rsidR="007B7640" w:rsidRPr="00CD59CC">
        <w:rPr>
          <w:rFonts w:ascii="Arial" w:hAnsi="Arial" w:cs="Arial"/>
        </w:rPr>
        <w:t xml:space="preserve"> </w:t>
      </w:r>
      <w:r w:rsidRPr="00CD59CC">
        <w:rPr>
          <w:rFonts w:ascii="Arial" w:hAnsi="Arial" w:cs="Arial"/>
        </w:rPr>
        <w:t>We</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knowledge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relevant</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either.</w:t>
      </w:r>
      <w:r w:rsidR="007B7640" w:rsidRPr="00CD59CC">
        <w:rPr>
          <w:rFonts w:ascii="Arial" w:hAnsi="Arial" w:cs="Arial"/>
        </w:rPr>
        <w:t xml:space="preserve"> </w:t>
      </w:r>
    </w:p>
    <w:p w14:paraId="31F835C7" w14:textId="77777777" w:rsidR="00B025B5" w:rsidRPr="00CD59CC" w:rsidRDefault="00B025B5" w:rsidP="00CD59CC">
      <w:pPr>
        <w:rPr>
          <w:rFonts w:ascii="Arial" w:hAnsi="Arial" w:cs="Arial"/>
        </w:rPr>
      </w:pPr>
    </w:p>
    <w:p w14:paraId="1A33E8CA" w14:textId="77777777" w:rsidR="00B025B5" w:rsidRPr="00CD59CC" w:rsidRDefault="00B025B5"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Guideline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288/2/2010.</w:t>
      </w:r>
      <w:r w:rsidR="007B7640" w:rsidRPr="00CD59CC">
        <w:rPr>
          <w:rFonts w:ascii="Arial" w:hAnsi="Arial" w:cs="Arial"/>
        </w:rPr>
        <w:t xml:space="preserve"> </w:t>
      </w:r>
      <w:r w:rsidRPr="00CD59CC">
        <w:rPr>
          <w:rFonts w:ascii="Arial" w:hAnsi="Arial" w:cs="Arial"/>
        </w:rPr>
        <w:t>(IV.9.)</w:t>
      </w:r>
      <w:r w:rsidR="007B7640" w:rsidRPr="00CD59CC">
        <w:rPr>
          <w:rFonts w:ascii="Arial" w:hAnsi="Arial" w:cs="Arial"/>
        </w:rPr>
        <w:t xml:space="preserve"> </w:t>
      </w:r>
      <w:r w:rsidRPr="00CD59CC">
        <w:rPr>
          <w:rFonts w:ascii="Arial" w:hAnsi="Arial" w:cs="Arial"/>
        </w:rPr>
        <w:t>TT,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Advisory</w:t>
      </w:r>
      <w:r w:rsidR="007B7640" w:rsidRPr="00CD59CC">
        <w:rPr>
          <w:rFonts w:ascii="Arial" w:hAnsi="Arial" w:cs="Arial"/>
        </w:rPr>
        <w:t xml:space="preserve"> </w:t>
      </w:r>
      <w:r w:rsidRPr="00CD59CC">
        <w:rPr>
          <w:rFonts w:ascii="Arial" w:hAnsi="Arial" w:cs="Arial"/>
        </w:rPr>
        <w:t>Board</w:t>
      </w:r>
      <w:r w:rsidR="007B7640" w:rsidRPr="00CD59CC">
        <w:rPr>
          <w:rFonts w:ascii="Arial" w:hAnsi="Arial" w:cs="Arial"/>
        </w:rPr>
        <w:t xml:space="preserve"> </w:t>
      </w:r>
      <w:r w:rsidRPr="00CD59CC">
        <w:rPr>
          <w:rFonts w:ascii="Arial" w:hAnsi="Arial" w:cs="Arial"/>
        </w:rPr>
        <w:t>stated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w:t>
      </w:r>
      <w:r w:rsidR="007B7640" w:rsidRPr="00CD59CC">
        <w:rPr>
          <w:rFonts w:ascii="Arial" w:hAnsi="Arial" w:cs="Arial"/>
        </w:rPr>
        <w:t xml:space="preserve"> </w:t>
      </w:r>
      <w:r w:rsidRPr="00CD59CC">
        <w:rPr>
          <w:rFonts w:ascii="Arial" w:hAnsi="Arial" w:cs="Arial"/>
        </w:rPr>
        <w:t>bases</w:t>
      </w:r>
      <w:r w:rsidR="007B7640" w:rsidRPr="00CD59CC">
        <w:rPr>
          <w:rFonts w:ascii="Arial" w:hAnsi="Arial" w:cs="Arial"/>
        </w:rPr>
        <w:t xml:space="preserve"> </w:t>
      </w:r>
      <w:r w:rsidRPr="00CD59CC">
        <w:rPr>
          <w:rFonts w:ascii="Arial" w:hAnsi="Arial" w:cs="Arial"/>
        </w:rPr>
        <w:t>his/her</w:t>
      </w:r>
      <w:r w:rsidR="007B7640" w:rsidRPr="00CD59CC">
        <w:rPr>
          <w:rFonts w:ascii="Arial" w:hAnsi="Arial" w:cs="Arial"/>
        </w:rPr>
        <w:t xml:space="preserve"> </w:t>
      </w:r>
      <w:r w:rsidRPr="00CD59CC">
        <w:rPr>
          <w:rFonts w:ascii="Arial" w:hAnsi="Arial" w:cs="Arial"/>
        </w:rPr>
        <w:t>complaint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more</w:t>
      </w:r>
      <w:r w:rsidR="007B7640" w:rsidRPr="00CD59CC">
        <w:rPr>
          <w:rFonts w:ascii="Arial" w:hAnsi="Arial" w:cs="Arial"/>
        </w:rPr>
        <w:t xml:space="preserve"> </w:t>
      </w:r>
      <w:r w:rsidRPr="00CD59CC">
        <w:rPr>
          <w:rFonts w:ascii="Arial" w:hAnsi="Arial" w:cs="Arial"/>
        </w:rPr>
        <w:t>features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determining</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procedure</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conducted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combination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determining</w:t>
      </w:r>
      <w:r w:rsidR="007B7640" w:rsidRPr="00CD59CC">
        <w:rPr>
          <w:rFonts w:ascii="Arial" w:hAnsi="Arial" w:cs="Arial"/>
        </w:rPr>
        <w:t xml:space="preserve"> </w:t>
      </w:r>
      <w:r w:rsidRPr="00CD59CC">
        <w:rPr>
          <w:rFonts w:ascii="Arial" w:hAnsi="Arial" w:cs="Arial"/>
        </w:rPr>
        <w:t>characteristics,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comparable</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chosen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takes</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features</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account.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combination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characteristics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(multiple</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w:t>
      </w:r>
    </w:p>
    <w:p w14:paraId="54764A86" w14:textId="77777777" w:rsidR="00B025B5" w:rsidRPr="00CD59CC" w:rsidRDefault="00B025B5" w:rsidP="00CD59CC">
      <w:pPr>
        <w:rPr>
          <w:rFonts w:ascii="Arial" w:hAnsi="Arial" w:cs="Arial"/>
        </w:rPr>
      </w:pPr>
    </w:p>
    <w:p w14:paraId="5915D8E9" w14:textId="77777777" w:rsidR="00B025B5" w:rsidRPr="00CD59CC" w:rsidRDefault="00B025B5" w:rsidP="00CD59CC">
      <w:pPr>
        <w:rPr>
          <w:rFonts w:ascii="Arial" w:hAnsi="Arial" w:cs="Arial"/>
        </w:rPr>
      </w:pP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domestic</w:t>
      </w:r>
      <w:r w:rsidR="007B7640" w:rsidRPr="00CD59CC">
        <w:rPr>
          <w:rFonts w:ascii="Arial" w:hAnsi="Arial" w:cs="Arial"/>
        </w:rPr>
        <w:t xml:space="preserve"> </w:t>
      </w:r>
      <w:r w:rsidRPr="00CD59CC">
        <w:rPr>
          <w:rFonts w:ascii="Arial" w:hAnsi="Arial" w:cs="Arial"/>
        </w:rPr>
        <w:t>authorities</w:t>
      </w:r>
      <w:r w:rsidR="007B7640" w:rsidRPr="00CD59CC">
        <w:rPr>
          <w:rFonts w:ascii="Arial" w:hAnsi="Arial" w:cs="Arial"/>
        </w:rPr>
        <w:t xml:space="preserve"> </w:t>
      </w:r>
      <w:r w:rsidRPr="00CD59CC">
        <w:rPr>
          <w:rFonts w:ascii="Arial" w:hAnsi="Arial" w:cs="Arial"/>
        </w:rPr>
        <w:t>find</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approach</w:t>
      </w:r>
      <w:r w:rsidR="007B7640" w:rsidRPr="00CD59CC">
        <w:rPr>
          <w:rFonts w:ascii="Arial" w:hAnsi="Arial" w:cs="Arial"/>
        </w:rPr>
        <w:t xml:space="preserve"> </w:t>
      </w:r>
      <w:r w:rsidRPr="00CD59CC">
        <w:rPr>
          <w:rFonts w:ascii="Arial" w:hAnsi="Arial" w:cs="Arial"/>
        </w:rPr>
        <w:t>difficult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follow,</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combination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could</w:t>
      </w:r>
      <w:r w:rsidR="007B7640" w:rsidRPr="00CD59CC">
        <w:rPr>
          <w:rFonts w:ascii="Arial" w:hAnsi="Arial" w:cs="Arial"/>
        </w:rPr>
        <w:t xml:space="preserve"> </w:t>
      </w:r>
      <w:r w:rsidRPr="00CD59CC">
        <w:rPr>
          <w:rFonts w:ascii="Arial" w:hAnsi="Arial" w:cs="Arial"/>
        </w:rPr>
        <w:t>still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interpreted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guidelines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Board</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complied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European</w:t>
      </w:r>
      <w:r w:rsidR="007B7640" w:rsidRPr="00CD59CC">
        <w:rPr>
          <w:rFonts w:ascii="Arial" w:hAnsi="Arial" w:cs="Arial"/>
        </w:rPr>
        <w:t xml:space="preserve"> </w:t>
      </w:r>
      <w:r w:rsidRPr="00CD59CC">
        <w:rPr>
          <w:rFonts w:ascii="Arial" w:hAnsi="Arial" w:cs="Arial"/>
        </w:rPr>
        <w:t>legislation</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facilitate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adjudication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cases.</w:t>
      </w:r>
    </w:p>
    <w:p w14:paraId="362F4181" w14:textId="77777777" w:rsidR="002B5BCD" w:rsidRPr="00CD59CC" w:rsidRDefault="002B5BCD" w:rsidP="00CD59CC">
      <w:pPr>
        <w:ind w:left="567" w:hanging="567"/>
        <w:rPr>
          <w:rFonts w:ascii="Arial" w:hAnsi="Arial" w:cs="Arial"/>
        </w:rPr>
      </w:pPr>
    </w:p>
    <w:p w14:paraId="4DF0CA0E" w14:textId="04E7DA3F" w:rsidR="002B5BCD" w:rsidRPr="00CD59CC" w:rsidRDefault="002B5BCD" w:rsidP="00CD59CC">
      <w:pPr>
        <w:pStyle w:val="ListParagraph"/>
        <w:numPr>
          <w:ilvl w:val="0"/>
          <w:numId w:val="28"/>
        </w:numPr>
        <w:tabs>
          <w:tab w:val="left" w:pos="567"/>
        </w:tabs>
        <w:ind w:left="567" w:hanging="567"/>
        <w:contextualSpacing/>
        <w:rPr>
          <w:rFonts w:ascii="Arial" w:hAnsi="Arial" w:cs="Arial"/>
          <w:i/>
        </w:rPr>
      </w:pPr>
      <w:r w:rsidRPr="00CD59CC">
        <w:rPr>
          <w:rFonts w:ascii="Arial" w:hAnsi="Arial" w:cs="Arial"/>
          <w:i/>
        </w:rPr>
        <w:t>How</w:t>
      </w:r>
      <w:r w:rsidR="007B7640" w:rsidRPr="00CD59CC">
        <w:rPr>
          <w:rFonts w:ascii="Arial" w:hAnsi="Arial" w:cs="Arial"/>
          <w:i/>
        </w:rPr>
        <w:t xml:space="preserve"> </w:t>
      </w:r>
      <w:r w:rsidRPr="00CD59CC">
        <w:rPr>
          <w:rFonts w:ascii="Arial" w:hAnsi="Arial" w:cs="Arial"/>
          <w:i/>
        </w:rPr>
        <w:t>have</w:t>
      </w:r>
      <w:r w:rsidR="007B7640" w:rsidRPr="00CD59CC">
        <w:rPr>
          <w:rFonts w:ascii="Arial" w:hAnsi="Arial" w:cs="Arial"/>
          <w:i/>
        </w:rPr>
        <w:t xml:space="preserve"> </w:t>
      </w:r>
      <w:r w:rsidRPr="00CD59CC">
        <w:rPr>
          <w:rFonts w:ascii="Arial" w:hAnsi="Arial" w:cs="Arial"/>
          <w:i/>
        </w:rPr>
        <w:t>multiple</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cases</w:t>
      </w:r>
      <w:r w:rsidR="007B7640" w:rsidRPr="00CD59CC">
        <w:rPr>
          <w:rFonts w:ascii="Arial" w:hAnsi="Arial" w:cs="Arial"/>
          <w:i/>
        </w:rPr>
        <w:t xml:space="preserve"> </w:t>
      </w:r>
      <w:r w:rsidRPr="00CD59CC">
        <w:rPr>
          <w:rFonts w:ascii="Arial" w:hAnsi="Arial" w:cs="Arial"/>
          <w:i/>
        </w:rPr>
        <w:t>involving</w:t>
      </w:r>
      <w:r w:rsidR="007B7640" w:rsidRPr="00CD59CC">
        <w:rPr>
          <w:rFonts w:ascii="Arial" w:hAnsi="Arial" w:cs="Arial"/>
          <w:i/>
        </w:rPr>
        <w:t xml:space="preserve"> </w:t>
      </w:r>
      <w:r w:rsidRPr="00CD59CC">
        <w:rPr>
          <w:rFonts w:ascii="Arial" w:hAnsi="Arial" w:cs="Arial"/>
          <w:i/>
        </w:rPr>
        <w:t>one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Art.</w:t>
      </w:r>
      <w:r w:rsidR="007B7640" w:rsidRPr="00CD59CC">
        <w:rPr>
          <w:rFonts w:ascii="Arial" w:hAnsi="Arial" w:cs="Arial"/>
          <w:i/>
        </w:rPr>
        <w:t xml:space="preserve"> </w:t>
      </w:r>
      <w:r w:rsidRPr="00CD59CC">
        <w:rPr>
          <w:rFonts w:ascii="Arial" w:hAnsi="Arial" w:cs="Arial"/>
          <w:i/>
        </w:rPr>
        <w:t>19</w:t>
      </w:r>
      <w:r w:rsidR="007B7640" w:rsidRPr="00CD59CC">
        <w:rPr>
          <w:rFonts w:ascii="Arial" w:hAnsi="Arial" w:cs="Arial"/>
          <w:i/>
        </w:rPr>
        <w:t xml:space="preserve"> </w:t>
      </w:r>
      <w:r w:rsidRPr="00CD59CC">
        <w:rPr>
          <w:rFonts w:ascii="Arial" w:hAnsi="Arial" w:cs="Arial"/>
          <w:i/>
        </w:rPr>
        <w:t>TFEU</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gender</w:t>
      </w:r>
      <w:r w:rsidR="007B7640" w:rsidRPr="00CD59CC">
        <w:rPr>
          <w:rFonts w:ascii="Arial" w:hAnsi="Arial" w:cs="Arial"/>
          <w:i/>
        </w:rPr>
        <w:t xml:space="preserve"> </w:t>
      </w:r>
      <w:r w:rsidRPr="00CD59CC">
        <w:rPr>
          <w:rFonts w:ascii="Arial" w:hAnsi="Arial" w:cs="Arial"/>
          <w:i/>
        </w:rPr>
        <w:t>been</w:t>
      </w:r>
      <w:r w:rsidR="007B7640" w:rsidRPr="00CD59CC">
        <w:rPr>
          <w:rFonts w:ascii="Arial" w:hAnsi="Arial" w:cs="Arial"/>
          <w:i/>
        </w:rPr>
        <w:t xml:space="preserve"> </w:t>
      </w:r>
      <w:r w:rsidRPr="00CD59CC">
        <w:rPr>
          <w:rFonts w:ascii="Arial" w:hAnsi="Arial" w:cs="Arial"/>
          <w:i/>
        </w:rPr>
        <w:t>adjudicated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courts</w:t>
      </w:r>
      <w:r w:rsidR="007B7640" w:rsidRPr="00CD59CC">
        <w:rPr>
          <w:rFonts w:ascii="Arial" w:hAnsi="Arial" w:cs="Arial"/>
          <w:i/>
        </w:rPr>
        <w:t xml:space="preserve"> </w:t>
      </w:r>
      <w:r w:rsidRPr="00CD59CC">
        <w:rPr>
          <w:rFonts w:ascii="Arial" w:hAnsi="Arial" w:cs="Arial"/>
          <w:i/>
        </w:rPr>
        <w:t>(regarding</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burden</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proof</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award</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potential</w:t>
      </w:r>
      <w:r w:rsidR="007B7640" w:rsidRPr="00CD59CC">
        <w:rPr>
          <w:rFonts w:ascii="Arial" w:hAnsi="Arial" w:cs="Arial"/>
          <w:i/>
        </w:rPr>
        <w:t xml:space="preserve"> </w:t>
      </w:r>
      <w:r w:rsidRPr="00CD59CC">
        <w:rPr>
          <w:rFonts w:ascii="Arial" w:hAnsi="Arial" w:cs="Arial"/>
          <w:i/>
        </w:rPr>
        <w:t>higher</w:t>
      </w:r>
      <w:r w:rsidR="007B7640" w:rsidRPr="00CD59CC">
        <w:rPr>
          <w:rFonts w:ascii="Arial" w:hAnsi="Arial" w:cs="Arial"/>
          <w:i/>
        </w:rPr>
        <w:t xml:space="preserve"> </w:t>
      </w:r>
      <w:r w:rsidRPr="00CD59CC">
        <w:rPr>
          <w:rFonts w:ascii="Arial" w:hAnsi="Arial" w:cs="Arial"/>
          <w:i/>
        </w:rPr>
        <w:t>damages)?</w:t>
      </w:r>
      <w:r w:rsidR="007B7640" w:rsidRPr="00CD59CC">
        <w:rPr>
          <w:rFonts w:ascii="Arial" w:hAnsi="Arial" w:cs="Arial"/>
          <w:i/>
        </w:rPr>
        <w:t xml:space="preserve">  </w:t>
      </w:r>
      <w:r w:rsidRPr="00CD59CC">
        <w:rPr>
          <w:rFonts w:ascii="Arial" w:hAnsi="Arial" w:cs="Arial"/>
          <w:i/>
        </w:rPr>
        <w:t>Have</w:t>
      </w:r>
      <w:r w:rsidR="007B7640" w:rsidRPr="00CD59CC">
        <w:rPr>
          <w:rFonts w:ascii="Arial" w:hAnsi="Arial" w:cs="Arial"/>
          <w:i/>
        </w:rPr>
        <w:t xml:space="preserve"> </w:t>
      </w:r>
      <w:r w:rsidRPr="00CD59CC">
        <w:rPr>
          <w:rFonts w:ascii="Arial" w:hAnsi="Arial" w:cs="Arial"/>
          <w:i/>
        </w:rPr>
        <w:t>these</w:t>
      </w:r>
      <w:r w:rsidR="007B7640" w:rsidRPr="00CD59CC">
        <w:rPr>
          <w:rFonts w:ascii="Arial" w:hAnsi="Arial" w:cs="Arial"/>
          <w:i/>
        </w:rPr>
        <w:t xml:space="preserve"> </w:t>
      </w:r>
      <w:r w:rsidRPr="00CD59CC">
        <w:rPr>
          <w:rFonts w:ascii="Arial" w:hAnsi="Arial" w:cs="Arial"/>
          <w:i/>
        </w:rPr>
        <w:t>cases</w:t>
      </w:r>
      <w:r w:rsidR="007B7640" w:rsidRPr="00CD59CC">
        <w:rPr>
          <w:rFonts w:ascii="Arial" w:hAnsi="Arial" w:cs="Arial"/>
          <w:i/>
        </w:rPr>
        <w:t xml:space="preserve"> </w:t>
      </w:r>
      <w:r w:rsidRPr="00CD59CC">
        <w:rPr>
          <w:rFonts w:ascii="Arial" w:hAnsi="Arial" w:cs="Arial"/>
          <w:i/>
        </w:rPr>
        <w:t>been</w:t>
      </w:r>
      <w:r w:rsidR="007B7640" w:rsidRPr="00CD59CC">
        <w:rPr>
          <w:rFonts w:ascii="Arial" w:hAnsi="Arial" w:cs="Arial"/>
          <w:i/>
        </w:rPr>
        <w:t xml:space="preserve"> </w:t>
      </w:r>
      <w:r w:rsidRPr="00CD59CC">
        <w:rPr>
          <w:rFonts w:ascii="Arial" w:hAnsi="Arial" w:cs="Arial"/>
          <w:i/>
        </w:rPr>
        <w:t>treated</w:t>
      </w:r>
      <w:r w:rsidR="007B7640" w:rsidRPr="00CD59CC">
        <w:rPr>
          <w:rFonts w:ascii="Arial" w:hAnsi="Arial" w:cs="Arial"/>
          <w:i/>
        </w:rPr>
        <w:t xml:space="preserve"> </w:t>
      </w:r>
      <w:r w:rsidRPr="00CD59CC">
        <w:rPr>
          <w:rFonts w:ascii="Arial" w:hAnsi="Arial" w:cs="Arial"/>
          <w:i/>
        </w:rPr>
        <w:t>under</w:t>
      </w:r>
      <w:r w:rsidR="007B7640" w:rsidRPr="00CD59CC">
        <w:rPr>
          <w:rFonts w:ascii="Arial" w:hAnsi="Arial" w:cs="Arial"/>
          <w:i/>
        </w:rPr>
        <w:t xml:space="preserve"> </w:t>
      </w:r>
      <w:r w:rsidRPr="00CD59CC">
        <w:rPr>
          <w:rFonts w:ascii="Arial" w:hAnsi="Arial" w:cs="Arial"/>
          <w:i/>
        </w:rPr>
        <w:t>one</w:t>
      </w:r>
      <w:r w:rsidR="007B7640" w:rsidRPr="00CD59CC">
        <w:rPr>
          <w:rFonts w:ascii="Arial" w:hAnsi="Arial" w:cs="Arial"/>
          <w:i/>
        </w:rPr>
        <w:t xml:space="preserve"> </w:t>
      </w:r>
      <w:r w:rsidRPr="00CD59CC">
        <w:rPr>
          <w:rFonts w:ascii="Arial" w:hAnsi="Arial" w:cs="Arial"/>
          <w:i/>
        </w:rPr>
        <w:t>single</w:t>
      </w:r>
      <w:r w:rsidR="007B7640" w:rsidRPr="00CD59CC">
        <w:rPr>
          <w:rFonts w:ascii="Arial" w:hAnsi="Arial" w:cs="Arial"/>
          <w:i/>
        </w:rPr>
        <w:t xml:space="preserve"> </w:t>
      </w:r>
      <w:r w:rsidRPr="00CD59CC">
        <w:rPr>
          <w:rFonts w:ascii="Arial" w:hAnsi="Arial" w:cs="Arial"/>
          <w:i/>
        </w:rPr>
        <w:t>ground</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multiple</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cases?</w:t>
      </w:r>
      <w:r w:rsidR="007B7640" w:rsidRPr="00CD59CC">
        <w:rPr>
          <w:rFonts w:ascii="Arial" w:hAnsi="Arial" w:cs="Arial"/>
          <w:i/>
        </w:rPr>
        <w:t xml:space="preserve"> </w:t>
      </w:r>
    </w:p>
    <w:p w14:paraId="29844CE9" w14:textId="77777777" w:rsidR="002B5BCD" w:rsidRPr="00CD59CC" w:rsidRDefault="002B5BCD" w:rsidP="00CD59CC">
      <w:pPr>
        <w:rPr>
          <w:rFonts w:ascii="Arial" w:hAnsi="Arial" w:cs="Arial"/>
          <w:i/>
        </w:rPr>
      </w:pPr>
    </w:p>
    <w:p w14:paraId="5387479B" w14:textId="77777777" w:rsidR="00D27419" w:rsidRPr="00CD59CC" w:rsidRDefault="00D27419" w:rsidP="00CD59CC">
      <w:pPr>
        <w:rPr>
          <w:rFonts w:ascii="Arial" w:hAnsi="Arial" w:cs="Arial"/>
          <w:i/>
        </w:rPr>
      </w:pPr>
      <w:r w:rsidRPr="00CD59CC">
        <w:rPr>
          <w:rFonts w:ascii="Arial" w:hAnsi="Arial" w:cs="Arial"/>
        </w:rPr>
        <w:t>We</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knowledge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law.</w:t>
      </w:r>
    </w:p>
    <w:p w14:paraId="07D2F1A9" w14:textId="77777777" w:rsidR="00DD53D7" w:rsidRPr="00BB4E9F" w:rsidRDefault="00DD53D7" w:rsidP="00CD59CC">
      <w:pPr>
        <w:rPr>
          <w:rFonts w:ascii="Arial" w:hAnsi="Arial"/>
        </w:rPr>
      </w:pPr>
    </w:p>
    <w:p w14:paraId="428D8689" w14:textId="77777777" w:rsidR="002B5BCD" w:rsidRPr="00CD59CC" w:rsidRDefault="002B5BCD" w:rsidP="00CD59CC">
      <w:pPr>
        <w:pStyle w:val="Heading3"/>
        <w:rPr>
          <w:rFonts w:cs="Arial"/>
        </w:rPr>
      </w:pPr>
      <w:bookmarkStart w:id="43" w:name="_Toc220221136"/>
      <w:bookmarkStart w:id="44" w:name="_Toc392758707"/>
      <w:bookmarkStart w:id="45" w:name="_Toc329163598"/>
      <w:bookmarkStart w:id="46" w:name="_Toc366846316"/>
      <w:r w:rsidRPr="00CD59CC">
        <w:rPr>
          <w:rFonts w:cs="Arial"/>
        </w:rPr>
        <w:t>Assumed</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associated</w:t>
      </w:r>
      <w:r w:rsidR="007B7640" w:rsidRPr="00CD59CC">
        <w:rPr>
          <w:rFonts w:cs="Arial"/>
        </w:rPr>
        <w:t xml:space="preserve"> </w:t>
      </w:r>
      <w:r w:rsidRPr="00CD59CC">
        <w:rPr>
          <w:rFonts w:cs="Arial"/>
        </w:rPr>
        <w:t>discrimination</w:t>
      </w:r>
      <w:bookmarkEnd w:id="43"/>
      <w:bookmarkEnd w:id="44"/>
      <w:bookmarkEnd w:id="45"/>
      <w:bookmarkEnd w:id="46"/>
    </w:p>
    <w:p w14:paraId="4A6EFAB4" w14:textId="77777777" w:rsidR="002B5BCD" w:rsidRPr="00CD59CC" w:rsidRDefault="002B5BCD" w:rsidP="00CD59CC">
      <w:pPr>
        <w:rPr>
          <w:rFonts w:ascii="Arial" w:hAnsi="Arial" w:cs="Arial"/>
        </w:rPr>
      </w:pPr>
    </w:p>
    <w:p w14:paraId="1E94A96E" w14:textId="77777777" w:rsidR="002B5BCD" w:rsidRPr="00CD59CC" w:rsidRDefault="002B5BCD" w:rsidP="00CD59CC">
      <w:pPr>
        <w:numPr>
          <w:ilvl w:val="0"/>
          <w:numId w:val="3"/>
        </w:numPr>
        <w:ind w:left="567" w:hanging="567"/>
        <w:rPr>
          <w:rFonts w:ascii="Arial" w:hAnsi="Arial" w:cs="Arial"/>
          <w:i/>
        </w:rPr>
      </w:pP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(including</w:t>
      </w:r>
      <w:r w:rsidR="007B7640" w:rsidRPr="00CD59CC">
        <w:rPr>
          <w:rFonts w:ascii="Arial" w:hAnsi="Arial" w:cs="Arial"/>
          <w:i/>
        </w:rPr>
        <w:t xml:space="preserve"> </w:t>
      </w:r>
      <w:r w:rsidRPr="00CD59CC">
        <w:rPr>
          <w:rFonts w:ascii="Arial" w:hAnsi="Arial" w:cs="Arial"/>
          <w:i/>
        </w:rPr>
        <w:t>case</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prohibit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based</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perception</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assumption</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what</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person</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(e.g.</w:t>
      </w:r>
      <w:r w:rsidR="007B7640" w:rsidRPr="00CD59CC">
        <w:rPr>
          <w:rFonts w:ascii="Arial" w:hAnsi="Arial" w:cs="Arial"/>
          <w:i/>
        </w:rPr>
        <w:t xml:space="preserve"> </w:t>
      </w:r>
      <w:r w:rsidRPr="00CD59CC">
        <w:rPr>
          <w:rFonts w:ascii="Arial" w:hAnsi="Arial" w:cs="Arial"/>
          <w:i/>
        </w:rPr>
        <w:t>where</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person</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discriminated</w:t>
      </w:r>
      <w:r w:rsidR="007B7640" w:rsidRPr="00CD59CC">
        <w:rPr>
          <w:rFonts w:ascii="Arial" w:hAnsi="Arial" w:cs="Arial"/>
          <w:i/>
        </w:rPr>
        <w:t xml:space="preserve"> </w:t>
      </w:r>
      <w:r w:rsidRPr="00CD59CC">
        <w:rPr>
          <w:rFonts w:ascii="Arial" w:hAnsi="Arial" w:cs="Arial"/>
          <w:i/>
        </w:rPr>
        <w:t>against</w:t>
      </w:r>
      <w:r w:rsidR="007B7640" w:rsidRPr="00CD59CC">
        <w:rPr>
          <w:rFonts w:ascii="Arial" w:hAnsi="Arial" w:cs="Arial"/>
          <w:i/>
        </w:rPr>
        <w:t xml:space="preserve"> </w:t>
      </w:r>
      <w:r w:rsidRPr="00CD59CC">
        <w:rPr>
          <w:rFonts w:ascii="Arial" w:hAnsi="Arial" w:cs="Arial"/>
          <w:i/>
        </w:rPr>
        <w:t>because</w:t>
      </w:r>
      <w:r w:rsidR="007B7640" w:rsidRPr="00CD59CC">
        <w:rPr>
          <w:rFonts w:ascii="Arial" w:hAnsi="Arial" w:cs="Arial"/>
          <w:i/>
        </w:rPr>
        <w:t xml:space="preserve"> </w:t>
      </w:r>
      <w:r w:rsidRPr="00CD59CC">
        <w:rPr>
          <w:rFonts w:ascii="Arial" w:hAnsi="Arial" w:cs="Arial"/>
          <w:i/>
        </w:rPr>
        <w:t>another</w:t>
      </w:r>
      <w:r w:rsidR="007B7640" w:rsidRPr="00CD59CC">
        <w:rPr>
          <w:rFonts w:ascii="Arial" w:hAnsi="Arial" w:cs="Arial"/>
          <w:i/>
        </w:rPr>
        <w:t xml:space="preserve"> </w:t>
      </w:r>
      <w:r w:rsidRPr="00CD59CC">
        <w:rPr>
          <w:rFonts w:ascii="Arial" w:hAnsi="Arial" w:cs="Arial"/>
          <w:i/>
        </w:rPr>
        <w:t>person</w:t>
      </w:r>
      <w:r w:rsidR="007B7640" w:rsidRPr="00CD59CC">
        <w:rPr>
          <w:rFonts w:ascii="Arial" w:hAnsi="Arial" w:cs="Arial"/>
          <w:i/>
        </w:rPr>
        <w:t xml:space="preserve"> </w:t>
      </w:r>
      <w:r w:rsidRPr="00CD59CC">
        <w:rPr>
          <w:rFonts w:ascii="Arial" w:hAnsi="Arial" w:cs="Arial"/>
          <w:i/>
        </w:rPr>
        <w:t>assumes</w:t>
      </w:r>
      <w:r w:rsidR="007B7640" w:rsidRPr="00CD59CC">
        <w:rPr>
          <w:rFonts w:ascii="Arial" w:hAnsi="Arial" w:cs="Arial"/>
          <w:i/>
        </w:rPr>
        <w:t xml:space="preserve"> </w:t>
      </w:r>
      <w:r w:rsidRPr="00CD59CC">
        <w:rPr>
          <w:rFonts w:ascii="Arial" w:hAnsi="Arial" w:cs="Arial"/>
          <w:i/>
        </w:rPr>
        <w:t>that</w:t>
      </w:r>
      <w:r w:rsidR="007B7640" w:rsidRPr="00CD59CC">
        <w:rPr>
          <w:rFonts w:ascii="Arial" w:hAnsi="Arial" w:cs="Arial"/>
          <w:i/>
        </w:rPr>
        <w:t xml:space="preserve"> </w:t>
      </w:r>
      <w:r w:rsidRPr="00CD59CC">
        <w:rPr>
          <w:rFonts w:ascii="Arial" w:hAnsi="Arial" w:cs="Arial"/>
          <w:i/>
        </w:rPr>
        <w:t>he/she</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Muslim</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has</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certain</w:t>
      </w:r>
      <w:r w:rsidR="007B7640" w:rsidRPr="00CD59CC">
        <w:rPr>
          <w:rFonts w:ascii="Arial" w:hAnsi="Arial" w:cs="Arial"/>
          <w:i/>
        </w:rPr>
        <w:t xml:space="preserve"> </w:t>
      </w:r>
      <w:r w:rsidRPr="00CD59CC">
        <w:rPr>
          <w:rFonts w:ascii="Arial" w:hAnsi="Arial" w:cs="Arial"/>
          <w:i/>
        </w:rPr>
        <w:t>sexual</w:t>
      </w:r>
      <w:r w:rsidR="007B7640" w:rsidRPr="00CD59CC">
        <w:rPr>
          <w:rFonts w:ascii="Arial" w:hAnsi="Arial" w:cs="Arial"/>
          <w:i/>
        </w:rPr>
        <w:t xml:space="preserve"> </w:t>
      </w:r>
      <w:r w:rsidRPr="00CD59CC">
        <w:rPr>
          <w:rFonts w:ascii="Arial" w:hAnsi="Arial" w:cs="Arial"/>
          <w:i/>
        </w:rPr>
        <w:t>orientation,</w:t>
      </w:r>
      <w:r w:rsidR="007B7640" w:rsidRPr="00CD59CC">
        <w:rPr>
          <w:rFonts w:ascii="Arial" w:hAnsi="Arial" w:cs="Arial"/>
          <w:i/>
        </w:rPr>
        <w:t xml:space="preserve"> </w:t>
      </w:r>
      <w:r w:rsidRPr="00CD59CC">
        <w:rPr>
          <w:rFonts w:ascii="Arial" w:hAnsi="Arial" w:cs="Arial"/>
          <w:i/>
        </w:rPr>
        <w:t>even</w:t>
      </w:r>
      <w:r w:rsidR="007B7640" w:rsidRPr="00CD59CC">
        <w:rPr>
          <w:rFonts w:ascii="Arial" w:hAnsi="Arial" w:cs="Arial"/>
          <w:i/>
        </w:rPr>
        <w:t xml:space="preserve"> </w:t>
      </w:r>
      <w:r w:rsidRPr="00CD59CC">
        <w:rPr>
          <w:rFonts w:ascii="Arial" w:hAnsi="Arial" w:cs="Arial"/>
          <w:i/>
        </w:rPr>
        <w:t>though</w:t>
      </w:r>
      <w:r w:rsidR="007B7640" w:rsidRPr="00CD59CC">
        <w:rPr>
          <w:rFonts w:ascii="Arial" w:hAnsi="Arial" w:cs="Arial"/>
          <w:i/>
        </w:rPr>
        <w:t xml:space="preserve"> </w:t>
      </w:r>
      <w:r w:rsidRPr="00CD59CC">
        <w:rPr>
          <w:rFonts w:ascii="Arial" w:hAnsi="Arial" w:cs="Arial"/>
          <w:i/>
        </w:rPr>
        <w:t>that</w:t>
      </w:r>
      <w:r w:rsidR="007B7640" w:rsidRPr="00CD59CC">
        <w:rPr>
          <w:rFonts w:ascii="Arial" w:hAnsi="Arial" w:cs="Arial"/>
          <w:i/>
        </w:rPr>
        <w:t xml:space="preserve"> </w:t>
      </w:r>
      <w:r w:rsidRPr="00CD59CC">
        <w:rPr>
          <w:rFonts w:ascii="Arial" w:hAnsi="Arial" w:cs="Arial"/>
          <w:i/>
        </w:rPr>
        <w:t>turns</w:t>
      </w:r>
      <w:r w:rsidR="007B7640" w:rsidRPr="00CD59CC">
        <w:rPr>
          <w:rFonts w:ascii="Arial" w:hAnsi="Arial" w:cs="Arial"/>
          <w:i/>
        </w:rPr>
        <w:t xml:space="preserve"> </w:t>
      </w:r>
      <w:r w:rsidRPr="00CD59CC">
        <w:rPr>
          <w:rFonts w:ascii="Arial" w:hAnsi="Arial" w:cs="Arial"/>
          <w:i/>
        </w:rPr>
        <w:t>out</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an</w:t>
      </w:r>
      <w:r w:rsidR="007B7640" w:rsidRPr="00CD59CC">
        <w:rPr>
          <w:rFonts w:ascii="Arial" w:hAnsi="Arial" w:cs="Arial"/>
          <w:i/>
        </w:rPr>
        <w:t xml:space="preserve"> </w:t>
      </w:r>
      <w:r w:rsidRPr="00CD59CC">
        <w:rPr>
          <w:rFonts w:ascii="Arial" w:hAnsi="Arial" w:cs="Arial"/>
          <w:i/>
        </w:rPr>
        <w:t>incorrect</w:t>
      </w:r>
      <w:r w:rsidR="007B7640" w:rsidRPr="00CD59CC">
        <w:rPr>
          <w:rFonts w:ascii="Arial" w:hAnsi="Arial" w:cs="Arial"/>
          <w:i/>
        </w:rPr>
        <w:t xml:space="preserve"> </w:t>
      </w:r>
      <w:r w:rsidRPr="00CD59CC">
        <w:rPr>
          <w:rFonts w:ascii="Arial" w:hAnsi="Arial" w:cs="Arial"/>
          <w:i/>
        </w:rPr>
        <w:t>perception</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assumption).</w:t>
      </w:r>
      <w:r w:rsidR="007B7640" w:rsidRPr="00CD59CC">
        <w:rPr>
          <w:rFonts w:ascii="Arial" w:hAnsi="Arial" w:cs="Arial"/>
          <w:i/>
        </w:rPr>
        <w:t xml:space="preserve"> </w:t>
      </w:r>
    </w:p>
    <w:p w14:paraId="483492DD" w14:textId="77777777" w:rsidR="00DD53D7" w:rsidRPr="00BB4E9F" w:rsidRDefault="00DD53D7" w:rsidP="00BB4E9F">
      <w:pPr>
        <w:rPr>
          <w:rFonts w:ascii="Arial" w:hAnsi="Arial"/>
          <w:i/>
        </w:rPr>
      </w:pPr>
    </w:p>
    <w:p w14:paraId="23F30114" w14:textId="77777777" w:rsidR="00DD53D7" w:rsidRDefault="00DD53D7"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prohibits</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“real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assumed”</w:t>
      </w:r>
      <w:r w:rsidR="007B7640" w:rsidRPr="00CD59CC">
        <w:rPr>
          <w:rFonts w:ascii="Arial" w:hAnsi="Arial" w:cs="Arial"/>
        </w:rPr>
        <w:t xml:space="preserve"> </w:t>
      </w:r>
      <w:r w:rsidRPr="00CD59CC">
        <w:rPr>
          <w:rFonts w:ascii="Arial" w:hAnsi="Arial" w:cs="Arial"/>
        </w:rPr>
        <w:t>characteristics</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text</w:t>
      </w:r>
      <w:r w:rsidR="007B7640" w:rsidRPr="00CD59CC">
        <w:rPr>
          <w:rFonts w:ascii="Arial" w:hAnsi="Arial" w:cs="Arial"/>
        </w:rPr>
        <w:t xml:space="preserve"> </w:t>
      </w:r>
      <w:r w:rsidRPr="00CD59CC">
        <w:rPr>
          <w:rFonts w:ascii="Arial" w:hAnsi="Arial" w:cs="Arial"/>
        </w:rPr>
        <w:t>below,</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2.2.).</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prohibition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reinforced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19</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provides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reversal</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burden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lastRenderedPageBreak/>
        <w:t>proof</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victim’s</w:t>
      </w:r>
      <w:r w:rsidR="007B7640" w:rsidRPr="00CD59CC">
        <w:rPr>
          <w:rFonts w:ascii="Arial" w:hAnsi="Arial" w:cs="Arial"/>
        </w:rPr>
        <w:t xml:space="preserve"> </w:t>
      </w:r>
      <w:r w:rsidRPr="00CD59CC">
        <w:rPr>
          <w:rFonts w:ascii="Arial" w:hAnsi="Arial" w:cs="Arial"/>
        </w:rPr>
        <w:t>real</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“assumed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perpetrator”.</w:t>
      </w:r>
    </w:p>
    <w:p w14:paraId="3C7D191C" w14:textId="77777777" w:rsidR="00B97ED3" w:rsidRPr="00CD59CC" w:rsidRDefault="00B97ED3" w:rsidP="00BB4E9F">
      <w:pPr>
        <w:rPr>
          <w:rFonts w:ascii="Arial" w:hAnsi="Arial" w:cs="Arial"/>
        </w:rPr>
      </w:pPr>
    </w:p>
    <w:p w14:paraId="26390D88" w14:textId="77777777" w:rsidR="002B5BCD" w:rsidRPr="00CD59CC" w:rsidRDefault="002B5BCD" w:rsidP="00CD59CC">
      <w:pPr>
        <w:numPr>
          <w:ilvl w:val="0"/>
          <w:numId w:val="3"/>
        </w:numPr>
        <w:ind w:left="567" w:hanging="567"/>
        <w:rPr>
          <w:rFonts w:ascii="Arial" w:hAnsi="Arial" w:cs="Arial"/>
          <w:i/>
        </w:rPr>
      </w:pP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(including</w:t>
      </w:r>
      <w:r w:rsidR="007B7640" w:rsidRPr="00CD59CC">
        <w:rPr>
          <w:rFonts w:ascii="Arial" w:hAnsi="Arial" w:cs="Arial"/>
          <w:i/>
        </w:rPr>
        <w:t xml:space="preserve"> </w:t>
      </w:r>
      <w:r w:rsidRPr="00CD59CC">
        <w:rPr>
          <w:rFonts w:ascii="Arial" w:hAnsi="Arial" w:cs="Arial"/>
          <w:i/>
        </w:rPr>
        <w:t>case</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prohibit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based</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association</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persons</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particular</w:t>
      </w:r>
      <w:r w:rsidR="007B7640" w:rsidRPr="00CD59CC">
        <w:rPr>
          <w:rFonts w:ascii="Arial" w:hAnsi="Arial" w:cs="Arial"/>
          <w:i/>
        </w:rPr>
        <w:t xml:space="preserve"> </w:t>
      </w:r>
      <w:r w:rsidRPr="00CD59CC">
        <w:rPr>
          <w:rFonts w:ascii="Arial" w:hAnsi="Arial" w:cs="Arial"/>
          <w:i/>
        </w:rPr>
        <w:t>characteristics</w:t>
      </w:r>
      <w:r w:rsidR="007B7640" w:rsidRPr="00CD59CC">
        <w:rPr>
          <w:rFonts w:ascii="Arial" w:hAnsi="Arial" w:cs="Arial"/>
          <w:i/>
        </w:rPr>
        <w:t xml:space="preserve"> </w:t>
      </w:r>
      <w:r w:rsidRPr="00CD59CC">
        <w:rPr>
          <w:rFonts w:ascii="Arial" w:hAnsi="Arial" w:cs="Arial"/>
          <w:i/>
        </w:rPr>
        <w:t>(e.g.</w:t>
      </w:r>
      <w:r w:rsidR="007B7640" w:rsidRPr="00CD59CC">
        <w:rPr>
          <w:rFonts w:ascii="Arial" w:hAnsi="Arial" w:cs="Arial"/>
          <w:i/>
        </w:rPr>
        <w:t xml:space="preserve"> </w:t>
      </w:r>
      <w:r w:rsidRPr="00CD59CC">
        <w:rPr>
          <w:rFonts w:ascii="Arial" w:hAnsi="Arial" w:cs="Arial"/>
          <w:i/>
        </w:rPr>
        <w:t>association</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persons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particular</w:t>
      </w:r>
      <w:r w:rsidR="007B7640" w:rsidRPr="00CD59CC">
        <w:rPr>
          <w:rFonts w:ascii="Arial" w:hAnsi="Arial" w:cs="Arial"/>
          <w:i/>
        </w:rPr>
        <w:t xml:space="preserve"> </w:t>
      </w:r>
      <w:r w:rsidRPr="00CD59CC">
        <w:rPr>
          <w:rFonts w:ascii="Arial" w:hAnsi="Arial" w:cs="Arial"/>
          <w:i/>
        </w:rPr>
        <w:t>ethnic</w:t>
      </w:r>
      <w:r w:rsidR="007B7640" w:rsidRPr="00CD59CC">
        <w:rPr>
          <w:rFonts w:ascii="Arial" w:hAnsi="Arial" w:cs="Arial"/>
          <w:i/>
        </w:rPr>
        <w:t xml:space="preserve"> </w:t>
      </w:r>
      <w:r w:rsidRPr="00CD59CC">
        <w:rPr>
          <w:rFonts w:ascii="Arial" w:hAnsi="Arial" w:cs="Arial"/>
          <w:i/>
        </w:rPr>
        <w:t>group</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primary</w:t>
      </w:r>
      <w:r w:rsidR="007B7640" w:rsidRPr="00CD59CC">
        <w:rPr>
          <w:rFonts w:ascii="Arial" w:hAnsi="Arial" w:cs="Arial"/>
          <w:i/>
        </w:rPr>
        <w:t xml:space="preserve"> </w:t>
      </w:r>
      <w:r w:rsidRPr="00CD59CC">
        <w:rPr>
          <w:rFonts w:ascii="Arial" w:hAnsi="Arial" w:cs="Arial"/>
          <w:i/>
        </w:rPr>
        <w:t>carer</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disabled</w:t>
      </w:r>
      <w:r w:rsidR="007B7640" w:rsidRPr="00CD59CC">
        <w:rPr>
          <w:rFonts w:ascii="Arial" w:hAnsi="Arial" w:cs="Arial"/>
          <w:i/>
        </w:rPr>
        <w:t xml:space="preserve"> </w:t>
      </w:r>
      <w:r w:rsidRPr="00CD59CC">
        <w:rPr>
          <w:rFonts w:ascii="Arial" w:hAnsi="Arial" w:cs="Arial"/>
          <w:i/>
        </w:rPr>
        <w:t>person)?</w:t>
      </w:r>
      <w:r w:rsidR="007B7640" w:rsidRPr="00CD59CC">
        <w:rPr>
          <w:rFonts w:ascii="Arial" w:hAnsi="Arial" w:cs="Arial"/>
          <w:i/>
        </w:rPr>
        <w:t xml:space="preserve"> </w:t>
      </w:r>
      <w:r w:rsidRPr="00CD59CC">
        <w:rPr>
          <w:rFonts w:ascii="Arial" w:hAnsi="Arial" w:cs="Arial"/>
          <w:i/>
        </w:rPr>
        <w:t>If</w:t>
      </w:r>
      <w:r w:rsidR="007B7640" w:rsidRPr="00CD59CC">
        <w:rPr>
          <w:rFonts w:ascii="Arial" w:hAnsi="Arial" w:cs="Arial"/>
          <w:i/>
        </w:rPr>
        <w:t xml:space="preserve"> </w:t>
      </w:r>
      <w:r w:rsidRPr="00CD59CC">
        <w:rPr>
          <w:rFonts w:ascii="Arial" w:hAnsi="Arial" w:cs="Arial"/>
          <w:i/>
        </w:rPr>
        <w:t>so,</w:t>
      </w:r>
      <w:r w:rsidR="007B7640" w:rsidRPr="00CD59CC">
        <w:rPr>
          <w:rFonts w:ascii="Arial" w:hAnsi="Arial" w:cs="Arial"/>
          <w:i/>
        </w:rPr>
        <w:t xml:space="preserve"> </w:t>
      </w:r>
      <w:r w:rsidRPr="00CD59CC">
        <w:rPr>
          <w:rFonts w:ascii="Arial" w:hAnsi="Arial" w:cs="Arial"/>
          <w:i/>
        </w:rPr>
        <w:t>how?</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line</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judgment</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Case</w:t>
      </w:r>
      <w:r w:rsidR="007B7640" w:rsidRPr="00CD59CC">
        <w:rPr>
          <w:rFonts w:ascii="Arial" w:hAnsi="Arial" w:cs="Arial"/>
          <w:i/>
        </w:rPr>
        <w:t xml:space="preserve"> </w:t>
      </w:r>
      <w:r w:rsidRPr="00CD59CC">
        <w:rPr>
          <w:rFonts w:ascii="Arial" w:hAnsi="Arial" w:cs="Arial"/>
          <w:i/>
        </w:rPr>
        <w:t>C-303/06</w:t>
      </w:r>
      <w:r w:rsidR="007B7640" w:rsidRPr="00CD59CC">
        <w:rPr>
          <w:rFonts w:ascii="Arial" w:hAnsi="Arial" w:cs="Arial"/>
          <w:i/>
        </w:rPr>
        <w:t xml:space="preserve"> </w:t>
      </w:r>
      <w:r w:rsidRPr="00CD59CC">
        <w:rPr>
          <w:rFonts w:ascii="Arial" w:hAnsi="Arial" w:cs="Arial"/>
          <w:i/>
        </w:rPr>
        <w:t>Coleman</w:t>
      </w:r>
      <w:r w:rsidR="007B7640" w:rsidRPr="00CD59CC">
        <w:rPr>
          <w:rFonts w:ascii="Arial" w:hAnsi="Arial" w:cs="Arial"/>
          <w:i/>
        </w:rPr>
        <w:t xml:space="preserve"> </w:t>
      </w:r>
      <w:r w:rsidRPr="00CD59CC">
        <w:rPr>
          <w:rFonts w:ascii="Arial" w:hAnsi="Arial" w:cs="Arial"/>
          <w:i/>
        </w:rPr>
        <w:t>v</w:t>
      </w:r>
      <w:r w:rsidR="007B7640" w:rsidRPr="00CD59CC">
        <w:rPr>
          <w:rFonts w:ascii="Arial" w:hAnsi="Arial" w:cs="Arial"/>
          <w:i/>
        </w:rPr>
        <w:t xml:space="preserve"> </w:t>
      </w:r>
      <w:r w:rsidRPr="00CD59CC">
        <w:rPr>
          <w:rFonts w:ascii="Arial" w:hAnsi="Arial" w:cs="Arial"/>
          <w:i/>
        </w:rPr>
        <w:t>Attridge</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Steve</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p>
    <w:p w14:paraId="75C8E362" w14:textId="77777777" w:rsidR="002B5BCD" w:rsidRPr="00CD59CC" w:rsidRDefault="002B5BCD" w:rsidP="00CD59CC">
      <w:pPr>
        <w:ind w:left="567" w:hanging="567"/>
        <w:rPr>
          <w:rFonts w:ascii="Arial" w:hAnsi="Arial" w:cs="Arial"/>
        </w:rPr>
      </w:pPr>
    </w:p>
    <w:p w14:paraId="36C823A8" w14:textId="77777777" w:rsidR="00996D1B" w:rsidRPr="00CD59CC" w:rsidRDefault="00996D1B" w:rsidP="00CD59CC">
      <w:pPr>
        <w:rPr>
          <w:rFonts w:ascii="Arial" w:hAnsi="Arial" w:cs="Arial"/>
        </w:rPr>
      </w:pP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prohibit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association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particular</w:t>
      </w:r>
      <w:r w:rsidR="007B7640" w:rsidRPr="00CD59CC">
        <w:rPr>
          <w:rFonts w:ascii="Arial" w:hAnsi="Arial" w:cs="Arial"/>
        </w:rPr>
        <w:t xml:space="preserve"> </w:t>
      </w:r>
      <w:r w:rsidRPr="00CD59CC">
        <w:rPr>
          <w:rFonts w:ascii="Arial" w:hAnsi="Arial" w:cs="Arial"/>
        </w:rPr>
        <w:t>characteristics.</w:t>
      </w:r>
      <w:r w:rsidR="007B7640" w:rsidRPr="00CD59CC">
        <w:rPr>
          <w:rFonts w:ascii="Arial" w:hAnsi="Arial" w:cs="Arial"/>
        </w:rPr>
        <w:t xml:space="preserve"> </w:t>
      </w:r>
      <w:r w:rsidRPr="00CD59CC">
        <w:rPr>
          <w:rFonts w:ascii="Arial" w:hAnsi="Arial" w:cs="Arial"/>
        </w:rPr>
        <w:t>Nonetheless,</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t)</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attribution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condition)</w:t>
      </w:r>
      <w:r w:rsidR="007B7640" w:rsidRPr="00CD59CC">
        <w:rPr>
          <w:rFonts w:ascii="Arial" w:hAnsi="Arial" w:cs="Arial"/>
        </w:rPr>
        <w:t xml:space="preserve"> </w:t>
      </w:r>
      <w:r w:rsidRPr="00CD59CC">
        <w:rPr>
          <w:rFonts w:ascii="Arial" w:hAnsi="Arial" w:cs="Arial"/>
        </w:rPr>
        <w:t>provides</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discriminated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association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members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particular</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line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judgment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Coleman</w:t>
      </w:r>
      <w:r w:rsidR="007B7640" w:rsidRPr="00CD59CC">
        <w:rPr>
          <w:rFonts w:ascii="Arial" w:hAnsi="Arial" w:cs="Arial"/>
        </w:rPr>
        <w:t xml:space="preserve"> </w:t>
      </w:r>
      <w:r w:rsidRPr="00CD59CC">
        <w:rPr>
          <w:rFonts w:ascii="Arial" w:hAnsi="Arial" w:cs="Arial"/>
        </w:rPr>
        <w:t>case.</w:t>
      </w:r>
    </w:p>
    <w:p w14:paraId="370CC404" w14:textId="77777777" w:rsidR="00996D1B" w:rsidRPr="00CD59CC" w:rsidRDefault="00996D1B" w:rsidP="00CD59CC">
      <w:pPr>
        <w:rPr>
          <w:rFonts w:ascii="Arial" w:hAnsi="Arial" w:cs="Arial"/>
        </w:rPr>
      </w:pPr>
    </w:p>
    <w:p w14:paraId="7FC89B13" w14:textId="77777777" w:rsidR="00996D1B" w:rsidRPr="00CD59CC" w:rsidRDefault="00996D1B" w:rsidP="00CD59CC">
      <w:pPr>
        <w:pStyle w:val="BodyText2"/>
        <w:jc w:val="left"/>
        <w:rPr>
          <w:rFonts w:ascii="Arial" w:hAnsi="Arial" w:cs="Arial"/>
        </w:rPr>
      </w:pPr>
      <w:r w:rsidRPr="00CD59CC">
        <w:rPr>
          <w:rFonts w:ascii="Arial" w:hAnsi="Arial" w:cs="Arial"/>
        </w:rPr>
        <w:t>An</w:t>
      </w:r>
      <w:r w:rsidR="007B7640" w:rsidRPr="00CD59CC">
        <w:rPr>
          <w:rFonts w:ascii="Arial" w:hAnsi="Arial" w:cs="Arial"/>
        </w:rPr>
        <w:t xml:space="preserve"> </w:t>
      </w:r>
      <w:r w:rsidRPr="00CD59CC">
        <w:rPr>
          <w:rFonts w:ascii="Arial" w:hAnsi="Arial" w:cs="Arial"/>
        </w:rPr>
        <w:t>example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72/2008</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applicants</w:t>
      </w:r>
      <w:r w:rsidR="007B7640" w:rsidRPr="00CD59CC">
        <w:rPr>
          <w:rFonts w:ascii="Arial" w:hAnsi="Arial" w:cs="Arial"/>
        </w:rPr>
        <w:t xml:space="preserve"> </w:t>
      </w:r>
      <w:r w:rsidRPr="00CD59CC">
        <w:rPr>
          <w:rFonts w:ascii="Arial" w:hAnsi="Arial" w:cs="Arial"/>
        </w:rPr>
        <w:t>stated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regularly</w:t>
      </w:r>
      <w:r w:rsidR="007B7640" w:rsidRPr="00CD59CC">
        <w:rPr>
          <w:rFonts w:ascii="Arial" w:hAnsi="Arial" w:cs="Arial"/>
        </w:rPr>
        <w:t xml:space="preserve"> </w:t>
      </w:r>
      <w:r w:rsidRPr="00CD59CC">
        <w:rPr>
          <w:rFonts w:ascii="Arial" w:hAnsi="Arial" w:cs="Arial"/>
        </w:rPr>
        <w:t>charged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higher</w:t>
      </w:r>
      <w:r w:rsidR="007B7640" w:rsidRPr="00CD59CC">
        <w:rPr>
          <w:rFonts w:ascii="Arial" w:hAnsi="Arial" w:cs="Arial"/>
        </w:rPr>
        <w:t xml:space="preserve"> </w:t>
      </w:r>
      <w:r w:rsidRPr="00CD59CC">
        <w:rPr>
          <w:rFonts w:ascii="Arial" w:hAnsi="Arial" w:cs="Arial"/>
        </w:rPr>
        <w:t>price</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customers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bar</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applicants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she</w:t>
      </w:r>
      <w:r w:rsidR="007B7640" w:rsidRPr="00CD59CC">
        <w:rPr>
          <w:rFonts w:ascii="Arial" w:hAnsi="Arial" w:cs="Arial"/>
        </w:rPr>
        <w:t xml:space="preserve"> </w:t>
      </w:r>
      <w:r w:rsidRPr="00CD59CC">
        <w:rPr>
          <w:rFonts w:ascii="Arial" w:hAnsi="Arial" w:cs="Arial"/>
        </w:rPr>
        <w:t>shared</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apartment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her</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friend.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latter</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applicant</w:t>
      </w:r>
      <w:r w:rsidR="007B7640" w:rsidRPr="00CD59CC">
        <w:rPr>
          <w:rFonts w:ascii="Arial" w:hAnsi="Arial" w:cs="Arial"/>
        </w:rPr>
        <w:t xml:space="preserve"> </w:t>
      </w:r>
      <w:r w:rsidRPr="00CD59CC">
        <w:rPr>
          <w:rFonts w:ascii="Arial" w:hAnsi="Arial" w:cs="Arial"/>
        </w:rPr>
        <w:t>stated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she</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overcharged</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after</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become</w:t>
      </w:r>
      <w:r w:rsidR="007B7640" w:rsidRPr="00CD59CC">
        <w:rPr>
          <w:rFonts w:ascii="Arial" w:hAnsi="Arial" w:cs="Arial"/>
        </w:rPr>
        <w:t xml:space="preserve"> </w:t>
      </w:r>
      <w:r w:rsidRPr="00CD59CC">
        <w:rPr>
          <w:rFonts w:ascii="Arial" w:hAnsi="Arial" w:cs="Arial"/>
        </w:rPr>
        <w:t>known</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she</w:t>
      </w:r>
      <w:r w:rsidR="007B7640" w:rsidRPr="00CD59CC">
        <w:rPr>
          <w:rFonts w:ascii="Arial" w:hAnsi="Arial" w:cs="Arial"/>
        </w:rPr>
        <w:t xml:space="preserve"> </w:t>
      </w:r>
      <w:r w:rsidRPr="00CD59CC">
        <w:rPr>
          <w:rFonts w:ascii="Arial" w:hAnsi="Arial" w:cs="Arial"/>
        </w:rPr>
        <w:t>resided.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complainants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(association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non-Roma</w:t>
      </w:r>
      <w:r w:rsidR="007B7640" w:rsidRPr="00CD59CC">
        <w:rPr>
          <w:rFonts w:ascii="Arial" w:hAnsi="Arial" w:cs="Arial"/>
        </w:rPr>
        <w:t xml:space="preserve"> </w:t>
      </w:r>
      <w:r w:rsidRPr="00CD59CC">
        <w:rPr>
          <w:rFonts w:ascii="Arial" w:hAnsi="Arial" w:cs="Arial"/>
        </w:rPr>
        <w:t>applicant.</w:t>
      </w:r>
      <w:r w:rsidR="007B7640" w:rsidRPr="00CD59CC">
        <w:rPr>
          <w:rFonts w:ascii="Arial" w:hAnsi="Arial" w:cs="Arial"/>
        </w:rPr>
        <w:t xml:space="preserve"> </w:t>
      </w:r>
    </w:p>
    <w:p w14:paraId="4DF22EFF" w14:textId="77777777" w:rsidR="00996D1B" w:rsidRPr="00CD59CC" w:rsidRDefault="00996D1B" w:rsidP="00CD59CC">
      <w:pPr>
        <w:ind w:left="567" w:hanging="567"/>
        <w:rPr>
          <w:rFonts w:ascii="Arial" w:hAnsi="Arial" w:cs="Arial"/>
        </w:rPr>
      </w:pPr>
    </w:p>
    <w:p w14:paraId="5F01D9A8" w14:textId="77777777" w:rsidR="00996D1B" w:rsidRPr="00CD59CC" w:rsidRDefault="00996D1B" w:rsidP="00CD59CC">
      <w:pPr>
        <w:rPr>
          <w:rFonts w:ascii="Arial" w:hAnsi="Arial" w:cs="Arial"/>
        </w:rPr>
      </w:pPr>
      <w:r w:rsidRPr="00CD59CC">
        <w:rPr>
          <w:rFonts w:ascii="Arial" w:hAnsi="Arial" w:cs="Arial"/>
        </w:rPr>
        <w:t>Guideline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288/2/2010.</w:t>
      </w:r>
      <w:r w:rsidR="007B7640" w:rsidRPr="00CD59CC">
        <w:rPr>
          <w:rFonts w:ascii="Arial" w:hAnsi="Arial" w:cs="Arial"/>
        </w:rPr>
        <w:t xml:space="preserve"> </w:t>
      </w:r>
      <w:r w:rsidRPr="00CD59CC">
        <w:rPr>
          <w:rFonts w:ascii="Arial" w:hAnsi="Arial" w:cs="Arial"/>
        </w:rPr>
        <w:t>(IV.9.)</w:t>
      </w:r>
      <w:r w:rsidR="007B7640" w:rsidRPr="00CD59CC">
        <w:rPr>
          <w:rFonts w:ascii="Arial" w:hAnsi="Arial" w:cs="Arial"/>
        </w:rPr>
        <w:t xml:space="preserve"> </w:t>
      </w:r>
      <w:r w:rsidRPr="00CD59CC">
        <w:rPr>
          <w:rFonts w:ascii="Arial" w:hAnsi="Arial" w:cs="Arial"/>
        </w:rPr>
        <w:t>TT.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Advisory</w:t>
      </w:r>
      <w:r w:rsidR="007B7640" w:rsidRPr="00CD59CC">
        <w:rPr>
          <w:rFonts w:ascii="Arial" w:hAnsi="Arial" w:cs="Arial"/>
        </w:rPr>
        <w:t xml:space="preserve"> </w:t>
      </w:r>
      <w:r w:rsidRPr="00CD59CC">
        <w:rPr>
          <w:rFonts w:ascii="Arial" w:hAnsi="Arial" w:cs="Arial"/>
        </w:rPr>
        <w:t>Board</w:t>
      </w:r>
      <w:r w:rsidR="007B7640" w:rsidRPr="00CD59CC">
        <w:rPr>
          <w:rFonts w:ascii="Arial" w:hAnsi="Arial" w:cs="Arial"/>
        </w:rPr>
        <w:t xml:space="preserve"> </w:t>
      </w:r>
      <w:r w:rsidRPr="00CD59CC">
        <w:rPr>
          <w:rFonts w:ascii="Arial" w:hAnsi="Arial" w:cs="Arial"/>
        </w:rPr>
        <w:t>recommends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should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victim</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associated,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should</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refer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concept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association.</w:t>
      </w:r>
      <w:r w:rsidR="007B7640" w:rsidRPr="00CD59CC">
        <w:rPr>
          <w:rFonts w:ascii="Arial" w:hAnsi="Arial" w:cs="Arial"/>
        </w:rPr>
        <w:t xml:space="preserve"> </w:t>
      </w:r>
    </w:p>
    <w:p w14:paraId="6507E6E2" w14:textId="77777777" w:rsidR="00996D1B" w:rsidRPr="00CD59CC" w:rsidRDefault="00996D1B" w:rsidP="00CD59CC">
      <w:pPr>
        <w:rPr>
          <w:rFonts w:ascii="Arial" w:hAnsi="Arial" w:cs="Arial"/>
        </w:rPr>
      </w:pPr>
    </w:p>
    <w:p w14:paraId="7B3158AB" w14:textId="77777777" w:rsidR="00996D1B" w:rsidRPr="00CD59CC" w:rsidRDefault="00996D1B"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seems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taking</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recommendation</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account: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EBH/23/2011,</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her</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terminated</w:t>
      </w:r>
      <w:r w:rsidR="007B7640" w:rsidRPr="00CD59CC">
        <w:rPr>
          <w:rFonts w:ascii="Arial" w:hAnsi="Arial" w:cs="Arial"/>
        </w:rPr>
        <w:t xml:space="preserve"> </w:t>
      </w:r>
      <w:r w:rsidRPr="00CD59CC">
        <w:rPr>
          <w:rFonts w:ascii="Arial" w:hAnsi="Arial" w:cs="Arial"/>
        </w:rPr>
        <w:t>her</w:t>
      </w:r>
      <w:r w:rsidR="007B7640" w:rsidRPr="00CD59CC">
        <w:rPr>
          <w:rFonts w:ascii="Arial" w:hAnsi="Arial" w:cs="Arial"/>
        </w:rPr>
        <w:t xml:space="preserve"> </w:t>
      </w:r>
      <w:r w:rsidRPr="00CD59CC">
        <w:rPr>
          <w:rFonts w:ascii="Arial" w:hAnsi="Arial" w:cs="Arial"/>
        </w:rPr>
        <w:t>contract</w:t>
      </w:r>
      <w:r w:rsidR="007B7640" w:rsidRPr="00CD59CC">
        <w:rPr>
          <w:rFonts w:ascii="Arial" w:hAnsi="Arial" w:cs="Arial"/>
        </w:rPr>
        <w:t xml:space="preserve"> </w:t>
      </w:r>
      <w:r w:rsidRPr="00CD59CC">
        <w:rPr>
          <w:rFonts w:ascii="Arial" w:hAnsi="Arial" w:cs="Arial"/>
        </w:rPr>
        <w:t>during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probation</w:t>
      </w:r>
      <w:r w:rsidR="007B7640" w:rsidRPr="00CD59CC">
        <w:rPr>
          <w:rFonts w:ascii="Arial" w:hAnsi="Arial" w:cs="Arial"/>
        </w:rPr>
        <w:t xml:space="preserve"> </w:t>
      </w:r>
      <w:r w:rsidRPr="00CD59CC">
        <w:rPr>
          <w:rFonts w:ascii="Arial" w:hAnsi="Arial" w:cs="Arial"/>
        </w:rPr>
        <w:t>period,</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she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leave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absence</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her</w:t>
      </w:r>
      <w:r w:rsidR="007B7640" w:rsidRPr="00CD59CC">
        <w:rPr>
          <w:rFonts w:ascii="Arial" w:hAnsi="Arial" w:cs="Arial"/>
        </w:rPr>
        <w:t xml:space="preserve"> </w:t>
      </w:r>
      <w:r w:rsidRPr="00CD59CC">
        <w:rPr>
          <w:rFonts w:ascii="Arial" w:hAnsi="Arial" w:cs="Arial"/>
        </w:rPr>
        <w:t>2-year</w:t>
      </w:r>
      <w:r w:rsidR="007B7640" w:rsidRPr="00CD59CC">
        <w:rPr>
          <w:rFonts w:ascii="Arial" w:hAnsi="Arial" w:cs="Arial"/>
        </w:rPr>
        <w:t xml:space="preserve"> </w:t>
      </w:r>
      <w:r w:rsidRPr="00CD59CC">
        <w:rPr>
          <w:rFonts w:ascii="Arial" w:hAnsi="Arial" w:cs="Arial"/>
        </w:rPr>
        <w:t>old</w:t>
      </w:r>
      <w:r w:rsidR="007B7640" w:rsidRPr="00CD59CC">
        <w:rPr>
          <w:rFonts w:ascii="Arial" w:hAnsi="Arial" w:cs="Arial"/>
        </w:rPr>
        <w:t xml:space="preserve"> </w:t>
      </w:r>
      <w:r w:rsidRPr="00CD59CC">
        <w:rPr>
          <w:rFonts w:ascii="Arial" w:hAnsi="Arial" w:cs="Arial"/>
        </w:rPr>
        <w:t>child’s</w:t>
      </w:r>
      <w:r w:rsidR="007B7640" w:rsidRPr="00CD59CC">
        <w:rPr>
          <w:rFonts w:ascii="Arial" w:hAnsi="Arial" w:cs="Arial"/>
        </w:rPr>
        <w:t xml:space="preserve"> </w:t>
      </w:r>
      <w:r w:rsidRPr="00CD59CC">
        <w:rPr>
          <w:rFonts w:ascii="Arial" w:hAnsi="Arial" w:cs="Arial"/>
        </w:rPr>
        <w:t>illness.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tried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exempt</w:t>
      </w:r>
      <w:r w:rsidR="007B7640" w:rsidRPr="00CD59CC">
        <w:rPr>
          <w:rFonts w:ascii="Arial" w:hAnsi="Arial" w:cs="Arial"/>
        </w:rPr>
        <w:t xml:space="preserve"> </w:t>
      </w:r>
      <w:r w:rsidRPr="00CD59CC">
        <w:rPr>
          <w:rFonts w:ascii="Arial" w:hAnsi="Arial" w:cs="Arial"/>
        </w:rPr>
        <w:t>himself</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referring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parties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terminate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contract</w:t>
      </w:r>
      <w:r w:rsidR="007B7640" w:rsidRPr="00CD59CC">
        <w:rPr>
          <w:rFonts w:ascii="Arial" w:hAnsi="Arial" w:cs="Arial"/>
        </w:rPr>
        <w:t xml:space="preserve"> </w:t>
      </w:r>
      <w:r w:rsidRPr="00CD59CC">
        <w:rPr>
          <w:rFonts w:ascii="Arial" w:hAnsi="Arial" w:cs="Arial"/>
        </w:rPr>
        <w:t>without</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justification</w:t>
      </w:r>
      <w:r w:rsidR="007B7640" w:rsidRPr="00CD59CC">
        <w:rPr>
          <w:rFonts w:ascii="Arial" w:hAnsi="Arial" w:cs="Arial"/>
        </w:rPr>
        <w:t xml:space="preserve"> </w:t>
      </w:r>
      <w:r w:rsidRPr="00CD59CC">
        <w:rPr>
          <w:rFonts w:ascii="Arial" w:hAnsi="Arial" w:cs="Arial"/>
        </w:rPr>
        <w:t>during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probation</w:t>
      </w:r>
      <w:r w:rsidR="007B7640" w:rsidRPr="00CD59CC">
        <w:rPr>
          <w:rFonts w:ascii="Arial" w:hAnsi="Arial" w:cs="Arial"/>
        </w:rPr>
        <w:t xml:space="preserve"> </w:t>
      </w:r>
      <w:r w:rsidRPr="00CD59CC">
        <w:rPr>
          <w:rFonts w:ascii="Arial" w:hAnsi="Arial" w:cs="Arial"/>
        </w:rPr>
        <w:t>period.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concluded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defence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amounted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failure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meet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requirements</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shifted</w:t>
      </w:r>
      <w:r w:rsidR="007B7640" w:rsidRPr="00CD59CC">
        <w:rPr>
          <w:rFonts w:ascii="Arial" w:hAnsi="Arial" w:cs="Arial"/>
        </w:rPr>
        <w:t xml:space="preserve"> </w:t>
      </w:r>
      <w:r w:rsidRPr="00CD59CC">
        <w:rPr>
          <w:rFonts w:ascii="Arial" w:hAnsi="Arial" w:cs="Arial"/>
        </w:rPr>
        <w:t>burden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proof</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could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give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reasonable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complainant’s</w:t>
      </w:r>
      <w:r w:rsidR="007B7640" w:rsidRPr="00CD59CC">
        <w:rPr>
          <w:rFonts w:ascii="Arial" w:hAnsi="Arial" w:cs="Arial"/>
        </w:rPr>
        <w:t xml:space="preserve"> </w:t>
      </w:r>
      <w:r w:rsidRPr="00CD59CC">
        <w:rPr>
          <w:rFonts w:ascii="Arial" w:hAnsi="Arial" w:cs="Arial"/>
        </w:rPr>
        <w:t>dismissal),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status”,</w:t>
      </w:r>
      <w:r w:rsidR="007B7640" w:rsidRPr="00CD59CC">
        <w:rPr>
          <w:rFonts w:ascii="Arial" w:hAnsi="Arial" w:cs="Arial"/>
        </w:rPr>
        <w:t xml:space="preserve"> </w:t>
      </w:r>
      <w:r w:rsidRPr="00CD59CC">
        <w:rPr>
          <w:rFonts w:ascii="Arial" w:hAnsi="Arial" w:cs="Arial"/>
        </w:rPr>
        <w:t>thus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employed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notion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association.</w:t>
      </w:r>
      <w:r w:rsidRPr="00CD59CC">
        <w:rPr>
          <w:rStyle w:val="FootnoteReference"/>
          <w:rFonts w:ascii="Arial" w:hAnsi="Arial" w:cs="Arial"/>
        </w:rPr>
        <w:footnoteReference w:id="26"/>
      </w:r>
    </w:p>
    <w:p w14:paraId="2F239FE4" w14:textId="77777777" w:rsidR="00416B77" w:rsidRPr="00CD59CC" w:rsidRDefault="00416B77" w:rsidP="00CD59CC">
      <w:pPr>
        <w:rPr>
          <w:rFonts w:ascii="Arial" w:hAnsi="Arial" w:cs="Arial"/>
        </w:rPr>
      </w:pPr>
    </w:p>
    <w:p w14:paraId="04B9CCC4" w14:textId="4DAC66C5" w:rsidR="002B5BCD" w:rsidRPr="00CD59CC" w:rsidRDefault="00B97ED3" w:rsidP="00CD59CC">
      <w:pPr>
        <w:pStyle w:val="Heading2"/>
        <w:rPr>
          <w:rFonts w:cs="Arial"/>
        </w:rPr>
      </w:pPr>
      <w:bookmarkStart w:id="47" w:name="_Toc220221137"/>
      <w:r>
        <w:rPr>
          <w:rFonts w:cs="Arial"/>
        </w:rPr>
        <w:br w:type="page"/>
      </w:r>
      <w:bookmarkStart w:id="48" w:name="_Toc392758708"/>
      <w:bookmarkStart w:id="49" w:name="_Toc329163599"/>
      <w:bookmarkStart w:id="50" w:name="_Toc366846317"/>
      <w:r w:rsidR="002B5BCD" w:rsidRPr="00CD59CC">
        <w:rPr>
          <w:rFonts w:cs="Arial"/>
        </w:rPr>
        <w:lastRenderedPageBreak/>
        <w:t>Direct</w:t>
      </w:r>
      <w:r w:rsidR="007B7640" w:rsidRPr="00CD59CC">
        <w:rPr>
          <w:rFonts w:cs="Arial"/>
        </w:rPr>
        <w:t xml:space="preserve"> </w:t>
      </w:r>
      <w:r w:rsidR="002B5BCD" w:rsidRPr="00CD59CC">
        <w:rPr>
          <w:rFonts w:cs="Arial"/>
        </w:rPr>
        <w:t>discrimination</w:t>
      </w:r>
      <w:r w:rsidR="007B7640" w:rsidRPr="00CD59CC">
        <w:rPr>
          <w:rFonts w:cs="Arial"/>
        </w:rPr>
        <w:t xml:space="preserve"> </w:t>
      </w:r>
      <w:r w:rsidR="002B5BCD" w:rsidRPr="00CD59CC">
        <w:rPr>
          <w:rFonts w:cs="Arial"/>
        </w:rPr>
        <w:t>(Article</w:t>
      </w:r>
      <w:r w:rsidR="007B7640" w:rsidRPr="00CD59CC">
        <w:rPr>
          <w:rFonts w:cs="Arial"/>
        </w:rPr>
        <w:t xml:space="preserve"> </w:t>
      </w:r>
      <w:r w:rsidR="002B5BCD" w:rsidRPr="00CD59CC">
        <w:rPr>
          <w:rFonts w:cs="Arial"/>
        </w:rPr>
        <w:t>2(2)(a))</w:t>
      </w:r>
      <w:bookmarkEnd w:id="47"/>
      <w:bookmarkEnd w:id="48"/>
      <w:bookmarkEnd w:id="49"/>
      <w:bookmarkEnd w:id="50"/>
    </w:p>
    <w:p w14:paraId="66F133FF" w14:textId="77777777" w:rsidR="002B5BCD" w:rsidRPr="00CD59CC" w:rsidRDefault="002B5BCD" w:rsidP="00CD59CC">
      <w:pPr>
        <w:rPr>
          <w:rFonts w:ascii="Arial" w:hAnsi="Arial" w:cs="Arial"/>
        </w:rPr>
      </w:pPr>
    </w:p>
    <w:p w14:paraId="4E64B1B3" w14:textId="69EF8322" w:rsidR="002B5BCD" w:rsidRPr="00CD59CC" w:rsidRDefault="002B5BCD" w:rsidP="006F5D91">
      <w:pPr>
        <w:numPr>
          <w:ilvl w:val="0"/>
          <w:numId w:val="4"/>
        </w:numPr>
        <w:tabs>
          <w:tab w:val="left" w:pos="567"/>
        </w:tabs>
        <w:ind w:left="567" w:hanging="567"/>
        <w:rPr>
          <w:rFonts w:ascii="Arial" w:hAnsi="Arial" w:cs="Arial"/>
          <w:i/>
        </w:rPr>
      </w:pPr>
      <w:r w:rsidRPr="00CD59CC">
        <w:rPr>
          <w:rFonts w:ascii="Arial" w:hAnsi="Arial" w:cs="Arial"/>
          <w:i/>
        </w:rPr>
        <w:t>How</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direct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defined</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Please</w:t>
      </w:r>
      <w:r w:rsidR="007B7640" w:rsidRPr="00CD59CC">
        <w:rPr>
          <w:rFonts w:ascii="Arial" w:hAnsi="Arial" w:cs="Arial"/>
          <w:i/>
        </w:rPr>
        <w:t xml:space="preserve"> </w:t>
      </w:r>
      <w:r w:rsidRPr="00CD59CC">
        <w:rPr>
          <w:rFonts w:ascii="Arial" w:hAnsi="Arial" w:cs="Arial"/>
          <w:i/>
        </w:rPr>
        <w:t>indicate</w:t>
      </w:r>
      <w:r w:rsidR="007B7640" w:rsidRPr="00CD59CC">
        <w:rPr>
          <w:rFonts w:ascii="Arial" w:hAnsi="Arial" w:cs="Arial"/>
          <w:i/>
        </w:rPr>
        <w:t xml:space="preserve"> </w:t>
      </w:r>
      <w:r w:rsidRPr="00CD59CC">
        <w:rPr>
          <w:rFonts w:ascii="Arial" w:hAnsi="Arial" w:cs="Arial"/>
          <w:i/>
        </w:rPr>
        <w:t>whether</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definition</w:t>
      </w:r>
      <w:r w:rsidR="007B7640" w:rsidRPr="00CD59CC">
        <w:rPr>
          <w:rFonts w:ascii="Arial" w:hAnsi="Arial" w:cs="Arial"/>
          <w:i/>
        </w:rPr>
        <w:t xml:space="preserve"> </w:t>
      </w:r>
      <w:r w:rsidRPr="00CD59CC">
        <w:rPr>
          <w:rFonts w:ascii="Arial" w:hAnsi="Arial" w:cs="Arial"/>
          <w:i/>
        </w:rPr>
        <w:t>complies</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those</w:t>
      </w:r>
      <w:r w:rsidR="007B7640" w:rsidRPr="00CD59CC">
        <w:rPr>
          <w:rFonts w:ascii="Arial" w:hAnsi="Arial" w:cs="Arial"/>
          <w:i/>
        </w:rPr>
        <w:t xml:space="preserve"> </w:t>
      </w:r>
      <w:r w:rsidRPr="00CD59CC">
        <w:rPr>
          <w:rFonts w:ascii="Arial" w:hAnsi="Arial" w:cs="Arial"/>
          <w:i/>
        </w:rPr>
        <w:t>given</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directives.</w:t>
      </w:r>
    </w:p>
    <w:p w14:paraId="080207BB" w14:textId="77777777" w:rsidR="003E48C1" w:rsidRPr="00BB4E9F" w:rsidRDefault="003E48C1" w:rsidP="00BB4E9F">
      <w:pPr>
        <w:tabs>
          <w:tab w:val="left" w:pos="567"/>
        </w:tabs>
        <w:ind w:left="720"/>
        <w:rPr>
          <w:rFonts w:ascii="Arial" w:hAnsi="Arial"/>
          <w:i/>
        </w:rPr>
      </w:pPr>
    </w:p>
    <w:p w14:paraId="50EF5365" w14:textId="77777777" w:rsidR="003E48C1" w:rsidRPr="00CD59CC" w:rsidRDefault="003E48C1"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forth</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constituted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action</w:t>
      </w:r>
      <w:r w:rsidR="007B7640" w:rsidRPr="00CD59CC">
        <w:rPr>
          <w:rFonts w:ascii="Arial" w:hAnsi="Arial" w:cs="Arial"/>
        </w:rPr>
        <w:t xml:space="preserve"> </w:t>
      </w:r>
      <w:r w:rsidRPr="00CD59CC">
        <w:rPr>
          <w:rFonts w:ascii="Arial" w:hAnsi="Arial" w:cs="Arial"/>
        </w:rPr>
        <w:t>[including</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conduct,</w:t>
      </w:r>
      <w:r w:rsidR="007B7640" w:rsidRPr="00CD59CC">
        <w:rPr>
          <w:rFonts w:ascii="Arial" w:hAnsi="Arial" w:cs="Arial"/>
        </w:rPr>
        <w:t xml:space="preserve"> </w:t>
      </w:r>
      <w:r w:rsidRPr="00CD59CC">
        <w:rPr>
          <w:rFonts w:ascii="Arial" w:hAnsi="Arial" w:cs="Arial"/>
        </w:rPr>
        <w:t>omission,</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order</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practice]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real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assumed</w:t>
      </w:r>
      <w:r w:rsidR="007B7640" w:rsidRPr="00CD59CC">
        <w:rPr>
          <w:rFonts w:ascii="Arial" w:hAnsi="Arial" w:cs="Arial"/>
        </w:rPr>
        <w:t xml:space="preserve"> </w:t>
      </w:r>
      <w:r w:rsidRPr="00CD59CC">
        <w:rPr>
          <w:rFonts w:ascii="Arial" w:hAnsi="Arial" w:cs="Arial"/>
        </w:rPr>
        <w:t>sex,</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colour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skin,</w:t>
      </w:r>
      <w:r w:rsidR="007B7640" w:rsidRPr="00CD59CC">
        <w:rPr>
          <w:rFonts w:ascii="Arial" w:hAnsi="Arial" w:cs="Arial"/>
        </w:rPr>
        <w:t xml:space="preserve"> </w:t>
      </w:r>
      <w:r w:rsidRPr="00CD59CC">
        <w:rPr>
          <w:rFonts w:ascii="Arial" w:hAnsi="Arial" w:cs="Arial"/>
        </w:rPr>
        <w:t>nationality,</w:t>
      </w:r>
      <w:r w:rsidR="007B7640" w:rsidRPr="00CD59CC">
        <w:rPr>
          <w:rFonts w:ascii="Arial" w:hAnsi="Arial" w:cs="Arial"/>
        </w:rPr>
        <w:t xml:space="preserve"> </w:t>
      </w:r>
      <w:r w:rsidRPr="00CD59CC">
        <w:rPr>
          <w:rFonts w:ascii="Arial" w:hAnsi="Arial" w:cs="Arial"/>
        </w:rPr>
        <w:t>belonging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mother</w:t>
      </w:r>
      <w:r w:rsidR="007B7640" w:rsidRPr="00CD59CC">
        <w:rPr>
          <w:rFonts w:ascii="Arial" w:hAnsi="Arial" w:cs="Arial"/>
        </w:rPr>
        <w:t xml:space="preserve"> </w:t>
      </w:r>
      <w:r w:rsidRPr="00CD59CC">
        <w:rPr>
          <w:rFonts w:ascii="Arial" w:hAnsi="Arial" w:cs="Arial"/>
        </w:rPr>
        <w:t>tongue,</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condition,</w:t>
      </w:r>
      <w:r w:rsidR="007B7640" w:rsidRPr="00CD59CC">
        <w:rPr>
          <w:rFonts w:ascii="Arial" w:hAnsi="Arial" w:cs="Arial"/>
        </w:rPr>
        <w:t xml:space="preserve"> </w:t>
      </w:r>
      <w:r w:rsidRPr="00CD59CC">
        <w:rPr>
          <w:rFonts w:ascii="Arial" w:hAnsi="Arial" w:cs="Arial"/>
        </w:rPr>
        <w:t>religion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belief,</w:t>
      </w:r>
      <w:r w:rsidR="007B7640" w:rsidRPr="00CD59CC">
        <w:rPr>
          <w:rFonts w:ascii="Arial" w:hAnsi="Arial" w:cs="Arial"/>
        </w:rPr>
        <w:t xml:space="preserve"> </w:t>
      </w:r>
      <w:r w:rsidRPr="00CD59CC">
        <w:rPr>
          <w:rFonts w:ascii="Arial" w:hAnsi="Arial" w:cs="Arial"/>
        </w:rPr>
        <w:t>political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opinion,</w:t>
      </w:r>
      <w:r w:rsidR="007B7640" w:rsidRPr="00CD59CC">
        <w:rPr>
          <w:rFonts w:ascii="Arial" w:hAnsi="Arial" w:cs="Arial"/>
        </w:rPr>
        <w:t xml:space="preserve"> </w:t>
      </w:r>
      <w:r w:rsidRPr="00CD59CC">
        <w:rPr>
          <w:rFonts w:ascii="Arial" w:hAnsi="Arial" w:cs="Arial"/>
        </w:rPr>
        <w:t>family</w:t>
      </w:r>
      <w:r w:rsidR="007B7640" w:rsidRPr="00CD59CC">
        <w:rPr>
          <w:rFonts w:ascii="Arial" w:hAnsi="Arial" w:cs="Arial"/>
        </w:rPr>
        <w:t xml:space="preserve"> </w:t>
      </w:r>
      <w:r w:rsidRPr="00CD59CC">
        <w:rPr>
          <w:rFonts w:ascii="Arial" w:hAnsi="Arial" w:cs="Arial"/>
        </w:rPr>
        <w:t>status,</w:t>
      </w:r>
      <w:r w:rsidR="007B7640" w:rsidRPr="00CD59CC">
        <w:rPr>
          <w:rFonts w:ascii="Arial" w:hAnsi="Arial" w:cs="Arial"/>
        </w:rPr>
        <w:t xml:space="preserve"> </w:t>
      </w:r>
      <w:r w:rsidRPr="00CD59CC">
        <w:rPr>
          <w:rFonts w:ascii="Arial" w:hAnsi="Arial" w:cs="Arial"/>
        </w:rPr>
        <w:t>maternity</w:t>
      </w:r>
      <w:r w:rsidR="007B7640" w:rsidRPr="00CD59CC">
        <w:rPr>
          <w:rFonts w:ascii="Arial" w:hAnsi="Arial" w:cs="Arial"/>
        </w:rPr>
        <w:t xml:space="preserve"> </w:t>
      </w:r>
      <w:r w:rsidRPr="00CD59CC">
        <w:rPr>
          <w:rFonts w:ascii="Arial" w:hAnsi="Arial" w:cs="Arial"/>
        </w:rPr>
        <w:t>(pregnancy)</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paternity,</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identity,</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financial</w:t>
      </w:r>
      <w:r w:rsidR="007B7640" w:rsidRPr="00CD59CC">
        <w:rPr>
          <w:rFonts w:ascii="Arial" w:hAnsi="Arial" w:cs="Arial"/>
        </w:rPr>
        <w:t xml:space="preserve"> </w:t>
      </w:r>
      <w:r w:rsidRPr="00CD59CC">
        <w:rPr>
          <w:rFonts w:ascii="Arial" w:hAnsi="Arial" w:cs="Arial"/>
        </w:rPr>
        <w:t>status,</w:t>
      </w:r>
      <w:r w:rsidR="007B7640" w:rsidRPr="00CD59CC">
        <w:rPr>
          <w:rFonts w:ascii="Arial" w:hAnsi="Arial" w:cs="Arial"/>
        </w:rPr>
        <w:t xml:space="preserve"> </w:t>
      </w:r>
      <w:r w:rsidRPr="00CD59CC">
        <w:rPr>
          <w:rFonts w:ascii="Arial" w:hAnsi="Arial" w:cs="Arial"/>
        </w:rPr>
        <w:t>part-time</w:t>
      </w:r>
      <w:r w:rsidR="007B7640" w:rsidRPr="00CD59CC">
        <w:rPr>
          <w:rFonts w:ascii="Arial" w:hAnsi="Arial" w:cs="Arial"/>
        </w:rPr>
        <w:t xml:space="preserve"> </w:t>
      </w:r>
      <w:r w:rsidRPr="00CD59CC">
        <w:rPr>
          <w:rFonts w:ascii="Arial" w:hAnsi="Arial" w:cs="Arial"/>
        </w:rPr>
        <w:t>nature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determined</w:t>
      </w:r>
      <w:r w:rsidR="007B7640" w:rsidRPr="00CD59CC">
        <w:rPr>
          <w:rFonts w:ascii="Arial" w:hAnsi="Arial" w:cs="Arial"/>
        </w:rPr>
        <w:t xml:space="preserve"> </w:t>
      </w:r>
      <w:r w:rsidRPr="00CD59CC">
        <w:rPr>
          <w:rFonts w:ascii="Arial" w:hAnsi="Arial" w:cs="Arial"/>
        </w:rPr>
        <w:t>period</w:t>
      </w:r>
      <w:r w:rsidR="007B7640" w:rsidRPr="00CD59CC">
        <w:rPr>
          <w:rFonts w:ascii="Arial" w:hAnsi="Arial" w:cs="Arial"/>
        </w:rPr>
        <w:t xml:space="preserve"> </w:t>
      </w:r>
      <w:r w:rsidRPr="00CD59CC">
        <w:rPr>
          <w:rFonts w:ascii="Arial" w:hAnsi="Arial" w:cs="Arial"/>
        </w:rPr>
        <w:t>thereof,</w:t>
      </w:r>
      <w:r w:rsidR="007B7640" w:rsidRPr="00CD59CC">
        <w:rPr>
          <w:rFonts w:ascii="Arial" w:hAnsi="Arial" w:cs="Arial"/>
        </w:rPr>
        <w:t xml:space="preserve"> </w:t>
      </w:r>
      <w:r w:rsidRPr="00CD59CC">
        <w:rPr>
          <w:rFonts w:ascii="Arial" w:hAnsi="Arial" w:cs="Arial"/>
        </w:rPr>
        <w:t>belonging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interest</w:t>
      </w:r>
      <w:r w:rsidR="007B7640" w:rsidRPr="00CD59CC">
        <w:rPr>
          <w:rFonts w:ascii="Arial" w:hAnsi="Arial" w:cs="Arial"/>
        </w:rPr>
        <w:t xml:space="preserve"> </w:t>
      </w:r>
      <w:r w:rsidRPr="00CD59CC">
        <w:rPr>
          <w:rFonts w:ascii="Arial" w:hAnsi="Arial" w:cs="Arial"/>
        </w:rPr>
        <w:t>representation,</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attribution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condition</w:t>
      </w:r>
      <w:r w:rsidR="007B7640" w:rsidRPr="00CD59CC">
        <w:rPr>
          <w:rFonts w:ascii="Arial" w:hAnsi="Arial" w:cs="Arial"/>
        </w:rPr>
        <w:t xml:space="preserve"> </w:t>
      </w:r>
      <w:r w:rsidRPr="00CD59CC">
        <w:rPr>
          <w:rFonts w:ascii="Arial" w:hAnsi="Arial" w:cs="Arial"/>
        </w:rPr>
        <w:t>(hereinafter</w:t>
      </w:r>
      <w:r w:rsidR="007B7640" w:rsidRPr="00CD59CC">
        <w:rPr>
          <w:rFonts w:ascii="Arial" w:hAnsi="Arial" w:cs="Arial"/>
        </w:rPr>
        <w:t xml:space="preserve"> </w:t>
      </w:r>
      <w:r w:rsidRPr="00CD59CC">
        <w:rPr>
          <w:rFonts w:ascii="Arial" w:hAnsi="Arial" w:cs="Arial"/>
        </w:rPr>
        <w:t>together:</w:t>
      </w:r>
      <w:r w:rsidR="007B7640" w:rsidRPr="00CD59CC">
        <w:rPr>
          <w:rFonts w:ascii="Arial" w:hAnsi="Arial" w:cs="Arial"/>
        </w:rPr>
        <w:t xml:space="preserve"> </w:t>
      </w:r>
      <w:r w:rsidRPr="00CD59CC">
        <w:rPr>
          <w:rFonts w:ascii="Arial" w:hAnsi="Arial" w:cs="Arial"/>
        </w:rPr>
        <w:t>characteristics)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treated</w:t>
      </w:r>
      <w:r w:rsidR="007B7640" w:rsidRPr="00CD59CC">
        <w:rPr>
          <w:rFonts w:ascii="Arial" w:hAnsi="Arial" w:cs="Arial"/>
        </w:rPr>
        <w:t xml:space="preserve"> </w:t>
      </w:r>
      <w:r w:rsidRPr="00CD59CC">
        <w:rPr>
          <w:rFonts w:ascii="Arial" w:hAnsi="Arial" w:cs="Arial"/>
        </w:rPr>
        <w:t>less</w:t>
      </w:r>
      <w:r w:rsidR="007B7640" w:rsidRPr="00CD59CC">
        <w:rPr>
          <w:rFonts w:ascii="Arial" w:hAnsi="Arial" w:cs="Arial"/>
        </w:rPr>
        <w:t xml:space="preserve"> </w:t>
      </w:r>
      <w:r w:rsidRPr="00CD59CC">
        <w:rPr>
          <w:rFonts w:ascii="Arial" w:hAnsi="Arial" w:cs="Arial"/>
        </w:rPr>
        <w:t>favourably</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another</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treated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comparable</w:t>
      </w:r>
      <w:r w:rsidR="007B7640" w:rsidRPr="00CD59CC">
        <w:rPr>
          <w:rFonts w:ascii="Arial" w:hAnsi="Arial" w:cs="Arial"/>
        </w:rPr>
        <w:t xml:space="preserve"> </w:t>
      </w:r>
      <w:r w:rsidRPr="00CD59CC">
        <w:rPr>
          <w:rFonts w:ascii="Arial" w:hAnsi="Arial" w:cs="Arial"/>
        </w:rPr>
        <w:t>situation.”</w:t>
      </w:r>
    </w:p>
    <w:p w14:paraId="085F27F4" w14:textId="77777777" w:rsidR="002B5BCD" w:rsidRPr="00CD59CC" w:rsidRDefault="002B5BCD" w:rsidP="00CD59CC">
      <w:pPr>
        <w:ind w:left="567" w:hanging="567"/>
        <w:rPr>
          <w:rFonts w:ascii="Arial" w:hAnsi="Arial" w:cs="Arial"/>
        </w:rPr>
      </w:pPr>
    </w:p>
    <w:p w14:paraId="458C8273" w14:textId="77777777" w:rsidR="002B5BCD" w:rsidRPr="00CD59CC" w:rsidRDefault="002B5BCD" w:rsidP="00CD59CC">
      <w:pPr>
        <w:numPr>
          <w:ilvl w:val="0"/>
          <w:numId w:val="4"/>
        </w:numPr>
        <w:tabs>
          <w:tab w:val="left" w:pos="567"/>
        </w:tabs>
        <w:ind w:left="567" w:hanging="567"/>
        <w:rPr>
          <w:rFonts w:ascii="Arial" w:hAnsi="Arial" w:cs="Arial"/>
          <w:i/>
        </w:rPr>
      </w:pPr>
      <w:r w:rsidRPr="00CD59CC">
        <w:rPr>
          <w:rFonts w:ascii="Arial" w:hAnsi="Arial" w:cs="Arial"/>
          <w:i/>
        </w:rPr>
        <w:t>Are</w:t>
      </w:r>
      <w:r w:rsidR="007B7640" w:rsidRPr="00CD59CC">
        <w:rPr>
          <w:rFonts w:ascii="Arial" w:hAnsi="Arial" w:cs="Arial"/>
          <w:i/>
        </w:rPr>
        <w:t xml:space="preserve"> </w:t>
      </w:r>
      <w:r w:rsidRPr="00CD59CC">
        <w:rPr>
          <w:rFonts w:ascii="Arial" w:hAnsi="Arial" w:cs="Arial"/>
          <w:i/>
        </w:rPr>
        <w:t>discriminatory</w:t>
      </w:r>
      <w:r w:rsidR="007B7640" w:rsidRPr="00CD59CC">
        <w:rPr>
          <w:rFonts w:ascii="Arial" w:hAnsi="Arial" w:cs="Arial"/>
          <w:i/>
        </w:rPr>
        <w:t xml:space="preserve"> </w:t>
      </w:r>
      <w:r w:rsidRPr="00CD59CC">
        <w:rPr>
          <w:rFonts w:ascii="Arial" w:hAnsi="Arial" w:cs="Arial"/>
          <w:i/>
        </w:rPr>
        <w:t>statements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discriminatory</w:t>
      </w:r>
      <w:r w:rsidR="007B7640" w:rsidRPr="00CD59CC">
        <w:rPr>
          <w:rFonts w:ascii="Arial" w:hAnsi="Arial" w:cs="Arial"/>
          <w:i/>
        </w:rPr>
        <w:t xml:space="preserve"> </w:t>
      </w:r>
      <w:r w:rsidRPr="00CD59CC">
        <w:rPr>
          <w:rFonts w:ascii="Arial" w:hAnsi="Arial" w:cs="Arial"/>
          <w:i/>
        </w:rPr>
        <w:t>job</w:t>
      </w:r>
      <w:r w:rsidR="007B7640" w:rsidRPr="00CD59CC">
        <w:rPr>
          <w:rFonts w:ascii="Arial" w:hAnsi="Arial" w:cs="Arial"/>
          <w:i/>
        </w:rPr>
        <w:t xml:space="preserve"> </w:t>
      </w:r>
      <w:r w:rsidRPr="00CD59CC">
        <w:rPr>
          <w:rFonts w:ascii="Arial" w:hAnsi="Arial" w:cs="Arial"/>
          <w:i/>
        </w:rPr>
        <w:t>vacancy</w:t>
      </w:r>
      <w:r w:rsidR="007B7640" w:rsidRPr="00CD59CC">
        <w:rPr>
          <w:rFonts w:ascii="Arial" w:hAnsi="Arial" w:cs="Arial"/>
          <w:i/>
        </w:rPr>
        <w:t xml:space="preserve"> </w:t>
      </w:r>
      <w:r w:rsidRPr="00CD59CC">
        <w:rPr>
          <w:rFonts w:ascii="Arial" w:hAnsi="Arial" w:cs="Arial"/>
          <w:i/>
        </w:rPr>
        <w:t>announcements</w:t>
      </w:r>
      <w:r w:rsidR="007B7640" w:rsidRPr="00CD59CC">
        <w:rPr>
          <w:rFonts w:ascii="Arial" w:hAnsi="Arial" w:cs="Arial"/>
          <w:i/>
        </w:rPr>
        <w:t xml:space="preserve"> </w:t>
      </w:r>
      <w:r w:rsidRPr="00CD59CC">
        <w:rPr>
          <w:rFonts w:ascii="Arial" w:hAnsi="Arial" w:cs="Arial"/>
          <w:i/>
        </w:rPr>
        <w:t>capable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constituting</w:t>
      </w:r>
      <w:r w:rsidR="007B7640" w:rsidRPr="00CD59CC">
        <w:rPr>
          <w:rFonts w:ascii="Arial" w:hAnsi="Arial" w:cs="Arial"/>
          <w:i/>
        </w:rPr>
        <w:t xml:space="preserve"> </w:t>
      </w:r>
      <w:r w:rsidRPr="00CD59CC">
        <w:rPr>
          <w:rFonts w:ascii="Arial" w:hAnsi="Arial" w:cs="Arial"/>
          <w:i/>
        </w:rPr>
        <w:t>direct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Case</w:t>
      </w:r>
      <w:r w:rsidR="007B7640" w:rsidRPr="00CD59CC">
        <w:rPr>
          <w:rFonts w:ascii="Arial" w:hAnsi="Arial" w:cs="Arial"/>
          <w:i/>
        </w:rPr>
        <w:t xml:space="preserve"> </w:t>
      </w:r>
      <w:r w:rsidRPr="00CD59CC">
        <w:rPr>
          <w:rFonts w:ascii="Arial" w:hAnsi="Arial" w:cs="Arial"/>
          <w:i/>
        </w:rPr>
        <w:t>C-54/07</w:t>
      </w:r>
      <w:r w:rsidR="007B7640" w:rsidRPr="00CD59CC">
        <w:rPr>
          <w:rFonts w:ascii="Arial" w:hAnsi="Arial" w:cs="Arial"/>
          <w:i/>
        </w:rPr>
        <w:t xml:space="preserve"> </w:t>
      </w:r>
      <w:r w:rsidRPr="00CD59CC">
        <w:rPr>
          <w:rFonts w:ascii="Arial" w:hAnsi="Arial" w:cs="Arial"/>
          <w:i/>
        </w:rPr>
        <w:t>Firma</w:t>
      </w:r>
      <w:r w:rsidR="007B7640" w:rsidRPr="00CD59CC">
        <w:rPr>
          <w:rFonts w:ascii="Arial" w:hAnsi="Arial" w:cs="Arial"/>
          <w:i/>
        </w:rPr>
        <w:t xml:space="preserve"> </w:t>
      </w:r>
      <w:r w:rsidRPr="00CD59CC">
        <w:rPr>
          <w:rFonts w:ascii="Arial" w:hAnsi="Arial" w:cs="Arial"/>
          <w:i/>
        </w:rPr>
        <w:t>Feryn).</w:t>
      </w:r>
    </w:p>
    <w:p w14:paraId="3A754234" w14:textId="77777777" w:rsidR="002B5BCD" w:rsidRPr="00CD59CC" w:rsidRDefault="002B5BCD" w:rsidP="00CD59CC">
      <w:pPr>
        <w:ind w:left="567" w:hanging="567"/>
        <w:rPr>
          <w:rFonts w:ascii="Arial" w:hAnsi="Arial" w:cs="Arial"/>
        </w:rPr>
      </w:pPr>
    </w:p>
    <w:p w14:paraId="3F79A938" w14:textId="77777777" w:rsidR="003E48C1" w:rsidRPr="00CD59CC" w:rsidRDefault="003E48C1" w:rsidP="00CD59CC">
      <w:pPr>
        <w:rPr>
          <w:rFonts w:ascii="Arial" w:hAnsi="Arial" w:cs="Arial"/>
        </w:rPr>
      </w:pPr>
      <w:r w:rsidRPr="00CD59CC">
        <w:rPr>
          <w:rFonts w:ascii="Arial" w:hAnsi="Arial" w:cs="Arial"/>
        </w:rPr>
        <w:t>Discriminatory</w:t>
      </w:r>
      <w:r w:rsidR="007B7640" w:rsidRPr="00CD59CC">
        <w:rPr>
          <w:rFonts w:ascii="Arial" w:hAnsi="Arial" w:cs="Arial"/>
        </w:rPr>
        <w:t xml:space="preserve"> </w:t>
      </w:r>
      <w:r w:rsidRPr="00CD59CC">
        <w:rPr>
          <w:rFonts w:ascii="Arial" w:hAnsi="Arial" w:cs="Arial"/>
        </w:rPr>
        <w:t>job</w:t>
      </w:r>
      <w:r w:rsidR="007B7640" w:rsidRPr="00CD59CC">
        <w:rPr>
          <w:rFonts w:ascii="Arial" w:hAnsi="Arial" w:cs="Arial"/>
        </w:rPr>
        <w:t xml:space="preserve"> </w:t>
      </w:r>
      <w:r w:rsidRPr="00CD59CC">
        <w:rPr>
          <w:rFonts w:ascii="Arial" w:hAnsi="Arial" w:cs="Arial"/>
        </w:rPr>
        <w:t>vacancy</w:t>
      </w:r>
      <w:r w:rsidR="007B7640" w:rsidRPr="00CD59CC">
        <w:rPr>
          <w:rFonts w:ascii="Arial" w:hAnsi="Arial" w:cs="Arial"/>
        </w:rPr>
        <w:t xml:space="preserve"> </w:t>
      </w:r>
      <w:r w:rsidRPr="00CD59CC">
        <w:rPr>
          <w:rFonts w:ascii="Arial" w:hAnsi="Arial" w:cs="Arial"/>
        </w:rPr>
        <w:t>announcements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definitely</w:t>
      </w:r>
      <w:r w:rsidR="007B7640" w:rsidRPr="00CD59CC">
        <w:rPr>
          <w:rFonts w:ascii="Arial" w:hAnsi="Arial" w:cs="Arial"/>
        </w:rPr>
        <w:t xml:space="preserve"> </w:t>
      </w:r>
      <w:r w:rsidRPr="00CD59CC">
        <w:rPr>
          <w:rFonts w:ascii="Arial" w:hAnsi="Arial" w:cs="Arial"/>
        </w:rPr>
        <w:t>capable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constituting</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already</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coming</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force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lawsuit</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launched</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Code’s</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inherent</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1997</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published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job</w:t>
      </w:r>
      <w:r w:rsidR="007B7640" w:rsidRPr="00CD59CC">
        <w:rPr>
          <w:rFonts w:ascii="Arial" w:hAnsi="Arial" w:cs="Arial"/>
        </w:rPr>
        <w:t xml:space="preserve"> </w:t>
      </w:r>
      <w:r w:rsidRPr="00CD59CC">
        <w:rPr>
          <w:rFonts w:ascii="Arial" w:hAnsi="Arial" w:cs="Arial"/>
        </w:rPr>
        <w:t>advertisement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exclusively</w:t>
      </w:r>
      <w:r w:rsidR="007B7640" w:rsidRPr="00CD59CC">
        <w:rPr>
          <w:rFonts w:ascii="Arial" w:hAnsi="Arial" w:cs="Arial"/>
        </w:rPr>
        <w:t xml:space="preserve"> </w:t>
      </w:r>
      <w:r w:rsidRPr="00CD59CC">
        <w:rPr>
          <w:rFonts w:ascii="Arial" w:hAnsi="Arial" w:cs="Arial"/>
        </w:rPr>
        <w:t>male</w:t>
      </w:r>
      <w:r w:rsidR="007B7640" w:rsidRPr="00CD59CC">
        <w:rPr>
          <w:rFonts w:ascii="Arial" w:hAnsi="Arial" w:cs="Arial"/>
        </w:rPr>
        <w:t xml:space="preserve"> </w:t>
      </w:r>
      <w:r w:rsidRPr="00CD59CC">
        <w:rPr>
          <w:rFonts w:ascii="Arial" w:hAnsi="Arial" w:cs="Arial"/>
        </w:rPr>
        <w:t>assistants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university</w:t>
      </w:r>
      <w:r w:rsidR="007B7640" w:rsidRPr="00CD59CC">
        <w:rPr>
          <w:rFonts w:ascii="Arial" w:hAnsi="Arial" w:cs="Arial"/>
        </w:rPr>
        <w:t xml:space="preserve"> </w:t>
      </w:r>
      <w:r w:rsidRPr="00CD59CC">
        <w:rPr>
          <w:rFonts w:ascii="Arial" w:hAnsi="Arial" w:cs="Arial"/>
        </w:rPr>
        <w:t>degree,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good</w:t>
      </w:r>
      <w:r w:rsidR="007B7640" w:rsidRPr="00CD59CC">
        <w:rPr>
          <w:rFonts w:ascii="Arial" w:hAnsi="Arial" w:cs="Arial"/>
        </w:rPr>
        <w:t xml:space="preserve"> </w:t>
      </w:r>
      <w:r w:rsidRPr="00CD59CC">
        <w:rPr>
          <w:rFonts w:ascii="Arial" w:hAnsi="Arial" w:cs="Arial"/>
        </w:rPr>
        <w:t>command</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French,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driver’s</w:t>
      </w:r>
      <w:r w:rsidR="007B7640" w:rsidRPr="00CD59CC">
        <w:rPr>
          <w:rFonts w:ascii="Arial" w:hAnsi="Arial" w:cs="Arial"/>
        </w:rPr>
        <w:t xml:space="preserve"> </w:t>
      </w:r>
      <w:r w:rsidRPr="00CD59CC">
        <w:rPr>
          <w:rFonts w:ascii="Arial" w:hAnsi="Arial" w:cs="Arial"/>
        </w:rPr>
        <w:t>license,</w:t>
      </w:r>
      <w:r w:rsidR="007B7640" w:rsidRPr="00CD59CC">
        <w:rPr>
          <w:rFonts w:ascii="Arial" w:hAnsi="Arial" w:cs="Arial"/>
        </w:rPr>
        <w:t xml:space="preserve"> </w:t>
      </w:r>
      <w:r w:rsidRPr="00CD59CC">
        <w:rPr>
          <w:rFonts w:ascii="Arial" w:hAnsi="Arial" w:cs="Arial"/>
        </w:rPr>
        <w:t>good</w:t>
      </w:r>
      <w:r w:rsidR="007B7640" w:rsidRPr="00CD59CC">
        <w:rPr>
          <w:rFonts w:ascii="Arial" w:hAnsi="Arial" w:cs="Arial"/>
        </w:rPr>
        <w:t xml:space="preserve"> </w:t>
      </w:r>
      <w:r w:rsidRPr="00CD59CC">
        <w:rPr>
          <w:rFonts w:ascii="Arial" w:hAnsi="Arial" w:cs="Arial"/>
        </w:rPr>
        <w:t>organisational</w:t>
      </w:r>
      <w:r w:rsidR="007B7640" w:rsidRPr="00CD59CC">
        <w:rPr>
          <w:rFonts w:ascii="Arial" w:hAnsi="Arial" w:cs="Arial"/>
        </w:rPr>
        <w:t xml:space="preserve"> </w:t>
      </w:r>
      <w:r w:rsidRPr="00CD59CC">
        <w:rPr>
          <w:rFonts w:ascii="Arial" w:hAnsi="Arial" w:cs="Arial"/>
        </w:rPr>
        <w:t>skills,</w:t>
      </w:r>
      <w:r w:rsidR="007B7640" w:rsidRPr="00CD59CC">
        <w:rPr>
          <w:rFonts w:ascii="Arial" w:hAnsi="Arial" w:cs="Arial"/>
        </w:rPr>
        <w:t xml:space="preserve"> </w:t>
      </w:r>
      <w:r w:rsidRPr="00CD59CC">
        <w:rPr>
          <w:rFonts w:ascii="Arial" w:hAnsi="Arial" w:cs="Arial"/>
        </w:rPr>
        <w:t>between</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25</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35.</w:t>
      </w:r>
      <w:r w:rsidR="007B7640" w:rsidRPr="00CD59CC">
        <w:rPr>
          <w:rFonts w:ascii="Arial" w:hAnsi="Arial" w:cs="Arial"/>
        </w:rPr>
        <w:t xml:space="preserve"> </w:t>
      </w:r>
      <w:r w:rsidRPr="00CD59CC">
        <w:rPr>
          <w:rFonts w:ascii="Arial" w:hAnsi="Arial" w:cs="Arial"/>
        </w:rPr>
        <w:t>Wishing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put</w:t>
      </w:r>
      <w:r w:rsidR="007B7640" w:rsidRPr="00CD59CC">
        <w:rPr>
          <w:rFonts w:ascii="Arial" w:hAnsi="Arial" w:cs="Arial"/>
        </w:rPr>
        <w:t xml:space="preserve"> </w:t>
      </w:r>
      <w:r w:rsidRPr="00CD59CC">
        <w:rPr>
          <w:rFonts w:ascii="Arial" w:hAnsi="Arial" w:cs="Arial"/>
        </w:rPr>
        <w:t>forward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test</w:t>
      </w:r>
      <w:r w:rsidR="007B7640" w:rsidRPr="00CD59CC">
        <w:rPr>
          <w:rFonts w:ascii="Arial" w:hAnsi="Arial" w:cs="Arial"/>
        </w:rPr>
        <w:t xml:space="preserve"> </w:t>
      </w:r>
      <w:r w:rsidRPr="00CD59CC">
        <w:rPr>
          <w:rFonts w:ascii="Arial" w:hAnsi="Arial" w:cs="Arial"/>
        </w:rPr>
        <w:t>trial,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Office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Opportunities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Department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Ministry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Family</w:t>
      </w:r>
      <w:r w:rsidR="007B7640" w:rsidRPr="00CD59CC">
        <w:rPr>
          <w:rFonts w:ascii="Arial" w:hAnsi="Arial" w:cs="Arial"/>
        </w:rPr>
        <w:t xml:space="preserve"> </w:t>
      </w:r>
      <w:r w:rsidRPr="00CD59CC">
        <w:rPr>
          <w:rFonts w:ascii="Arial" w:hAnsi="Arial" w:cs="Arial"/>
        </w:rPr>
        <w:t>Affairs</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t>contacted</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attorney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woman</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fit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description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brought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lawsuit</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p>
    <w:p w14:paraId="395DAB80" w14:textId="77777777" w:rsidR="003E48C1" w:rsidRPr="00CD59CC" w:rsidRDefault="003E48C1" w:rsidP="00CD59CC">
      <w:pPr>
        <w:rPr>
          <w:rFonts w:ascii="Arial" w:hAnsi="Arial" w:cs="Arial"/>
        </w:rPr>
      </w:pPr>
    </w:p>
    <w:p w14:paraId="59892564" w14:textId="77777777" w:rsidR="003E48C1" w:rsidRPr="00CD59CC" w:rsidRDefault="003E48C1" w:rsidP="00CD59CC">
      <w:pPr>
        <w:rPr>
          <w:rFonts w:ascii="Arial" w:hAnsi="Arial" w:cs="Arial"/>
        </w:rPr>
      </w:pPr>
      <w:r w:rsidRPr="00CD59CC">
        <w:rPr>
          <w:rFonts w:ascii="Arial" w:hAnsi="Arial" w:cs="Arial"/>
        </w:rPr>
        <w:t>Although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plaintiff</w:t>
      </w:r>
      <w:r w:rsidR="007B7640" w:rsidRPr="00CD59CC">
        <w:rPr>
          <w:rFonts w:ascii="Arial" w:hAnsi="Arial" w:cs="Arial"/>
        </w:rPr>
        <w:t xml:space="preserve"> </w:t>
      </w:r>
      <w:r w:rsidRPr="00CD59CC">
        <w:rPr>
          <w:rFonts w:ascii="Arial" w:hAnsi="Arial" w:cs="Arial"/>
        </w:rPr>
        <w:t>never</w:t>
      </w:r>
      <w:r w:rsidR="007B7640" w:rsidRPr="00CD59CC">
        <w:rPr>
          <w:rFonts w:ascii="Arial" w:hAnsi="Arial" w:cs="Arial"/>
        </w:rPr>
        <w:t xml:space="preserve"> </w:t>
      </w:r>
      <w:r w:rsidRPr="00CD59CC">
        <w:rPr>
          <w:rFonts w:ascii="Arial" w:hAnsi="Arial" w:cs="Arial"/>
        </w:rPr>
        <w:t>actually</w:t>
      </w:r>
      <w:r w:rsidR="007B7640" w:rsidRPr="00CD59CC">
        <w:rPr>
          <w:rFonts w:ascii="Arial" w:hAnsi="Arial" w:cs="Arial"/>
        </w:rPr>
        <w:t xml:space="preserve"> </w:t>
      </w:r>
      <w:r w:rsidRPr="00CD59CC">
        <w:rPr>
          <w:rFonts w:ascii="Arial" w:hAnsi="Arial" w:cs="Arial"/>
        </w:rPr>
        <w:t>applied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job,</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found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her</w:t>
      </w:r>
      <w:r w:rsidR="007B7640" w:rsidRPr="00CD59CC">
        <w:rPr>
          <w:rFonts w:ascii="Arial" w:hAnsi="Arial" w:cs="Arial"/>
        </w:rPr>
        <w:t xml:space="preserve"> </w:t>
      </w:r>
      <w:r w:rsidRPr="00CD59CC">
        <w:rPr>
          <w:rFonts w:ascii="Arial" w:hAnsi="Arial" w:cs="Arial"/>
        </w:rPr>
        <w:t>favour,</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obliged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defendant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publish</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advertisement</w:t>
      </w:r>
      <w:r w:rsidR="007B7640" w:rsidRPr="00CD59CC">
        <w:rPr>
          <w:rFonts w:ascii="Arial" w:hAnsi="Arial" w:cs="Arial"/>
        </w:rPr>
        <w:t xml:space="preserve"> </w:t>
      </w:r>
      <w:r w:rsidRPr="00CD59CC">
        <w:rPr>
          <w:rFonts w:ascii="Arial" w:hAnsi="Arial" w:cs="Arial"/>
        </w:rPr>
        <w:t>claiming</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future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respect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consideration</w:t>
      </w:r>
      <w:r w:rsidR="007B7640" w:rsidRPr="00CD59CC">
        <w:rPr>
          <w:rFonts w:ascii="Arial" w:hAnsi="Arial" w:cs="Arial"/>
        </w:rPr>
        <w:t xml:space="preserve"> </w:t>
      </w:r>
      <w:r w:rsidRPr="00CD59CC">
        <w:rPr>
          <w:rFonts w:ascii="Arial" w:hAnsi="Arial" w:cs="Arial"/>
        </w:rPr>
        <w:t>circumstances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job</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deciding</w:t>
      </w:r>
      <w:r w:rsidR="007B7640" w:rsidRPr="00CD59CC">
        <w:rPr>
          <w:rFonts w:ascii="Arial" w:hAnsi="Arial" w:cs="Arial"/>
        </w:rPr>
        <w:t xml:space="preserve"> </w:t>
      </w:r>
      <w:r w:rsidRPr="00CD59CC">
        <w:rPr>
          <w:rFonts w:ascii="Arial" w:hAnsi="Arial" w:cs="Arial"/>
        </w:rPr>
        <w:t>upon</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issues.</w:t>
      </w:r>
      <w:r w:rsidRPr="00CD59CC">
        <w:rPr>
          <w:rStyle w:val="FootnoteReference"/>
          <w:rFonts w:ascii="Arial" w:hAnsi="Arial" w:cs="Arial"/>
        </w:rPr>
        <w:footnoteReference w:id="27"/>
      </w:r>
    </w:p>
    <w:p w14:paraId="7D6C49A3" w14:textId="77777777" w:rsidR="003E48C1" w:rsidRPr="00CD59CC" w:rsidRDefault="003E48C1" w:rsidP="00CD59CC">
      <w:pPr>
        <w:rPr>
          <w:rFonts w:ascii="Arial" w:hAnsi="Arial" w:cs="Arial"/>
        </w:rPr>
      </w:pPr>
    </w:p>
    <w:p w14:paraId="3E51EA07" w14:textId="77777777" w:rsidR="003E48C1" w:rsidRPr="00CD59CC" w:rsidRDefault="003E48C1"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21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claims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especially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job</w:t>
      </w:r>
      <w:r w:rsidR="007B7640" w:rsidRPr="00CD59CC">
        <w:rPr>
          <w:rFonts w:ascii="Arial" w:hAnsi="Arial" w:cs="Arial"/>
        </w:rPr>
        <w:t xml:space="preserve"> </w:t>
      </w:r>
      <w:r w:rsidRPr="00CD59CC">
        <w:rPr>
          <w:rFonts w:ascii="Arial" w:hAnsi="Arial" w:cs="Arial"/>
        </w:rPr>
        <w:t>vacancies</w:t>
      </w:r>
      <w:r w:rsidR="007B7640" w:rsidRPr="00CD59CC">
        <w:rPr>
          <w:rFonts w:ascii="Arial" w:hAnsi="Arial" w:cs="Arial"/>
        </w:rPr>
        <w:t xml:space="preserve"> </w:t>
      </w:r>
      <w:r w:rsidRPr="00CD59CC">
        <w:rPr>
          <w:rFonts w:ascii="Arial" w:hAnsi="Arial" w:cs="Arial"/>
        </w:rPr>
        <w:t>announcements,</w:t>
      </w:r>
      <w:r w:rsidR="007B7640" w:rsidRPr="00CD59CC">
        <w:rPr>
          <w:rFonts w:ascii="Arial" w:hAnsi="Arial" w:cs="Arial"/>
        </w:rPr>
        <w:t xml:space="preserve"> </w:t>
      </w:r>
      <w:r w:rsidRPr="00CD59CC">
        <w:rPr>
          <w:rFonts w:ascii="Arial" w:hAnsi="Arial" w:cs="Arial"/>
        </w:rPr>
        <w:t>recruitment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conditions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employing</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worker,</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amount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breach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p>
    <w:p w14:paraId="7A2E6E00" w14:textId="77777777" w:rsidR="003E48C1" w:rsidRPr="00CD59CC" w:rsidRDefault="003E48C1" w:rsidP="00CD59CC">
      <w:pPr>
        <w:rPr>
          <w:rFonts w:ascii="Arial" w:hAnsi="Arial" w:cs="Arial"/>
        </w:rPr>
      </w:pPr>
      <w:r w:rsidRPr="00CD59CC">
        <w:rPr>
          <w:rFonts w:ascii="Arial" w:hAnsi="Arial" w:cs="Arial"/>
        </w:rPr>
        <w:lastRenderedPageBreak/>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jurisprudence,</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NGO</w:t>
      </w:r>
      <w:r w:rsidR="007B7640" w:rsidRPr="00CD59CC">
        <w:rPr>
          <w:rFonts w:ascii="Arial" w:hAnsi="Arial" w:cs="Arial"/>
        </w:rPr>
        <w:t xml:space="preserve"> </w:t>
      </w:r>
      <w:r w:rsidRPr="00CD59CC">
        <w:rPr>
          <w:rFonts w:ascii="Arial" w:hAnsi="Arial" w:cs="Arial"/>
        </w:rPr>
        <w:t>initiated</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i/>
        </w:rPr>
        <w:t>actio</w:t>
      </w:r>
      <w:r w:rsidR="007B7640" w:rsidRPr="00CD59CC">
        <w:rPr>
          <w:rFonts w:ascii="Arial" w:hAnsi="Arial" w:cs="Arial"/>
          <w:i/>
        </w:rPr>
        <w:t xml:space="preserve"> </w:t>
      </w:r>
      <w:r w:rsidRPr="00CD59CC">
        <w:rPr>
          <w:rFonts w:ascii="Arial" w:hAnsi="Arial" w:cs="Arial"/>
          <w:i/>
        </w:rPr>
        <w:t>popularis</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bar</w:t>
      </w:r>
      <w:r w:rsidR="007B7640" w:rsidRPr="00CD59CC">
        <w:rPr>
          <w:rFonts w:ascii="Arial" w:hAnsi="Arial" w:cs="Arial"/>
        </w:rPr>
        <w:t xml:space="preserve"> </w:t>
      </w:r>
      <w:r w:rsidRPr="00CD59CC">
        <w:rPr>
          <w:rFonts w:ascii="Arial" w:hAnsi="Arial" w:cs="Arial"/>
        </w:rPr>
        <w:t>seeking</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young</w:t>
      </w:r>
      <w:r w:rsidR="007B7640" w:rsidRPr="00CD59CC">
        <w:rPr>
          <w:rFonts w:ascii="Arial" w:hAnsi="Arial" w:cs="Arial"/>
        </w:rPr>
        <w:t xml:space="preserve"> </w:t>
      </w:r>
      <w:r w:rsidRPr="00CD59CC">
        <w:rPr>
          <w:rFonts w:ascii="Arial" w:hAnsi="Arial" w:cs="Arial"/>
        </w:rPr>
        <w:t>female</w:t>
      </w:r>
      <w:r w:rsidR="007B7640" w:rsidRPr="00CD59CC">
        <w:rPr>
          <w:rFonts w:ascii="Arial" w:hAnsi="Arial" w:cs="Arial"/>
        </w:rPr>
        <w:t xml:space="preserve"> </w:t>
      </w:r>
      <w:r w:rsidRPr="00CD59CC">
        <w:rPr>
          <w:rFonts w:ascii="Arial" w:hAnsi="Arial" w:cs="Arial"/>
        </w:rPr>
        <w:t>bartender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newspaper</w:t>
      </w:r>
      <w:r w:rsidR="007B7640" w:rsidRPr="00CD59CC">
        <w:rPr>
          <w:rFonts w:ascii="Arial" w:hAnsi="Arial" w:cs="Arial"/>
        </w:rPr>
        <w:t xml:space="preserve"> </w:t>
      </w:r>
      <w:r w:rsidRPr="00CD59CC">
        <w:rPr>
          <w:rFonts w:ascii="Arial" w:hAnsi="Arial" w:cs="Arial"/>
        </w:rPr>
        <w:t>advertisement.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violated,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ordered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establishing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public.</w:t>
      </w:r>
      <w:r w:rsidRPr="00CD59CC">
        <w:rPr>
          <w:rStyle w:val="FootnoteReference"/>
          <w:rFonts w:ascii="Arial" w:hAnsi="Arial" w:cs="Arial"/>
        </w:rPr>
        <w:footnoteReference w:id="28"/>
      </w:r>
      <w:r w:rsidR="007B7640" w:rsidRPr="00CD59CC">
        <w:rPr>
          <w:rFonts w:ascii="Arial" w:hAnsi="Arial" w:cs="Arial"/>
        </w:rPr>
        <w:t xml:space="preserve"> </w:t>
      </w:r>
    </w:p>
    <w:p w14:paraId="623EE2DE" w14:textId="77777777" w:rsidR="003E48C1" w:rsidRPr="00CD59CC" w:rsidRDefault="003E48C1" w:rsidP="00CD59CC">
      <w:pPr>
        <w:rPr>
          <w:rFonts w:ascii="Arial" w:hAnsi="Arial" w:cs="Arial"/>
        </w:rPr>
      </w:pPr>
    </w:p>
    <w:p w14:paraId="21925C01" w14:textId="77777777" w:rsidR="003E48C1" w:rsidRPr="00CD59CC" w:rsidRDefault="003E48C1" w:rsidP="00CD59CC">
      <w:pPr>
        <w:pStyle w:val="BodyText2"/>
        <w:jc w:val="left"/>
        <w:rPr>
          <w:rFonts w:ascii="Arial" w:hAnsi="Arial" w:cs="Arial"/>
        </w:rPr>
      </w:pPr>
      <w:r w:rsidRPr="00CD59CC">
        <w:rPr>
          <w:rFonts w:ascii="Arial" w:hAnsi="Arial" w:cs="Arial"/>
        </w:rPr>
        <w:t>As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discriminatory</w:t>
      </w:r>
      <w:r w:rsidR="007B7640" w:rsidRPr="00CD59CC">
        <w:rPr>
          <w:rFonts w:ascii="Arial" w:hAnsi="Arial" w:cs="Arial"/>
        </w:rPr>
        <w:t xml:space="preserve"> </w:t>
      </w:r>
      <w:r w:rsidRPr="00CD59CC">
        <w:rPr>
          <w:rFonts w:ascii="Arial" w:hAnsi="Arial" w:cs="Arial"/>
        </w:rPr>
        <w:t>statements,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depends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comes</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actor</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who/which</w:t>
      </w:r>
      <w:r w:rsidR="007B7640" w:rsidRPr="00CD59CC">
        <w:rPr>
          <w:rFonts w:ascii="Arial" w:hAnsi="Arial" w:cs="Arial"/>
        </w:rPr>
        <w:t xml:space="preserve"> </w:t>
      </w:r>
      <w:r w:rsidRPr="00CD59CC">
        <w:rPr>
          <w:rFonts w:ascii="Arial" w:hAnsi="Arial" w:cs="Arial"/>
        </w:rPr>
        <w:t>fall</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discriminatory</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breach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most</w:t>
      </w:r>
      <w:r w:rsidR="007B7640" w:rsidRPr="00CD59CC">
        <w:rPr>
          <w:rFonts w:ascii="Arial" w:hAnsi="Arial" w:cs="Arial"/>
        </w:rPr>
        <w:t xml:space="preserve"> </w:t>
      </w:r>
      <w:r w:rsidRPr="00CD59CC">
        <w:rPr>
          <w:rFonts w:ascii="Arial" w:hAnsi="Arial" w:cs="Arial"/>
        </w:rPr>
        <w:t>probably</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creating</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humiliating,</w:t>
      </w:r>
      <w:r w:rsidR="007B7640" w:rsidRPr="00CD59CC">
        <w:rPr>
          <w:rFonts w:ascii="Arial" w:hAnsi="Arial" w:cs="Arial"/>
        </w:rPr>
        <w:t xml:space="preserve"> </w:t>
      </w:r>
      <w:r w:rsidRPr="00CD59CC">
        <w:rPr>
          <w:rFonts w:ascii="Arial" w:hAnsi="Arial" w:cs="Arial"/>
        </w:rPr>
        <w:t>degrading</w:t>
      </w:r>
      <w:r w:rsidR="007B7640" w:rsidRPr="00CD59CC">
        <w:rPr>
          <w:rFonts w:ascii="Arial" w:hAnsi="Arial" w:cs="Arial"/>
        </w:rPr>
        <w:t xml:space="preserve"> </w:t>
      </w:r>
      <w:r w:rsidRPr="00CD59CC">
        <w:rPr>
          <w:rFonts w:ascii="Arial" w:hAnsi="Arial" w:cs="Arial"/>
        </w:rPr>
        <w:t>environment.</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jurisprudence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still</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phase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development,</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seems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pointing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restrictive</w:t>
      </w:r>
      <w:r w:rsidR="007B7640" w:rsidRPr="00CD59CC">
        <w:rPr>
          <w:rFonts w:ascii="Arial" w:hAnsi="Arial" w:cs="Arial"/>
        </w:rPr>
        <w:t xml:space="preserve"> </w:t>
      </w:r>
      <w:r w:rsidRPr="00CD59CC">
        <w:rPr>
          <w:rFonts w:ascii="Arial" w:hAnsi="Arial" w:cs="Arial"/>
        </w:rPr>
        <w:t>interpretation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p>
    <w:p w14:paraId="06E067C9" w14:textId="77777777" w:rsidR="003E48C1" w:rsidRPr="00CD59CC" w:rsidRDefault="003E48C1" w:rsidP="00CD59CC">
      <w:pPr>
        <w:rPr>
          <w:rFonts w:ascii="Arial" w:hAnsi="Arial" w:cs="Arial"/>
        </w:rPr>
      </w:pPr>
    </w:p>
    <w:p w14:paraId="69FA4031" w14:textId="77777777" w:rsidR="003E48C1" w:rsidRPr="00CD59CC" w:rsidRDefault="003E48C1" w:rsidP="00CD59CC">
      <w:pPr>
        <w:pStyle w:val="BodyText2"/>
        <w:jc w:val="left"/>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June</w:t>
      </w:r>
      <w:r w:rsidR="007B7640" w:rsidRPr="00CD59CC">
        <w:rPr>
          <w:rFonts w:ascii="Arial" w:hAnsi="Arial" w:cs="Arial"/>
        </w:rPr>
        <w:t xml:space="preserve"> </w:t>
      </w:r>
      <w:r w:rsidRPr="00CD59CC">
        <w:rPr>
          <w:rFonts w:ascii="Arial" w:hAnsi="Arial" w:cs="Arial"/>
        </w:rPr>
        <w:t>2009</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council</w:t>
      </w:r>
      <w:r w:rsidR="007B7640" w:rsidRPr="00CD59CC">
        <w:rPr>
          <w:rFonts w:ascii="Arial" w:hAnsi="Arial" w:cs="Arial"/>
        </w:rPr>
        <w:t xml:space="preserve"> </w:t>
      </w:r>
      <w:r w:rsidRPr="00CD59CC">
        <w:rPr>
          <w:rFonts w:ascii="Arial" w:hAnsi="Arial" w:cs="Arial"/>
        </w:rPr>
        <w:t>meeting</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Edelény</w:t>
      </w:r>
      <w:r w:rsidR="007B7640" w:rsidRPr="00CD59CC">
        <w:rPr>
          <w:rFonts w:ascii="Arial" w:hAnsi="Arial" w:cs="Arial"/>
        </w:rPr>
        <w:t xml:space="preserve"> </w:t>
      </w:r>
      <w:r w:rsidRPr="00CD59CC">
        <w:rPr>
          <w:rFonts w:ascii="Arial" w:hAnsi="Arial" w:cs="Arial"/>
        </w:rPr>
        <w:t>(North-East</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town’s</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Oszkár</w:t>
      </w:r>
      <w:r w:rsidR="007B7640" w:rsidRPr="00CD59CC">
        <w:rPr>
          <w:rFonts w:ascii="Arial" w:hAnsi="Arial" w:cs="Arial"/>
        </w:rPr>
        <w:t xml:space="preserve"> </w:t>
      </w:r>
      <w:r w:rsidRPr="00CD59CC">
        <w:rPr>
          <w:rFonts w:ascii="Arial" w:hAnsi="Arial" w:cs="Arial"/>
        </w:rPr>
        <w:t>Molnár</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neighbouring</w:t>
      </w:r>
      <w:r w:rsidR="007B7640" w:rsidRPr="00CD59CC">
        <w:rPr>
          <w:rFonts w:ascii="Arial" w:hAnsi="Arial" w:cs="Arial"/>
        </w:rPr>
        <w:t xml:space="preserve"> </w:t>
      </w:r>
      <w:r w:rsidRPr="00CD59CC">
        <w:rPr>
          <w:rFonts w:ascii="Arial" w:hAnsi="Arial" w:cs="Arial"/>
        </w:rPr>
        <w:t>settlements,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settlements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Gypsy</w:t>
      </w:r>
      <w:r w:rsidR="007B7640" w:rsidRPr="00CD59CC">
        <w:rPr>
          <w:rFonts w:ascii="Arial" w:hAnsi="Arial" w:cs="Arial"/>
        </w:rPr>
        <w:t xml:space="preserve"> </w:t>
      </w:r>
      <w:r w:rsidRPr="00CD59CC">
        <w:rPr>
          <w:rFonts w:ascii="Arial" w:hAnsi="Arial" w:cs="Arial"/>
        </w:rPr>
        <w:t>majority,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Lak,</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Szendrőlád,</w:t>
      </w:r>
      <w:r w:rsidR="007B7640" w:rsidRPr="00CD59CC">
        <w:rPr>
          <w:rFonts w:ascii="Arial" w:hAnsi="Arial" w:cs="Arial"/>
        </w:rPr>
        <w:t xml:space="preserve"> </w:t>
      </w:r>
      <w:r w:rsidRPr="00CD59CC">
        <w:rPr>
          <w:rFonts w:ascii="Arial" w:hAnsi="Arial" w:cs="Arial"/>
        </w:rPr>
        <w:t>pregnant</w:t>
      </w:r>
      <w:r w:rsidR="007B7640" w:rsidRPr="00CD59CC">
        <w:rPr>
          <w:rFonts w:ascii="Arial" w:hAnsi="Arial" w:cs="Arial"/>
        </w:rPr>
        <w:t xml:space="preserve"> </w:t>
      </w:r>
      <w:r w:rsidRPr="00CD59CC">
        <w:rPr>
          <w:rFonts w:ascii="Arial" w:hAnsi="Arial" w:cs="Arial"/>
        </w:rPr>
        <w:t>women</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medication</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give</w:t>
      </w:r>
      <w:r w:rsidR="007B7640" w:rsidRPr="00CD59CC">
        <w:rPr>
          <w:rFonts w:ascii="Arial" w:hAnsi="Arial" w:cs="Arial"/>
        </w:rPr>
        <w:t xml:space="preserve"> </w:t>
      </w:r>
      <w:r w:rsidRPr="00CD59CC">
        <w:rPr>
          <w:rFonts w:ascii="Arial" w:hAnsi="Arial" w:cs="Arial"/>
        </w:rPr>
        <w:t>birth</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demented</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entitled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increased</w:t>
      </w:r>
      <w:r w:rsidR="007B7640" w:rsidRPr="00CD59CC">
        <w:rPr>
          <w:rFonts w:ascii="Arial" w:hAnsi="Arial" w:cs="Arial"/>
        </w:rPr>
        <w:t xml:space="preserve"> </w:t>
      </w:r>
      <w:r w:rsidRPr="00CD59CC">
        <w:rPr>
          <w:rFonts w:ascii="Arial" w:hAnsi="Arial" w:cs="Arial"/>
        </w:rPr>
        <w:t>family</w:t>
      </w:r>
      <w:r w:rsidR="007B7640" w:rsidRPr="00CD59CC">
        <w:rPr>
          <w:rFonts w:ascii="Arial" w:hAnsi="Arial" w:cs="Arial"/>
        </w:rPr>
        <w:t xml:space="preserve"> </w:t>
      </w:r>
      <w:r w:rsidRPr="00CD59CC">
        <w:rPr>
          <w:rFonts w:ascii="Arial" w:hAnsi="Arial" w:cs="Arial"/>
        </w:rPr>
        <w:t>allowance.</w:t>
      </w:r>
      <w:r w:rsidR="007B7640" w:rsidRPr="00CD59CC">
        <w:rPr>
          <w:rFonts w:ascii="Arial" w:hAnsi="Arial" w:cs="Arial"/>
        </w:rPr>
        <w:t xml:space="preserve"> </w:t>
      </w:r>
      <w:r w:rsidRPr="00CD59CC">
        <w:rPr>
          <w:rFonts w:ascii="Arial" w:hAnsi="Arial" w:cs="Arial"/>
        </w:rPr>
        <w:t>Women</w:t>
      </w:r>
      <w:r w:rsidR="007B7640" w:rsidRPr="00CD59CC">
        <w:rPr>
          <w:rFonts w:ascii="Arial" w:hAnsi="Arial" w:cs="Arial"/>
        </w:rPr>
        <w:t xml:space="preserve"> </w:t>
      </w:r>
      <w:r w:rsidRPr="00CD59CC">
        <w:rPr>
          <w:rFonts w:ascii="Arial" w:hAnsi="Arial" w:cs="Arial"/>
        </w:rPr>
        <w:t>during</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pregnancy</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keep</w:t>
      </w:r>
      <w:r w:rsidR="007B7640" w:rsidRPr="00CD59CC">
        <w:rPr>
          <w:rFonts w:ascii="Arial" w:hAnsi="Arial" w:cs="Arial"/>
        </w:rPr>
        <w:t xml:space="preserve"> </w:t>
      </w:r>
      <w:r w:rsidRPr="00CD59CC">
        <w:rPr>
          <w:rFonts w:ascii="Arial" w:hAnsi="Arial" w:cs="Arial"/>
        </w:rPr>
        <w:t>hitting</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bellies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rubber</w:t>
      </w:r>
      <w:r w:rsidR="007B7640" w:rsidRPr="00CD59CC">
        <w:rPr>
          <w:rFonts w:ascii="Arial" w:hAnsi="Arial" w:cs="Arial"/>
        </w:rPr>
        <w:t xml:space="preserve"> </w:t>
      </w:r>
      <w:r w:rsidRPr="00CD59CC">
        <w:rPr>
          <w:rFonts w:ascii="Arial" w:hAnsi="Arial" w:cs="Arial"/>
        </w:rPr>
        <w:t>hammers</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give</w:t>
      </w:r>
      <w:r w:rsidR="007B7640" w:rsidRPr="00CD59CC">
        <w:rPr>
          <w:rFonts w:ascii="Arial" w:hAnsi="Arial" w:cs="Arial"/>
        </w:rPr>
        <w:t xml:space="preserve"> </w:t>
      </w:r>
      <w:r w:rsidRPr="00CD59CC">
        <w:rPr>
          <w:rFonts w:ascii="Arial" w:hAnsi="Arial" w:cs="Arial"/>
        </w:rPr>
        <w:t>birth</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widely</w:t>
      </w:r>
      <w:r w:rsidR="007B7640" w:rsidRPr="00CD59CC">
        <w:rPr>
          <w:rFonts w:ascii="Arial" w:hAnsi="Arial" w:cs="Arial"/>
        </w:rPr>
        <w:t xml:space="preserve"> </w:t>
      </w:r>
      <w:r w:rsidRPr="00CD59CC">
        <w:rPr>
          <w:rFonts w:ascii="Arial" w:hAnsi="Arial" w:cs="Arial"/>
        </w:rPr>
        <w:t>covered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media.</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September</w:t>
      </w:r>
      <w:r w:rsidR="007B7640" w:rsidRPr="00CD59CC">
        <w:rPr>
          <w:rFonts w:ascii="Arial" w:hAnsi="Arial" w:cs="Arial"/>
        </w:rPr>
        <w:t xml:space="preserve"> </w:t>
      </w:r>
      <w:r w:rsidRPr="00CD59CC">
        <w:rPr>
          <w:rFonts w:ascii="Arial" w:hAnsi="Arial" w:cs="Arial"/>
        </w:rPr>
        <w:t>2009,</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launched</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ex</w:t>
      </w:r>
      <w:r w:rsidR="007B7640" w:rsidRPr="00CD59CC">
        <w:rPr>
          <w:rFonts w:ascii="Arial" w:hAnsi="Arial" w:cs="Arial"/>
        </w:rPr>
        <w:t xml:space="preserve"> </w:t>
      </w:r>
      <w:r w:rsidRPr="00CD59CC">
        <w:rPr>
          <w:rFonts w:ascii="Arial" w:hAnsi="Arial" w:cs="Arial"/>
        </w:rPr>
        <w:t>officio</w:t>
      </w:r>
      <w:r w:rsidR="007B7640" w:rsidRPr="00CD59CC">
        <w:rPr>
          <w:rFonts w:ascii="Arial" w:hAnsi="Arial" w:cs="Arial"/>
        </w:rPr>
        <w:t xml:space="preserve"> </w:t>
      </w:r>
      <w:r w:rsidRPr="00CD59CC">
        <w:rPr>
          <w:rFonts w:ascii="Arial" w:hAnsi="Arial" w:cs="Arial"/>
        </w:rPr>
        <w:t>proceeding</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p>
    <w:p w14:paraId="407D7E27" w14:textId="77777777" w:rsidR="003E48C1" w:rsidRPr="00CD59CC" w:rsidRDefault="003E48C1" w:rsidP="00CD59CC">
      <w:pPr>
        <w:pStyle w:val="BodyText2"/>
        <w:jc w:val="left"/>
        <w:rPr>
          <w:rFonts w:ascii="Arial" w:hAnsi="Arial" w:cs="Arial"/>
        </w:rPr>
      </w:pPr>
    </w:p>
    <w:p w14:paraId="295D7CA7" w14:textId="77777777" w:rsidR="003E48C1" w:rsidRPr="00CD59CC" w:rsidRDefault="003E48C1" w:rsidP="00CD59CC">
      <w:pPr>
        <w:pStyle w:val="BodyText2"/>
        <w:jc w:val="left"/>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attempted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defend</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through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sometimes</w:t>
      </w:r>
      <w:r w:rsidR="007B7640" w:rsidRPr="00CD59CC">
        <w:rPr>
          <w:rFonts w:ascii="Arial" w:hAnsi="Arial" w:cs="Arial"/>
        </w:rPr>
        <w:t xml:space="preserve"> </w:t>
      </w:r>
      <w:r w:rsidRPr="00CD59CC">
        <w:rPr>
          <w:rFonts w:ascii="Arial" w:hAnsi="Arial" w:cs="Arial"/>
        </w:rPr>
        <w:t>contradicting</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arguments.</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words</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misinterpreted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intended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claim</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practices</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women</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already</w:t>
      </w:r>
      <w:r w:rsidR="007B7640" w:rsidRPr="00CD59CC">
        <w:rPr>
          <w:rFonts w:ascii="Arial" w:hAnsi="Arial" w:cs="Arial"/>
        </w:rPr>
        <w:t xml:space="preserve"> </w:t>
      </w:r>
      <w:r w:rsidRPr="00CD59CC">
        <w:rPr>
          <w:rFonts w:ascii="Arial" w:hAnsi="Arial" w:cs="Arial"/>
        </w:rPr>
        <w:t>apologised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towns</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named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c)</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knew</w:t>
      </w:r>
      <w:r w:rsidR="007B7640" w:rsidRPr="00CD59CC">
        <w:rPr>
          <w:rFonts w:ascii="Arial" w:hAnsi="Arial" w:cs="Arial"/>
        </w:rPr>
        <w:t xml:space="preserve"> </w:t>
      </w:r>
      <w:r w:rsidRPr="00CD59CC">
        <w:rPr>
          <w:rFonts w:ascii="Arial" w:hAnsi="Arial" w:cs="Arial"/>
        </w:rPr>
        <w:t>about</w:t>
      </w:r>
      <w:r w:rsidR="007B7640" w:rsidRPr="00CD59CC">
        <w:rPr>
          <w:rFonts w:ascii="Arial" w:hAnsi="Arial" w:cs="Arial"/>
        </w:rPr>
        <w:t xml:space="preserve"> </w:t>
      </w:r>
      <w:r w:rsidRPr="00CD59CC">
        <w:rPr>
          <w:rFonts w:ascii="Arial" w:hAnsi="Arial" w:cs="Arial"/>
        </w:rPr>
        <w:t>actual</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pregnant</w:t>
      </w:r>
      <w:r w:rsidR="007B7640" w:rsidRPr="00CD59CC">
        <w:rPr>
          <w:rFonts w:ascii="Arial" w:hAnsi="Arial" w:cs="Arial"/>
        </w:rPr>
        <w:t xml:space="preserve"> </w:t>
      </w:r>
      <w:r w:rsidRPr="00CD59CC">
        <w:rPr>
          <w:rFonts w:ascii="Arial" w:hAnsi="Arial" w:cs="Arial"/>
        </w:rPr>
        <w:t>women</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done</w:t>
      </w:r>
      <w:r w:rsidR="007B7640" w:rsidRPr="00CD59CC">
        <w:rPr>
          <w:rFonts w:ascii="Arial" w:hAnsi="Arial" w:cs="Arial"/>
        </w:rPr>
        <w:t xml:space="preserve"> </w:t>
      </w:r>
      <w:r w:rsidRPr="00CD59CC">
        <w:rPr>
          <w:rFonts w:ascii="Arial" w:hAnsi="Arial" w:cs="Arial"/>
        </w:rPr>
        <w:t>what</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described</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refused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identify</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actual</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d)</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described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medical</w:t>
      </w:r>
      <w:r w:rsidR="007B7640" w:rsidRPr="00CD59CC">
        <w:rPr>
          <w:rFonts w:ascii="Arial" w:hAnsi="Arial" w:cs="Arial"/>
        </w:rPr>
        <w:t xml:space="preserve"> </w:t>
      </w:r>
      <w:r w:rsidRPr="00CD59CC">
        <w:rPr>
          <w:rFonts w:ascii="Arial" w:hAnsi="Arial" w:cs="Arial"/>
        </w:rPr>
        <w:t>literature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often</w:t>
      </w:r>
      <w:r w:rsidR="007B7640" w:rsidRPr="00CD59CC">
        <w:rPr>
          <w:rFonts w:ascii="Arial" w:hAnsi="Arial" w:cs="Arial"/>
        </w:rPr>
        <w:t xml:space="preserve"> </w:t>
      </w:r>
      <w:r w:rsidRPr="00CD59CC">
        <w:rPr>
          <w:rFonts w:ascii="Arial" w:hAnsi="Arial" w:cs="Arial"/>
        </w:rPr>
        <w:t>conduct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life</w:t>
      </w:r>
      <w:r w:rsidR="007B7640" w:rsidRPr="00CD59CC">
        <w:rPr>
          <w:rFonts w:ascii="Arial" w:hAnsi="Arial" w:cs="Arial"/>
        </w:rPr>
        <w:t xml:space="preserve"> </w:t>
      </w:r>
      <w:r w:rsidRPr="00CD59CC">
        <w:rPr>
          <w:rFonts w:ascii="Arial" w:hAnsi="Arial" w:cs="Arial"/>
        </w:rPr>
        <w:t>(drink,</w:t>
      </w:r>
      <w:r w:rsidR="007B7640" w:rsidRPr="00CD59CC">
        <w:rPr>
          <w:rFonts w:ascii="Arial" w:hAnsi="Arial" w:cs="Arial"/>
        </w:rPr>
        <w:t xml:space="preserve"> </w:t>
      </w:r>
      <w:r w:rsidRPr="00CD59CC">
        <w:rPr>
          <w:rFonts w:ascii="Arial" w:hAnsi="Arial" w:cs="Arial"/>
        </w:rPr>
        <w:t>smoke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drugs)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dangerous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foetus,</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order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protect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opportunities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babies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born.</w:t>
      </w:r>
      <w:r w:rsidR="007B7640" w:rsidRPr="00CD59CC">
        <w:rPr>
          <w:rFonts w:ascii="Arial" w:hAnsi="Arial" w:cs="Arial"/>
        </w:rPr>
        <w:t xml:space="preserve"> </w:t>
      </w:r>
    </w:p>
    <w:p w14:paraId="0283EE62" w14:textId="77777777" w:rsidR="003E48C1" w:rsidRPr="00CD59CC" w:rsidRDefault="003E48C1" w:rsidP="00CD59CC">
      <w:pPr>
        <w:pStyle w:val="BodyText2"/>
        <w:jc w:val="left"/>
        <w:rPr>
          <w:rFonts w:ascii="Arial" w:hAnsi="Arial" w:cs="Arial"/>
        </w:rPr>
      </w:pPr>
    </w:p>
    <w:p w14:paraId="1A5CE5AB" w14:textId="77777777" w:rsidR="003E48C1" w:rsidRDefault="003E48C1" w:rsidP="00CD59CC">
      <w:pPr>
        <w:pStyle w:val="BodyText2"/>
        <w:jc w:val="left"/>
        <w:rPr>
          <w:rFonts w:ascii="Arial" w:hAnsi="Arial" w:cs="Arial"/>
        </w:rPr>
      </w:pPr>
      <w:r w:rsidRPr="00CD59CC">
        <w:rPr>
          <w:rFonts w:ascii="Arial" w:hAnsi="Arial" w:cs="Arial"/>
        </w:rPr>
        <w:t>These</w:t>
      </w:r>
      <w:r w:rsidR="007B7640" w:rsidRPr="00CD59CC">
        <w:rPr>
          <w:rFonts w:ascii="Arial" w:hAnsi="Arial" w:cs="Arial"/>
        </w:rPr>
        <w:t xml:space="preserve"> </w:t>
      </w:r>
      <w:r w:rsidRPr="00CD59CC">
        <w:rPr>
          <w:rFonts w:ascii="Arial" w:hAnsi="Arial" w:cs="Arial"/>
        </w:rPr>
        <w:t>explanations</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accepted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mayor’s</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potentially</w:t>
      </w:r>
      <w:r w:rsidR="007B7640" w:rsidRPr="00CD59CC">
        <w:rPr>
          <w:rFonts w:ascii="Arial" w:hAnsi="Arial" w:cs="Arial"/>
        </w:rPr>
        <w:t xml:space="preserve"> </w:t>
      </w:r>
      <w:r w:rsidRPr="00CD59CC">
        <w:rPr>
          <w:rFonts w:ascii="Arial" w:hAnsi="Arial" w:cs="Arial"/>
        </w:rPr>
        <w:t>capable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creating</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hostile,</w:t>
      </w:r>
      <w:r w:rsidR="007B7640" w:rsidRPr="00CD59CC">
        <w:rPr>
          <w:rFonts w:ascii="Arial" w:hAnsi="Arial" w:cs="Arial"/>
        </w:rPr>
        <w:t xml:space="preserve"> </w:t>
      </w:r>
      <w:r w:rsidRPr="00CD59CC">
        <w:rPr>
          <w:rFonts w:ascii="Arial" w:hAnsi="Arial" w:cs="Arial"/>
        </w:rPr>
        <w:t>degrading,</w:t>
      </w:r>
      <w:r w:rsidR="007B7640" w:rsidRPr="00CD59CC">
        <w:rPr>
          <w:rFonts w:ascii="Arial" w:hAnsi="Arial" w:cs="Arial"/>
        </w:rPr>
        <w:t xml:space="preserve"> </w:t>
      </w:r>
      <w:r w:rsidRPr="00CD59CC">
        <w:rPr>
          <w:rFonts w:ascii="Arial" w:hAnsi="Arial" w:cs="Arial"/>
        </w:rPr>
        <w:t>humiliating</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offensive</w:t>
      </w:r>
      <w:r w:rsidR="007B7640" w:rsidRPr="00CD59CC">
        <w:rPr>
          <w:rFonts w:ascii="Arial" w:hAnsi="Arial" w:cs="Arial"/>
        </w:rPr>
        <w:t xml:space="preserve"> </w:t>
      </w:r>
      <w:r w:rsidRPr="00CD59CC">
        <w:rPr>
          <w:rFonts w:ascii="Arial" w:hAnsi="Arial" w:cs="Arial"/>
        </w:rPr>
        <w:t>environment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pregnant</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women</w:t>
      </w:r>
      <w:r w:rsidR="007B7640" w:rsidRPr="00CD59CC">
        <w:rPr>
          <w:rFonts w:ascii="Arial" w:hAnsi="Arial" w:cs="Arial"/>
        </w:rPr>
        <w:t xml:space="preserve"> </w:t>
      </w:r>
      <w:r w:rsidRPr="00CD59CC">
        <w:rPr>
          <w:rFonts w:ascii="Arial" w:hAnsi="Arial" w:cs="Arial"/>
        </w:rPr>
        <w:t>living</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identified</w:t>
      </w:r>
      <w:r w:rsidR="007B7640" w:rsidRPr="00CD59CC">
        <w:rPr>
          <w:rFonts w:ascii="Arial" w:hAnsi="Arial" w:cs="Arial"/>
        </w:rPr>
        <w:t xml:space="preserve"> </w:t>
      </w:r>
      <w:r w:rsidRPr="00CD59CC">
        <w:rPr>
          <w:rFonts w:ascii="Arial" w:hAnsi="Arial" w:cs="Arial"/>
        </w:rPr>
        <w:t>towns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neighbourhood,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exert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negative</w:t>
      </w:r>
      <w:r w:rsidR="007B7640" w:rsidRPr="00CD59CC">
        <w:rPr>
          <w:rFonts w:ascii="Arial" w:hAnsi="Arial" w:cs="Arial"/>
        </w:rPr>
        <w:t xml:space="preserve"> </w:t>
      </w:r>
      <w:r w:rsidRPr="00CD59CC">
        <w:rPr>
          <w:rFonts w:ascii="Arial" w:hAnsi="Arial" w:cs="Arial"/>
        </w:rPr>
        <w:t>impact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identity,</w:t>
      </w:r>
      <w:r w:rsidR="007B7640" w:rsidRPr="00CD59CC">
        <w:rPr>
          <w:rFonts w:ascii="Arial" w:hAnsi="Arial" w:cs="Arial"/>
        </w:rPr>
        <w:t xml:space="preserve"> </w:t>
      </w:r>
      <w:r w:rsidRPr="00CD59CC">
        <w:rPr>
          <w:rFonts w:ascii="Arial" w:hAnsi="Arial" w:cs="Arial"/>
        </w:rPr>
        <w:t>personality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futures</w:t>
      </w:r>
      <w:r w:rsidR="007B7640" w:rsidRPr="00CD59CC">
        <w:rPr>
          <w:rFonts w:ascii="Arial" w:hAnsi="Arial" w:cs="Arial"/>
        </w:rPr>
        <w:t xml:space="preserve"> </w:t>
      </w:r>
      <w:r w:rsidRPr="00CD59CC">
        <w:rPr>
          <w:rFonts w:ascii="Arial" w:hAnsi="Arial" w:cs="Arial"/>
        </w:rPr>
        <w:t>lives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women,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contributing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bad</w:t>
      </w:r>
      <w:r w:rsidR="007B7640" w:rsidRPr="00CD59CC">
        <w:rPr>
          <w:rFonts w:ascii="Arial" w:hAnsi="Arial" w:cs="Arial"/>
        </w:rPr>
        <w:t xml:space="preserve"> </w:t>
      </w:r>
      <w:r w:rsidRPr="00CD59CC">
        <w:rPr>
          <w:rFonts w:ascii="Arial" w:hAnsi="Arial" w:cs="Arial"/>
        </w:rPr>
        <w:t>reputation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increasing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prejudices</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face.</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mayor’s</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qualified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10</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sanctioned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ordering</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lastRenderedPageBreak/>
        <w:t>for</w:t>
      </w:r>
      <w:r w:rsidR="007B7640" w:rsidRPr="00CD59CC">
        <w:rPr>
          <w:rFonts w:ascii="Arial" w:hAnsi="Arial" w:cs="Arial"/>
        </w:rPr>
        <w:t xml:space="preserve"> </w:t>
      </w:r>
      <w:r w:rsidRPr="00CD59CC">
        <w:rPr>
          <w:rFonts w:ascii="Arial" w:hAnsi="Arial" w:cs="Arial"/>
        </w:rPr>
        <w:t>90</w:t>
      </w:r>
      <w:r w:rsidR="007B7640" w:rsidRPr="00CD59CC">
        <w:rPr>
          <w:rFonts w:ascii="Arial" w:hAnsi="Arial" w:cs="Arial"/>
        </w:rPr>
        <w:t xml:space="preserve"> </w:t>
      </w:r>
      <w:r w:rsidRPr="00CD59CC">
        <w:rPr>
          <w:rFonts w:ascii="Arial" w:hAnsi="Arial" w:cs="Arial"/>
        </w:rPr>
        <w:t>days.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filed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judicial</w:t>
      </w:r>
      <w:r w:rsidR="007B7640" w:rsidRPr="00CD59CC">
        <w:rPr>
          <w:rFonts w:ascii="Arial" w:hAnsi="Arial" w:cs="Arial"/>
        </w:rPr>
        <w:t xml:space="preserve"> </w:t>
      </w:r>
      <w:r w:rsidRPr="00CD59CC">
        <w:rPr>
          <w:rFonts w:ascii="Arial" w:hAnsi="Arial" w:cs="Arial"/>
        </w:rPr>
        <w:t>review</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March</w:t>
      </w:r>
      <w:r w:rsidR="007B7640" w:rsidRPr="00CD59CC">
        <w:rPr>
          <w:rFonts w:ascii="Arial" w:hAnsi="Arial" w:cs="Arial"/>
        </w:rPr>
        <w:t xml:space="preserve"> </w:t>
      </w:r>
      <w:r w:rsidRPr="00CD59CC">
        <w:rPr>
          <w:rFonts w:ascii="Arial" w:hAnsi="Arial" w:cs="Arial"/>
        </w:rPr>
        <w:t>2010,</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Metropolitan</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rejected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mayor’s</w:t>
      </w:r>
      <w:r w:rsidR="007B7640" w:rsidRPr="00CD59CC">
        <w:rPr>
          <w:rFonts w:ascii="Arial" w:hAnsi="Arial" w:cs="Arial"/>
        </w:rPr>
        <w:t xml:space="preserve"> </w:t>
      </w:r>
      <w:r w:rsidRPr="00CD59CC">
        <w:rPr>
          <w:rFonts w:ascii="Arial" w:hAnsi="Arial" w:cs="Arial"/>
        </w:rPr>
        <w:t>claim.</w:t>
      </w:r>
      <w:r w:rsidR="007B7640" w:rsidRPr="00CD59CC">
        <w:rPr>
          <w:rFonts w:ascii="Arial" w:hAnsi="Arial" w:cs="Arial"/>
        </w:rPr>
        <w:t xml:space="preserve"> </w:t>
      </w:r>
    </w:p>
    <w:p w14:paraId="78E39036" w14:textId="77777777" w:rsidR="00B97ED3" w:rsidRPr="00CD59CC" w:rsidRDefault="00B97ED3" w:rsidP="00CD59CC">
      <w:pPr>
        <w:pStyle w:val="BodyText2"/>
        <w:jc w:val="left"/>
        <w:rPr>
          <w:rFonts w:ascii="Arial" w:hAnsi="Arial" w:cs="Arial"/>
        </w:rPr>
      </w:pPr>
    </w:p>
    <w:p w14:paraId="4D205636" w14:textId="77777777" w:rsidR="003E48C1" w:rsidRPr="00CD59CC" w:rsidRDefault="003E48C1" w:rsidP="00CD59CC">
      <w:pPr>
        <w:pStyle w:val="Szvegtrzs22"/>
        <w:tabs>
          <w:tab w:val="left" w:pos="567"/>
        </w:tabs>
        <w:jc w:val="left"/>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Court’s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overturned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Supreme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acting</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request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since</w:t>
      </w:r>
      <w:r w:rsidR="007B7640" w:rsidRPr="00CD59CC">
        <w:rPr>
          <w:rFonts w:ascii="Arial" w:hAnsi="Arial" w:cs="Arial"/>
        </w:rPr>
        <w:t xml:space="preserve"> </w:t>
      </w:r>
      <w:r w:rsidRPr="00CD59CC">
        <w:rPr>
          <w:rFonts w:ascii="Arial" w:hAnsi="Arial" w:cs="Arial"/>
        </w:rPr>
        <w:t>mayors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capacity</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relations</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legally</w:t>
      </w:r>
      <w:r w:rsidR="007B7640" w:rsidRPr="00CD59CC">
        <w:rPr>
          <w:rFonts w:ascii="Arial" w:hAnsi="Arial" w:cs="Arial"/>
        </w:rPr>
        <w:t xml:space="preserve"> </w:t>
      </w:r>
      <w:r w:rsidRPr="00CD59CC">
        <w:rPr>
          <w:rFonts w:ascii="Arial" w:hAnsi="Arial" w:cs="Arial"/>
        </w:rPr>
        <w:t>regulated</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relations)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residents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respective</w:t>
      </w:r>
      <w:r w:rsidR="007B7640" w:rsidRPr="00CD59CC">
        <w:rPr>
          <w:rFonts w:ascii="Arial" w:hAnsi="Arial" w:cs="Arial"/>
        </w:rPr>
        <w:t xml:space="preserve"> </w:t>
      </w:r>
      <w:r w:rsidRPr="00CD59CC">
        <w:rPr>
          <w:rFonts w:ascii="Arial" w:hAnsi="Arial" w:cs="Arial"/>
        </w:rPr>
        <w:t>municipalities,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conduct</w:t>
      </w:r>
      <w:r w:rsidR="007B7640" w:rsidRPr="00CD59CC">
        <w:rPr>
          <w:rFonts w:ascii="Arial" w:hAnsi="Arial" w:cs="Arial"/>
        </w:rPr>
        <w:t xml:space="preserve"> </w:t>
      </w:r>
      <w:r w:rsidRPr="00CD59CC">
        <w:rPr>
          <w:rFonts w:ascii="Arial" w:hAnsi="Arial" w:cs="Arial"/>
        </w:rPr>
        <w:t>proceedings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residents.</w:t>
      </w:r>
      <w:r w:rsidR="007B7640" w:rsidRPr="00CD59CC">
        <w:rPr>
          <w:rFonts w:ascii="Arial" w:hAnsi="Arial" w:cs="Arial"/>
        </w:rPr>
        <w:t xml:space="preserve"> </w:t>
      </w:r>
      <w:r w:rsidRPr="00CD59CC">
        <w:rPr>
          <w:rFonts w:ascii="Arial" w:hAnsi="Arial" w:cs="Arial"/>
        </w:rPr>
        <w:t>Oszkár</w:t>
      </w:r>
      <w:r w:rsidR="007B7640" w:rsidRPr="00CD59CC">
        <w:rPr>
          <w:rFonts w:ascii="Arial" w:hAnsi="Arial" w:cs="Arial"/>
        </w:rPr>
        <w:t xml:space="preserve"> </w:t>
      </w:r>
      <w:r w:rsidRPr="00CD59CC">
        <w:rPr>
          <w:rFonts w:ascii="Arial" w:hAnsi="Arial" w:cs="Arial"/>
        </w:rPr>
        <w:t>Molnár</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Edelény</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women</w:t>
      </w:r>
      <w:r w:rsidR="007B7640" w:rsidRPr="00CD59CC">
        <w:rPr>
          <w:rFonts w:ascii="Arial" w:hAnsi="Arial" w:cs="Arial"/>
        </w:rPr>
        <w:t xml:space="preserve"> </w:t>
      </w:r>
      <w:r w:rsidRPr="00CD59CC">
        <w:rPr>
          <w:rFonts w:ascii="Arial" w:hAnsi="Arial" w:cs="Arial"/>
        </w:rPr>
        <w:t>living</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settlements</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named,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statements</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fall</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could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called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account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statements</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legislation</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p>
    <w:p w14:paraId="6C98335A" w14:textId="77777777" w:rsidR="003E48C1" w:rsidRPr="00CD59CC" w:rsidRDefault="003E48C1" w:rsidP="00CD59CC">
      <w:pPr>
        <w:pStyle w:val="Szvegtrzs22"/>
        <w:tabs>
          <w:tab w:val="left" w:pos="567"/>
        </w:tabs>
        <w:jc w:val="left"/>
        <w:rPr>
          <w:rFonts w:ascii="Arial" w:hAnsi="Arial" w:cs="Arial"/>
        </w:rPr>
      </w:pPr>
    </w:p>
    <w:p w14:paraId="25F6E674" w14:textId="77777777" w:rsidR="003E48C1" w:rsidRPr="00CD59CC" w:rsidRDefault="003E48C1" w:rsidP="00CD59CC">
      <w:pPr>
        <w:pStyle w:val="BodyText2"/>
        <w:jc w:val="left"/>
        <w:rPr>
          <w:rFonts w:ascii="Arial" w:hAnsi="Arial" w:cs="Arial"/>
        </w:rPr>
      </w:pPr>
      <w:r w:rsidRPr="00CD59CC">
        <w:rPr>
          <w:rFonts w:ascii="Arial" w:hAnsi="Arial" w:cs="Arial"/>
        </w:rPr>
        <w:t>Further</w:t>
      </w:r>
      <w:r w:rsidR="007B7640" w:rsidRPr="00CD59CC">
        <w:rPr>
          <w:rFonts w:ascii="Arial" w:hAnsi="Arial" w:cs="Arial"/>
        </w:rPr>
        <w:t xml:space="preserve"> </w:t>
      </w:r>
      <w:r w:rsidRPr="00CD59CC">
        <w:rPr>
          <w:rFonts w:ascii="Arial" w:hAnsi="Arial" w:cs="Arial"/>
        </w:rPr>
        <w:t>restrictions</w:t>
      </w:r>
      <w:r w:rsidR="007B7640" w:rsidRPr="00CD59CC">
        <w:rPr>
          <w:rFonts w:ascii="Arial" w:hAnsi="Arial" w:cs="Arial"/>
        </w:rPr>
        <w:t xml:space="preserve"> </w:t>
      </w:r>
      <w:r w:rsidRPr="00CD59CC">
        <w:rPr>
          <w:rFonts w:ascii="Arial" w:hAnsi="Arial" w:cs="Arial"/>
        </w:rPr>
        <w:t>seem</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stemming</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Supreme</w:t>
      </w:r>
      <w:r w:rsidR="007B7640" w:rsidRPr="00CD59CC">
        <w:rPr>
          <w:rFonts w:ascii="Arial" w:hAnsi="Arial" w:cs="Arial"/>
        </w:rPr>
        <w:t xml:space="preserve"> </w:t>
      </w:r>
      <w:r w:rsidRPr="00CD59CC">
        <w:rPr>
          <w:rFonts w:ascii="Arial" w:hAnsi="Arial" w:cs="Arial"/>
        </w:rPr>
        <w:t>Court’s</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delivered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Kiskunlacháza.</w:t>
      </w:r>
      <w:r w:rsidRPr="00CD59CC">
        <w:rPr>
          <w:rStyle w:val="FootnoteReference"/>
          <w:rFonts w:ascii="Arial" w:hAnsi="Arial" w:cs="Arial"/>
        </w:rPr>
        <w:footnoteReference w:id="29"/>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statements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demonstration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newspapers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murder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young</w:t>
      </w:r>
      <w:r w:rsidR="007B7640" w:rsidRPr="00CD59CC">
        <w:rPr>
          <w:rFonts w:ascii="Arial" w:hAnsi="Arial" w:cs="Arial"/>
        </w:rPr>
        <w:t xml:space="preserve"> </w:t>
      </w:r>
      <w:r w:rsidRPr="00CD59CC">
        <w:rPr>
          <w:rFonts w:ascii="Arial" w:hAnsi="Arial" w:cs="Arial"/>
        </w:rPr>
        <w:t>girl</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present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suspicion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committed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non-Roma</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giving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clear</w:t>
      </w:r>
      <w:r w:rsidR="007B7640" w:rsidRPr="00CD59CC">
        <w:rPr>
          <w:rFonts w:ascii="Arial" w:hAnsi="Arial" w:cs="Arial"/>
        </w:rPr>
        <w:t xml:space="preserve"> </w:t>
      </w:r>
      <w:r w:rsidRPr="00CD59CC">
        <w:rPr>
          <w:rFonts w:ascii="Arial" w:hAnsi="Arial" w:cs="Arial"/>
        </w:rPr>
        <w:t>impression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murder</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committed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i/>
        </w:rPr>
        <w:t>actio</w:t>
      </w:r>
      <w:r w:rsidR="007B7640" w:rsidRPr="00CD59CC">
        <w:rPr>
          <w:rFonts w:ascii="Arial" w:hAnsi="Arial" w:cs="Arial"/>
          <w:i/>
        </w:rPr>
        <w:t xml:space="preserve"> </w:t>
      </w:r>
      <w:r w:rsidRPr="00CD59CC">
        <w:rPr>
          <w:rFonts w:ascii="Arial" w:hAnsi="Arial" w:cs="Arial"/>
          <w:i/>
        </w:rPr>
        <w:t>popularis</w:t>
      </w:r>
      <w:r w:rsidR="007B7640" w:rsidRPr="00CD59CC">
        <w:rPr>
          <w:rFonts w:ascii="Arial" w:hAnsi="Arial" w:cs="Arial"/>
        </w:rPr>
        <w:t xml:space="preserve"> </w:t>
      </w:r>
      <w:r w:rsidRPr="00CD59CC">
        <w:rPr>
          <w:rFonts w:ascii="Arial" w:hAnsi="Arial" w:cs="Arial"/>
        </w:rPr>
        <w:t>claim</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Helsinki</w:t>
      </w:r>
      <w:r w:rsidR="007B7640" w:rsidRPr="00CD59CC">
        <w:rPr>
          <w:rFonts w:ascii="Arial" w:hAnsi="Arial" w:cs="Arial"/>
        </w:rPr>
        <w:t xml:space="preserve"> </w:t>
      </w:r>
      <w:r w:rsidRPr="00CD59CC">
        <w:rPr>
          <w:rFonts w:ascii="Arial" w:hAnsi="Arial" w:cs="Arial"/>
        </w:rPr>
        <w:t>Committee,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January</w:t>
      </w:r>
      <w:r w:rsidR="007B7640" w:rsidRPr="00CD59CC">
        <w:rPr>
          <w:rFonts w:ascii="Arial" w:hAnsi="Arial" w:cs="Arial"/>
        </w:rPr>
        <w:t xml:space="preserve"> </w:t>
      </w:r>
      <w:r w:rsidRPr="00CD59CC">
        <w:rPr>
          <w:rFonts w:ascii="Arial" w:hAnsi="Arial" w:cs="Arial"/>
        </w:rPr>
        <w:t>2010,</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committed,</w:t>
      </w:r>
      <w:r w:rsidR="007B7640" w:rsidRPr="00CD59CC">
        <w:rPr>
          <w:rFonts w:ascii="Arial" w:hAnsi="Arial" w:cs="Arial"/>
        </w:rPr>
        <w:t xml:space="preserve"> </w:t>
      </w:r>
      <w:r w:rsidRPr="00CD59CC">
        <w:rPr>
          <w:rFonts w:ascii="Arial" w:hAnsi="Arial" w:cs="Arial"/>
        </w:rPr>
        <w:t>forbade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continuation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ordered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reached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Supreme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October</w:t>
      </w:r>
      <w:r w:rsidR="007B7640" w:rsidRPr="00CD59CC">
        <w:rPr>
          <w:rFonts w:ascii="Arial" w:hAnsi="Arial" w:cs="Arial"/>
        </w:rPr>
        <w:t xml:space="preserve"> </w:t>
      </w:r>
      <w:r w:rsidRPr="00CD59CC">
        <w:rPr>
          <w:rFonts w:ascii="Arial" w:hAnsi="Arial" w:cs="Arial"/>
        </w:rPr>
        <w:t>2011,</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sent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retrial</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gave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guidance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making</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statements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falling</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statutorily</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tasks/competences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examined</w:t>
      </w:r>
      <w:r w:rsidR="007B7640" w:rsidRPr="00CD59CC">
        <w:rPr>
          <w:rFonts w:ascii="Arial" w:hAnsi="Arial" w:cs="Arial"/>
        </w:rPr>
        <w:t xml:space="preserve"> </w:t>
      </w:r>
      <w:r w:rsidRPr="00CD59CC">
        <w:rPr>
          <w:rFonts w:ascii="Arial" w:hAnsi="Arial" w:cs="Arial"/>
        </w:rPr>
        <w:t>whether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making</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statements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external</w:t>
      </w:r>
      <w:r w:rsidR="007B7640" w:rsidRPr="00CD59CC">
        <w:rPr>
          <w:rFonts w:ascii="Arial" w:hAnsi="Arial" w:cs="Arial"/>
        </w:rPr>
        <w:t xml:space="preserve"> </w:t>
      </w:r>
      <w:r w:rsidRPr="00CD59CC">
        <w:rPr>
          <w:rFonts w:ascii="Arial" w:hAnsi="Arial" w:cs="Arial"/>
        </w:rPr>
        <w:t>acts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create</w:t>
      </w:r>
      <w:r w:rsidR="007B7640" w:rsidRPr="00CD59CC">
        <w:rPr>
          <w:rFonts w:ascii="Arial" w:hAnsi="Arial" w:cs="Arial"/>
        </w:rPr>
        <w:t xml:space="preserve"> </w:t>
      </w:r>
      <w:r w:rsidRPr="00CD59CC">
        <w:rPr>
          <w:rFonts w:ascii="Arial" w:hAnsi="Arial" w:cs="Arial"/>
        </w:rPr>
        <w:t>“legally</w:t>
      </w:r>
      <w:r w:rsidR="007B7640" w:rsidRPr="00CD59CC">
        <w:rPr>
          <w:rFonts w:ascii="Arial" w:hAnsi="Arial" w:cs="Arial"/>
        </w:rPr>
        <w:t xml:space="preserve"> </w:t>
      </w:r>
      <w:r w:rsidRPr="00CD59CC">
        <w:rPr>
          <w:rFonts w:ascii="Arial" w:hAnsi="Arial" w:cs="Arial"/>
        </w:rPr>
        <w:t>regulated</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relations”</w:t>
      </w:r>
      <w:r w:rsidR="007B7640" w:rsidRPr="00CD59CC">
        <w:rPr>
          <w:rFonts w:ascii="Arial" w:hAnsi="Arial" w:cs="Arial"/>
        </w:rPr>
        <w:t xml:space="preserve"> </w:t>
      </w:r>
      <w:r w:rsidRPr="00CD59CC">
        <w:rPr>
          <w:rFonts w:ascii="Arial" w:hAnsi="Arial" w:cs="Arial"/>
        </w:rPr>
        <w:t>between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members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Furthermore,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Supreme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instructed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examine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repeated</w:t>
      </w:r>
      <w:r w:rsidR="007B7640" w:rsidRPr="00CD59CC">
        <w:rPr>
          <w:rFonts w:ascii="Arial" w:hAnsi="Arial" w:cs="Arial"/>
        </w:rPr>
        <w:t xml:space="preserve"> </w:t>
      </w:r>
      <w:r w:rsidRPr="00CD59CC">
        <w:rPr>
          <w:rFonts w:ascii="Arial" w:hAnsi="Arial" w:cs="Arial"/>
        </w:rPr>
        <w:t>procedure</w:t>
      </w:r>
      <w:r w:rsidR="007B7640" w:rsidRPr="00CD59CC">
        <w:rPr>
          <w:rFonts w:ascii="Arial" w:hAnsi="Arial" w:cs="Arial"/>
        </w:rPr>
        <w:t xml:space="preserve"> </w:t>
      </w:r>
      <w:r w:rsidRPr="00CD59CC">
        <w:rPr>
          <w:rFonts w:ascii="Arial" w:hAnsi="Arial" w:cs="Arial"/>
        </w:rPr>
        <w:t>whether</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committed</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expressed</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doubts</w:t>
      </w:r>
      <w:r w:rsidR="007B7640" w:rsidRPr="00CD59CC">
        <w:rPr>
          <w:rFonts w:ascii="Arial" w:hAnsi="Arial" w:cs="Arial"/>
        </w:rPr>
        <w:t xml:space="preserve"> </w:t>
      </w:r>
      <w:r w:rsidRPr="00CD59CC">
        <w:rPr>
          <w:rFonts w:ascii="Arial" w:hAnsi="Arial" w:cs="Arial"/>
        </w:rPr>
        <w:t>about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issue,</w:t>
      </w:r>
      <w:r w:rsidR="007B7640" w:rsidRPr="00CD59CC">
        <w:rPr>
          <w:rFonts w:ascii="Arial" w:hAnsi="Arial" w:cs="Arial"/>
        </w:rPr>
        <w:t xml:space="preserve"> </w:t>
      </w:r>
      <w:r w:rsidRPr="00CD59CC">
        <w:rPr>
          <w:rFonts w:ascii="Arial" w:hAnsi="Arial" w:cs="Arial"/>
        </w:rPr>
        <w:t>pointing</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while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forms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contains</w:t>
      </w:r>
      <w:r w:rsidR="007B7640" w:rsidRPr="00CD59CC">
        <w:rPr>
          <w:rFonts w:ascii="Arial" w:hAnsi="Arial" w:cs="Arial"/>
        </w:rPr>
        <w:t xml:space="preserve"> </w:t>
      </w:r>
      <w:r w:rsidRPr="00CD59CC">
        <w:rPr>
          <w:rFonts w:ascii="Arial" w:hAnsi="Arial" w:cs="Arial"/>
        </w:rPr>
        <w:t>reference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mentions</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p>
    <w:p w14:paraId="0BF3B334" w14:textId="77777777" w:rsidR="003E48C1" w:rsidRPr="00CD59CC" w:rsidRDefault="003E48C1" w:rsidP="00CD59CC">
      <w:pPr>
        <w:pStyle w:val="BodyText2"/>
        <w:jc w:val="left"/>
        <w:rPr>
          <w:rFonts w:ascii="Arial" w:hAnsi="Arial" w:cs="Arial"/>
        </w:rPr>
      </w:pPr>
    </w:p>
    <w:p w14:paraId="1F2E9B2C" w14:textId="5AF32FD2" w:rsidR="003E48C1" w:rsidRPr="00CD59CC" w:rsidRDefault="003E48C1" w:rsidP="00CD59CC">
      <w:pPr>
        <w:pStyle w:val="BodyText2"/>
        <w:jc w:val="left"/>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April</w:t>
      </w:r>
      <w:r w:rsidR="007B7640" w:rsidRPr="00CD59CC">
        <w:rPr>
          <w:rFonts w:ascii="Arial" w:hAnsi="Arial" w:cs="Arial"/>
        </w:rPr>
        <w:t xml:space="preserve"> </w:t>
      </w:r>
      <w:r w:rsidRPr="00CD59CC">
        <w:rPr>
          <w:rFonts w:ascii="Arial" w:hAnsi="Arial" w:cs="Arial"/>
        </w:rPr>
        <w:t>2012,</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again</w:t>
      </w:r>
      <w:r w:rsidR="007B7640" w:rsidRPr="00CD59CC">
        <w:rPr>
          <w:rFonts w:ascii="Arial" w:hAnsi="Arial" w:cs="Arial"/>
        </w:rPr>
        <w:t xml:space="preserve"> </w:t>
      </w:r>
      <w:r w:rsidRPr="00CD59CC">
        <w:rPr>
          <w:rFonts w:ascii="Arial" w:hAnsi="Arial" w:cs="Arial"/>
        </w:rPr>
        <w:t>came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conclusion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committed</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September</w:t>
      </w:r>
      <w:r w:rsidR="007B7640" w:rsidRPr="00CD59CC">
        <w:rPr>
          <w:rFonts w:ascii="Arial" w:hAnsi="Arial" w:cs="Arial"/>
        </w:rPr>
        <w:t xml:space="preserve"> </w:t>
      </w:r>
      <w:r w:rsidRPr="00CD59CC">
        <w:rPr>
          <w:rFonts w:ascii="Arial" w:hAnsi="Arial" w:cs="Arial"/>
        </w:rPr>
        <w:t>2012,</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Metropolitan</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quashed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Without</w:t>
      </w:r>
      <w:r w:rsidR="007B7640" w:rsidRPr="00CD59CC">
        <w:rPr>
          <w:rFonts w:ascii="Arial" w:hAnsi="Arial" w:cs="Arial"/>
        </w:rPr>
        <w:t xml:space="preserve"> </w:t>
      </w:r>
      <w:r w:rsidRPr="00CD59CC">
        <w:rPr>
          <w:rFonts w:ascii="Arial" w:hAnsi="Arial" w:cs="Arial"/>
        </w:rPr>
        <w:t>giving</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detailed</w:t>
      </w:r>
      <w:r w:rsidR="007B7640" w:rsidRPr="00CD59CC">
        <w:rPr>
          <w:rFonts w:ascii="Arial" w:hAnsi="Arial" w:cs="Arial"/>
        </w:rPr>
        <w:t xml:space="preserve"> </w:t>
      </w:r>
      <w:r w:rsidRPr="00CD59CC">
        <w:rPr>
          <w:rFonts w:ascii="Arial" w:hAnsi="Arial" w:cs="Arial"/>
        </w:rPr>
        <w:t>reasons,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simply</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convinced”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committed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p>
    <w:p w14:paraId="5A03B32F" w14:textId="77777777" w:rsidR="00EC69D4" w:rsidRPr="00CD59CC" w:rsidRDefault="00EC69D4" w:rsidP="00CD59CC">
      <w:pPr>
        <w:pStyle w:val="BodyText2"/>
        <w:jc w:val="left"/>
        <w:rPr>
          <w:rFonts w:ascii="Arial" w:hAnsi="Arial" w:cs="Arial"/>
        </w:rPr>
      </w:pPr>
    </w:p>
    <w:p w14:paraId="5AFE07DC" w14:textId="77777777" w:rsidR="00EC69D4" w:rsidRDefault="00EC69D4" w:rsidP="00CD59CC">
      <w:pPr>
        <w:pStyle w:val="BodyText2"/>
        <w:jc w:val="left"/>
        <w:rPr>
          <w:rFonts w:ascii="Arial" w:hAnsi="Arial" w:cs="Arial"/>
        </w:rPr>
      </w:pPr>
      <w:r w:rsidRPr="00CD59CC">
        <w:rPr>
          <w:rFonts w:ascii="Arial" w:hAnsi="Arial" w:cs="Arial"/>
        </w:rPr>
        <w:t>On</w:t>
      </w:r>
      <w:r w:rsidR="007B7640" w:rsidRPr="00CD59CC">
        <w:rPr>
          <w:rFonts w:ascii="Arial" w:hAnsi="Arial" w:cs="Arial"/>
        </w:rPr>
        <w:t xml:space="preserve"> </w:t>
      </w:r>
      <w:r w:rsidRPr="00CD59CC">
        <w:rPr>
          <w:rFonts w:ascii="Arial" w:hAnsi="Arial" w:cs="Arial"/>
        </w:rPr>
        <w:t>15</w:t>
      </w:r>
      <w:r w:rsidR="007B7640" w:rsidRPr="00CD59CC">
        <w:rPr>
          <w:rFonts w:ascii="Arial" w:hAnsi="Arial" w:cs="Arial"/>
        </w:rPr>
        <w:t xml:space="preserve"> </w:t>
      </w:r>
      <w:r w:rsidRPr="00CD59CC">
        <w:rPr>
          <w:rFonts w:ascii="Arial" w:hAnsi="Arial" w:cs="Arial"/>
        </w:rPr>
        <w:t>October</w:t>
      </w:r>
      <w:r w:rsidR="007B7640" w:rsidRPr="00CD59CC">
        <w:rPr>
          <w:rFonts w:ascii="Arial" w:hAnsi="Arial" w:cs="Arial"/>
        </w:rPr>
        <w:t xml:space="preserve"> </w:t>
      </w:r>
      <w:r w:rsidRPr="00CD59CC">
        <w:rPr>
          <w:rFonts w:ascii="Arial" w:hAnsi="Arial" w:cs="Arial"/>
        </w:rPr>
        <w:t>2013</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Curia</w:t>
      </w:r>
      <w:r w:rsidR="007B7640" w:rsidRPr="00CD59CC">
        <w:rPr>
          <w:rFonts w:ascii="Arial" w:hAnsi="Arial" w:cs="Arial"/>
        </w:rPr>
        <w:t xml:space="preserve"> </w:t>
      </w:r>
      <w:r w:rsidRPr="00CD59CC">
        <w:rPr>
          <w:rFonts w:ascii="Arial" w:hAnsi="Arial" w:cs="Arial"/>
        </w:rPr>
        <w:t>(successor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Supreme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quashed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Metropolitan</w:t>
      </w:r>
      <w:r w:rsidR="007B7640" w:rsidRPr="00CD59CC">
        <w:rPr>
          <w:rFonts w:ascii="Arial" w:hAnsi="Arial" w:cs="Arial"/>
        </w:rPr>
        <w:t xml:space="preserve"> </w:t>
      </w:r>
      <w:r w:rsidRPr="00CD59CC">
        <w:rPr>
          <w:rFonts w:ascii="Arial" w:hAnsi="Arial" w:cs="Arial"/>
        </w:rPr>
        <w:t>Court’s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ordered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procedure</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restarted.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Curia</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reasoning</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Metropolitan</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insufficient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lacked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details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extent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Curia</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review</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repeated</w:t>
      </w:r>
      <w:r w:rsidR="007B7640" w:rsidRPr="00CD59CC">
        <w:rPr>
          <w:rFonts w:ascii="Arial" w:hAnsi="Arial" w:cs="Arial"/>
        </w:rPr>
        <w:t xml:space="preserve"> </w:t>
      </w:r>
      <w:r w:rsidRPr="00CD59CC">
        <w:rPr>
          <w:rFonts w:ascii="Arial" w:hAnsi="Arial" w:cs="Arial"/>
        </w:rPr>
        <w:t>proceedings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lastRenderedPageBreak/>
        <w:t>pending</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Metropolitan</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Administrative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(successor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Metropolitan</w:t>
      </w:r>
      <w:r w:rsidR="007B7640" w:rsidRPr="00CD59CC">
        <w:rPr>
          <w:rFonts w:ascii="Arial" w:hAnsi="Arial" w:cs="Arial"/>
        </w:rPr>
        <w:t xml:space="preserve"> </w:t>
      </w:r>
      <w:r w:rsidRPr="00CD59CC">
        <w:rPr>
          <w:rFonts w:ascii="Arial" w:hAnsi="Arial" w:cs="Arial"/>
        </w:rPr>
        <w:t>Court).</w:t>
      </w:r>
    </w:p>
    <w:p w14:paraId="5E807171" w14:textId="77777777" w:rsidR="00B97ED3" w:rsidRPr="00CD59CC" w:rsidRDefault="00B97ED3" w:rsidP="00BB4E9F">
      <w:pPr>
        <w:pStyle w:val="BodyText2"/>
        <w:jc w:val="left"/>
        <w:rPr>
          <w:rFonts w:ascii="Arial" w:hAnsi="Arial" w:cs="Arial"/>
        </w:rPr>
      </w:pPr>
    </w:p>
    <w:p w14:paraId="008CD2D2" w14:textId="77777777" w:rsidR="003E48C1" w:rsidRPr="00CD59CC" w:rsidRDefault="003E48C1" w:rsidP="00CD59CC">
      <w:pPr>
        <w:rPr>
          <w:rFonts w:ascii="Arial" w:hAnsi="Arial" w:cs="Arial"/>
        </w:rPr>
      </w:pPr>
      <w:r w:rsidRPr="00CD59CC">
        <w:rPr>
          <w:rFonts w:ascii="Arial" w:hAnsi="Arial" w:cs="Arial"/>
        </w:rPr>
        <w:t>These</w:t>
      </w:r>
      <w:r w:rsidR="007B7640" w:rsidRPr="00CD59CC">
        <w:rPr>
          <w:rFonts w:ascii="Arial" w:hAnsi="Arial" w:cs="Arial"/>
        </w:rPr>
        <w:t xml:space="preserve"> </w:t>
      </w:r>
      <w:r w:rsidRPr="00CD59CC">
        <w:rPr>
          <w:rFonts w:ascii="Arial" w:hAnsi="Arial" w:cs="Arial"/>
        </w:rPr>
        <w:t>interpretations</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mayors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commit</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residents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respective</w:t>
      </w:r>
      <w:r w:rsidR="007B7640" w:rsidRPr="00CD59CC">
        <w:rPr>
          <w:rFonts w:ascii="Arial" w:hAnsi="Arial" w:cs="Arial"/>
        </w:rPr>
        <w:t xml:space="preserve"> </w:t>
      </w:r>
      <w:r w:rsidRPr="00CD59CC">
        <w:rPr>
          <w:rFonts w:ascii="Arial" w:hAnsi="Arial" w:cs="Arial"/>
        </w:rPr>
        <w:t>municipalities;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fall</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perform</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statutorily</w:t>
      </w:r>
      <w:r w:rsidR="007B7640" w:rsidRPr="00CD59CC">
        <w:rPr>
          <w:rFonts w:ascii="Arial" w:hAnsi="Arial" w:cs="Arial"/>
        </w:rPr>
        <w:t xml:space="preserve"> </w:t>
      </w:r>
      <w:r w:rsidRPr="00CD59CC">
        <w:rPr>
          <w:rFonts w:ascii="Arial" w:hAnsi="Arial" w:cs="Arial"/>
        </w:rPr>
        <w:t>enshrined</w:t>
      </w:r>
      <w:r w:rsidR="007B7640" w:rsidRPr="00CD59CC">
        <w:rPr>
          <w:rFonts w:ascii="Arial" w:hAnsi="Arial" w:cs="Arial"/>
        </w:rPr>
        <w:t xml:space="preserve"> </w:t>
      </w:r>
      <w:r w:rsidRPr="00CD59CC">
        <w:rPr>
          <w:rFonts w:ascii="Arial" w:hAnsi="Arial" w:cs="Arial"/>
        </w:rPr>
        <w:t>function</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participation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rallies,</w:t>
      </w:r>
      <w:r w:rsidR="007B7640" w:rsidRPr="00CD59CC">
        <w:rPr>
          <w:rFonts w:ascii="Arial" w:hAnsi="Arial" w:cs="Arial"/>
        </w:rPr>
        <w:t xml:space="preserve"> </w:t>
      </w:r>
      <w:r w:rsidRPr="00CD59CC">
        <w:rPr>
          <w:rFonts w:ascii="Arial" w:hAnsi="Arial" w:cs="Arial"/>
        </w:rPr>
        <w:t>demonstrations,</w:t>
      </w:r>
      <w:r w:rsidR="007B7640" w:rsidRPr="00CD59CC">
        <w:rPr>
          <w:rFonts w:ascii="Arial" w:hAnsi="Arial" w:cs="Arial"/>
        </w:rPr>
        <w:t xml:space="preserve"> </w:t>
      </w:r>
      <w:r w:rsidRPr="00CD59CC">
        <w:rPr>
          <w:rFonts w:ascii="Arial" w:hAnsi="Arial" w:cs="Arial"/>
        </w:rPr>
        <w:t>writing</w:t>
      </w:r>
      <w:r w:rsidR="007B7640" w:rsidRPr="00CD59CC">
        <w:rPr>
          <w:rFonts w:ascii="Arial" w:hAnsi="Arial" w:cs="Arial"/>
        </w:rPr>
        <w:t xml:space="preserve"> </w:t>
      </w:r>
      <w:r w:rsidRPr="00CD59CC">
        <w:rPr>
          <w:rFonts w:ascii="Arial" w:hAnsi="Arial" w:cs="Arial"/>
        </w:rPr>
        <w:t>newspaper</w:t>
      </w:r>
      <w:r w:rsidR="007B7640" w:rsidRPr="00CD59CC">
        <w:rPr>
          <w:rFonts w:ascii="Arial" w:hAnsi="Arial" w:cs="Arial"/>
        </w:rPr>
        <w:t xml:space="preserve"> </w:t>
      </w:r>
      <w:r w:rsidRPr="00CD59CC">
        <w:rPr>
          <w:rFonts w:ascii="Arial" w:hAnsi="Arial" w:cs="Arial"/>
        </w:rPr>
        <w:t>articles</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seen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individual</w:t>
      </w:r>
      <w:r w:rsidR="007B7640" w:rsidRPr="00CD59CC">
        <w:rPr>
          <w:rFonts w:ascii="Arial" w:hAnsi="Arial" w:cs="Arial"/>
        </w:rPr>
        <w:t xml:space="preserve"> </w:t>
      </w:r>
      <w:r w:rsidRPr="00CD59CC">
        <w:rPr>
          <w:rFonts w:ascii="Arial" w:hAnsi="Arial" w:cs="Arial"/>
        </w:rPr>
        <w:t>victims</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consisting</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individuals</w:t>
      </w:r>
      <w:r w:rsidR="007B7640" w:rsidRPr="00CD59CC">
        <w:rPr>
          <w:rFonts w:ascii="Arial" w:hAnsi="Arial" w:cs="Arial"/>
        </w:rPr>
        <w:t xml:space="preserve"> </w:t>
      </w:r>
      <w:r w:rsidRPr="00CD59CC">
        <w:rPr>
          <w:rFonts w:ascii="Arial" w:hAnsi="Arial" w:cs="Arial"/>
        </w:rPr>
        <w:t>negatively</w:t>
      </w:r>
      <w:r w:rsidR="007B7640" w:rsidRPr="00CD59CC">
        <w:rPr>
          <w:rFonts w:ascii="Arial" w:hAnsi="Arial" w:cs="Arial"/>
        </w:rPr>
        <w:t xml:space="preserve"> </w:t>
      </w:r>
      <w:r w:rsidRPr="00CD59CC">
        <w:rPr>
          <w:rFonts w:ascii="Arial" w:hAnsi="Arial" w:cs="Arial"/>
        </w:rPr>
        <w:t>affected)</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likely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restrict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make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practically</w:t>
      </w:r>
      <w:r w:rsidR="007B7640" w:rsidRPr="00CD59CC">
        <w:rPr>
          <w:rFonts w:ascii="Arial" w:hAnsi="Arial" w:cs="Arial"/>
        </w:rPr>
        <w:t xml:space="preserve"> </w:t>
      </w:r>
      <w:r w:rsidRPr="00CD59CC">
        <w:rPr>
          <w:rFonts w:ascii="Arial" w:hAnsi="Arial" w:cs="Arial"/>
        </w:rPr>
        <w:t>impossible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NGO's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action</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incitement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defamatory</w:t>
      </w:r>
      <w:r w:rsidR="007B7640" w:rsidRPr="00CD59CC">
        <w:rPr>
          <w:rFonts w:ascii="Arial" w:hAnsi="Arial" w:cs="Arial"/>
        </w:rPr>
        <w:t xml:space="preserve"> </w:t>
      </w:r>
      <w:r w:rsidRPr="00CD59CC">
        <w:rPr>
          <w:rFonts w:ascii="Arial" w:hAnsi="Arial" w:cs="Arial"/>
        </w:rPr>
        <w:t>statements</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p>
    <w:p w14:paraId="358082CE" w14:textId="77777777" w:rsidR="003E48C1" w:rsidRPr="00CD59CC" w:rsidRDefault="003E48C1" w:rsidP="00CD59CC">
      <w:pPr>
        <w:rPr>
          <w:rFonts w:ascii="Arial" w:hAnsi="Arial" w:cs="Arial"/>
        </w:rPr>
      </w:pPr>
    </w:p>
    <w:p w14:paraId="1E26DB60" w14:textId="77777777" w:rsidR="003E48C1" w:rsidRPr="00CD59CC" w:rsidRDefault="003E48C1"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addition,</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whose</w:t>
      </w:r>
      <w:r w:rsidR="007B7640" w:rsidRPr="00CD59CC">
        <w:rPr>
          <w:rFonts w:ascii="Arial" w:hAnsi="Arial" w:cs="Arial"/>
        </w:rPr>
        <w:t xml:space="preserve"> </w:t>
      </w:r>
      <w:r w:rsidRPr="00CD59CC">
        <w:rPr>
          <w:rFonts w:ascii="Arial" w:hAnsi="Arial" w:cs="Arial"/>
        </w:rPr>
        <w:t>actions</w:t>
      </w:r>
      <w:r w:rsidR="007B7640" w:rsidRPr="00CD59CC">
        <w:rPr>
          <w:rFonts w:ascii="Arial" w:hAnsi="Arial" w:cs="Arial"/>
        </w:rPr>
        <w:t xml:space="preserve"> </w:t>
      </w:r>
      <w:r w:rsidRPr="00CD59CC">
        <w:rPr>
          <w:rFonts w:ascii="Arial" w:hAnsi="Arial" w:cs="Arial"/>
        </w:rPr>
        <w:t>come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whilst</w:t>
      </w:r>
      <w:r w:rsidR="007B7640" w:rsidRPr="00CD59CC">
        <w:rPr>
          <w:rFonts w:ascii="Arial" w:hAnsi="Arial" w:cs="Arial"/>
        </w:rPr>
        <w:t xml:space="preserve"> </w:t>
      </w:r>
      <w:r w:rsidRPr="00CD59CC">
        <w:rPr>
          <w:rFonts w:ascii="Arial" w:hAnsi="Arial" w:cs="Arial"/>
        </w:rPr>
        <w:t>journalists,</w:t>
      </w:r>
      <w:r w:rsidR="007B7640" w:rsidRPr="00CD59CC">
        <w:rPr>
          <w:rFonts w:ascii="Arial" w:hAnsi="Arial" w:cs="Arial"/>
        </w:rPr>
        <w:t xml:space="preserve"> </w:t>
      </w:r>
      <w:r w:rsidRPr="00CD59CC">
        <w:rPr>
          <w:rFonts w:ascii="Arial" w:hAnsi="Arial" w:cs="Arial"/>
        </w:rPr>
        <w:t>newspapers,</w:t>
      </w:r>
      <w:r w:rsidR="007B7640" w:rsidRPr="00CD59CC">
        <w:rPr>
          <w:rFonts w:ascii="Arial" w:hAnsi="Arial" w:cs="Arial"/>
        </w:rPr>
        <w:t xml:space="preserve"> </w:t>
      </w:r>
      <w:r w:rsidRPr="00CD59CC">
        <w:rPr>
          <w:rFonts w:ascii="Arial" w:hAnsi="Arial" w:cs="Arial"/>
        </w:rPr>
        <w:t>media</w:t>
      </w:r>
      <w:r w:rsidR="007B7640" w:rsidRPr="00CD59CC">
        <w:rPr>
          <w:rFonts w:ascii="Arial" w:hAnsi="Arial" w:cs="Arial"/>
        </w:rPr>
        <w:t xml:space="preserve"> </w:t>
      </w:r>
      <w:r w:rsidRPr="00CD59CC">
        <w:rPr>
          <w:rFonts w:ascii="Arial" w:hAnsi="Arial" w:cs="Arial"/>
        </w:rPr>
        <w:t>organs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latter</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cannot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raised</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theoretically.</w:t>
      </w:r>
      <w:r w:rsidR="007B7640" w:rsidRPr="00CD59CC">
        <w:rPr>
          <w:rFonts w:ascii="Arial" w:hAnsi="Arial" w:cs="Arial"/>
        </w:rPr>
        <w:t xml:space="preserve"> </w:t>
      </w:r>
    </w:p>
    <w:p w14:paraId="53BABC34" w14:textId="77777777" w:rsidR="003E48C1" w:rsidRPr="00CD59CC" w:rsidRDefault="003E48C1" w:rsidP="00CD59CC">
      <w:pPr>
        <w:rPr>
          <w:rFonts w:ascii="Arial" w:hAnsi="Arial" w:cs="Arial"/>
        </w:rPr>
      </w:pPr>
    </w:p>
    <w:p w14:paraId="3DD2F7EC" w14:textId="77777777" w:rsidR="003E48C1" w:rsidRPr="00CD59CC" w:rsidRDefault="003E48C1" w:rsidP="00CD59CC">
      <w:pPr>
        <w:rPr>
          <w:rFonts w:ascii="Arial" w:hAnsi="Arial" w:cs="Arial"/>
        </w:rPr>
      </w:pPr>
      <w:r w:rsidRPr="00CD59CC">
        <w:rPr>
          <w:rFonts w:ascii="Arial" w:hAnsi="Arial" w:cs="Arial"/>
        </w:rPr>
        <w:t>This</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mean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action</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discriminatory</w:t>
      </w:r>
      <w:r w:rsidR="007B7640" w:rsidRPr="00CD59CC">
        <w:rPr>
          <w:rFonts w:ascii="Arial" w:hAnsi="Arial" w:cs="Arial"/>
        </w:rPr>
        <w:t xml:space="preserve"> </w:t>
      </w:r>
      <w:r w:rsidRPr="00CD59CC">
        <w:rPr>
          <w:rFonts w:ascii="Arial" w:hAnsi="Arial" w:cs="Arial"/>
        </w:rPr>
        <w:t>statements</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them.</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statements</w:t>
      </w:r>
      <w:r w:rsidR="007B7640" w:rsidRPr="00CD59CC">
        <w:rPr>
          <w:rFonts w:ascii="Arial" w:hAnsi="Arial" w:cs="Arial"/>
        </w:rPr>
        <w:t xml:space="preserve"> </w:t>
      </w:r>
      <w:r w:rsidRPr="00CD59CC">
        <w:rPr>
          <w:rFonts w:ascii="Arial" w:hAnsi="Arial" w:cs="Arial"/>
        </w:rPr>
        <w:t>constitute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breach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inherent</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dignity),</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pointed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due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restrictive</w:t>
      </w:r>
      <w:r w:rsidR="007B7640" w:rsidRPr="00CD59CC">
        <w:rPr>
          <w:rFonts w:ascii="Arial" w:hAnsi="Arial" w:cs="Arial"/>
        </w:rPr>
        <w:t xml:space="preserve"> </w:t>
      </w:r>
      <w:r w:rsidRPr="00CD59CC">
        <w:rPr>
          <w:rFonts w:ascii="Arial" w:hAnsi="Arial" w:cs="Arial"/>
        </w:rPr>
        <w:t>judicial</w:t>
      </w:r>
      <w:r w:rsidR="007B7640" w:rsidRPr="00CD59CC">
        <w:rPr>
          <w:rFonts w:ascii="Arial" w:hAnsi="Arial" w:cs="Arial"/>
        </w:rPr>
        <w:t xml:space="preserve"> </w:t>
      </w:r>
      <w:r w:rsidRPr="00CD59CC">
        <w:rPr>
          <w:rFonts w:ascii="Arial" w:hAnsi="Arial" w:cs="Arial"/>
        </w:rPr>
        <w:t>interpretation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route</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discriminatory</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clearly</w:t>
      </w:r>
      <w:r w:rsidR="007B7640" w:rsidRPr="00CD59CC">
        <w:rPr>
          <w:rFonts w:ascii="Arial" w:hAnsi="Arial" w:cs="Arial"/>
        </w:rPr>
        <w:t xml:space="preserve"> </w:t>
      </w:r>
      <w:r w:rsidRPr="00CD59CC">
        <w:rPr>
          <w:rFonts w:ascii="Arial" w:hAnsi="Arial" w:cs="Arial"/>
        </w:rPr>
        <w:t>identifiable</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defamatory</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non-litigable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individual</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he/she</w:t>
      </w:r>
      <w:r w:rsidR="007B7640" w:rsidRPr="00CD59CC">
        <w:rPr>
          <w:rFonts w:ascii="Arial" w:hAnsi="Arial" w:cs="Arial"/>
        </w:rPr>
        <w:t xml:space="preserve"> </w:t>
      </w:r>
      <w:r w:rsidRPr="00CD59CC">
        <w:rPr>
          <w:rFonts w:ascii="Arial" w:hAnsi="Arial" w:cs="Arial"/>
        </w:rPr>
        <w:t>belongs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p>
    <w:p w14:paraId="617DFB30" w14:textId="77777777" w:rsidR="003E48C1" w:rsidRPr="00CD59CC" w:rsidRDefault="003E48C1" w:rsidP="00CD59CC">
      <w:pPr>
        <w:ind w:left="567" w:hanging="567"/>
        <w:rPr>
          <w:rFonts w:ascii="Arial" w:hAnsi="Arial" w:cs="Arial"/>
        </w:rPr>
      </w:pPr>
    </w:p>
    <w:p w14:paraId="391A5434" w14:textId="77777777" w:rsidR="003E48C1" w:rsidRPr="00CD59CC" w:rsidRDefault="003E48C1" w:rsidP="00CD59CC">
      <w:pPr>
        <w:rPr>
          <w:rFonts w:ascii="Arial" w:hAnsi="Arial" w:cs="Arial"/>
        </w:rPr>
      </w:pPr>
      <w:r w:rsidRPr="00CD59CC">
        <w:rPr>
          <w:rFonts w:ascii="Arial" w:hAnsi="Arial" w:cs="Arial"/>
        </w:rPr>
        <w:t>Statements</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larger</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coming</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falling</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sanctioned</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incite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hatred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clear</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present</w:t>
      </w:r>
      <w:r w:rsidR="007B7640" w:rsidRPr="00CD59CC">
        <w:rPr>
          <w:rFonts w:ascii="Arial" w:hAnsi="Arial" w:cs="Arial"/>
        </w:rPr>
        <w:t xml:space="preserve"> </w:t>
      </w:r>
      <w:r w:rsidRPr="00CD59CC">
        <w:rPr>
          <w:rFonts w:ascii="Arial" w:hAnsi="Arial" w:cs="Arial"/>
        </w:rPr>
        <w:t>danger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actual</w:t>
      </w:r>
      <w:r w:rsidR="007B7640" w:rsidRPr="00CD59CC">
        <w:rPr>
          <w:rFonts w:ascii="Arial" w:hAnsi="Arial" w:cs="Arial"/>
        </w:rPr>
        <w:t xml:space="preserve"> </w:t>
      </w:r>
      <w:r w:rsidRPr="00CD59CC">
        <w:rPr>
          <w:rFonts w:ascii="Arial" w:hAnsi="Arial" w:cs="Arial"/>
        </w:rPr>
        <w:t>violence,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punishment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Penal</w:t>
      </w:r>
      <w:r w:rsidR="007B7640" w:rsidRPr="00CD59CC">
        <w:rPr>
          <w:rFonts w:ascii="Arial" w:hAnsi="Arial" w:cs="Arial"/>
        </w:rPr>
        <w:t xml:space="preserve"> </w:t>
      </w:r>
      <w:r w:rsidRPr="00CD59CC">
        <w:rPr>
          <w:rFonts w:ascii="Arial" w:hAnsi="Arial" w:cs="Arial"/>
        </w:rPr>
        <w:t>Code.</w:t>
      </w:r>
    </w:p>
    <w:p w14:paraId="421D1AB8" w14:textId="77777777" w:rsidR="003E48C1" w:rsidRPr="00CD59CC" w:rsidRDefault="003E48C1" w:rsidP="00CD59CC">
      <w:pPr>
        <w:ind w:left="567" w:hanging="567"/>
        <w:rPr>
          <w:rFonts w:ascii="Arial" w:hAnsi="Arial" w:cs="Arial"/>
        </w:rPr>
      </w:pPr>
    </w:p>
    <w:p w14:paraId="7196D7C9" w14:textId="77777777" w:rsidR="002B5BCD" w:rsidRPr="00CD59CC" w:rsidRDefault="002B5BCD" w:rsidP="00CD59CC">
      <w:pPr>
        <w:numPr>
          <w:ilvl w:val="0"/>
          <w:numId w:val="4"/>
        </w:numPr>
        <w:ind w:left="567" w:hanging="567"/>
        <w:rPr>
          <w:rFonts w:ascii="Arial" w:hAnsi="Arial" w:cs="Arial"/>
          <w:i/>
        </w:rPr>
      </w:pPr>
      <w:r w:rsidRPr="00CD59CC">
        <w:rPr>
          <w:rFonts w:ascii="Arial" w:hAnsi="Arial" w:cs="Arial"/>
          <w:i/>
        </w:rPr>
        <w:t>Does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permit</w:t>
      </w:r>
      <w:r w:rsidR="007B7640" w:rsidRPr="00CD59CC">
        <w:rPr>
          <w:rFonts w:ascii="Arial" w:hAnsi="Arial" w:cs="Arial"/>
          <w:i/>
        </w:rPr>
        <w:t xml:space="preserve"> </w:t>
      </w:r>
      <w:r w:rsidRPr="00CD59CC">
        <w:rPr>
          <w:rFonts w:ascii="Arial" w:hAnsi="Arial" w:cs="Arial"/>
          <w:i/>
        </w:rPr>
        <w:t>justification</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direct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generally,</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relation</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particular</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If</w:t>
      </w:r>
      <w:r w:rsidR="007B7640" w:rsidRPr="00CD59CC">
        <w:rPr>
          <w:rFonts w:ascii="Arial" w:hAnsi="Arial" w:cs="Arial"/>
          <w:i/>
        </w:rPr>
        <w:t xml:space="preserve"> </w:t>
      </w:r>
      <w:r w:rsidRPr="00CD59CC">
        <w:rPr>
          <w:rFonts w:ascii="Arial" w:hAnsi="Arial" w:cs="Arial"/>
          <w:i/>
        </w:rPr>
        <w:t>so,</w:t>
      </w:r>
      <w:r w:rsidR="007B7640" w:rsidRPr="00CD59CC">
        <w:rPr>
          <w:rFonts w:ascii="Arial" w:hAnsi="Arial" w:cs="Arial"/>
          <w:i/>
        </w:rPr>
        <w:t xml:space="preserve"> </w:t>
      </w:r>
      <w:r w:rsidRPr="00CD59CC">
        <w:rPr>
          <w:rFonts w:ascii="Arial" w:hAnsi="Arial" w:cs="Arial"/>
          <w:i/>
        </w:rPr>
        <w:t>what</w:t>
      </w:r>
      <w:r w:rsidR="007B7640" w:rsidRPr="00CD59CC">
        <w:rPr>
          <w:rFonts w:ascii="Arial" w:hAnsi="Arial" w:cs="Arial"/>
          <w:i/>
        </w:rPr>
        <w:t xml:space="preserve"> </w:t>
      </w:r>
      <w:r w:rsidRPr="00CD59CC">
        <w:rPr>
          <w:rFonts w:ascii="Arial" w:hAnsi="Arial" w:cs="Arial"/>
          <w:i/>
        </w:rPr>
        <w:t>test</w:t>
      </w:r>
      <w:r w:rsidR="007B7640" w:rsidRPr="00CD59CC">
        <w:rPr>
          <w:rFonts w:ascii="Arial" w:hAnsi="Arial" w:cs="Arial"/>
          <w:i/>
        </w:rPr>
        <w:t xml:space="preserve"> </w:t>
      </w:r>
      <w:r w:rsidRPr="00CD59CC">
        <w:rPr>
          <w:rFonts w:ascii="Arial" w:hAnsi="Arial" w:cs="Arial"/>
          <w:i/>
        </w:rPr>
        <w:t>must</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satisfied</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justify</w:t>
      </w:r>
      <w:r w:rsidR="007B7640" w:rsidRPr="00CD59CC">
        <w:rPr>
          <w:rFonts w:ascii="Arial" w:hAnsi="Arial" w:cs="Arial"/>
          <w:i/>
        </w:rPr>
        <w:t xml:space="preserve"> </w:t>
      </w:r>
      <w:r w:rsidRPr="00CD59CC">
        <w:rPr>
          <w:rFonts w:ascii="Arial" w:hAnsi="Arial" w:cs="Arial"/>
          <w:i/>
        </w:rPr>
        <w:t>direct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(See</w:t>
      </w:r>
      <w:r w:rsidR="007B7640" w:rsidRPr="00CD59CC">
        <w:rPr>
          <w:rFonts w:ascii="Arial" w:hAnsi="Arial" w:cs="Arial"/>
          <w:i/>
        </w:rPr>
        <w:t xml:space="preserve"> </w:t>
      </w:r>
      <w:r w:rsidRPr="00CD59CC">
        <w:rPr>
          <w:rFonts w:ascii="Arial" w:hAnsi="Arial" w:cs="Arial"/>
          <w:i/>
        </w:rPr>
        <w:t>also</w:t>
      </w:r>
      <w:r w:rsidR="007B7640" w:rsidRPr="00CD59CC">
        <w:rPr>
          <w:rFonts w:ascii="Arial" w:hAnsi="Arial" w:cs="Arial"/>
          <w:i/>
        </w:rPr>
        <w:t xml:space="preserve"> </w:t>
      </w:r>
      <w:r w:rsidRPr="00CD59CC">
        <w:rPr>
          <w:rFonts w:ascii="Arial" w:hAnsi="Arial" w:cs="Arial"/>
          <w:i/>
        </w:rPr>
        <w:t>4.7.1</w:t>
      </w:r>
      <w:r w:rsidR="007B7640" w:rsidRPr="00CD59CC">
        <w:rPr>
          <w:rFonts w:ascii="Arial" w:hAnsi="Arial" w:cs="Arial"/>
          <w:i/>
        </w:rPr>
        <w:t xml:space="preserve"> </w:t>
      </w:r>
      <w:r w:rsidRPr="00CD59CC">
        <w:rPr>
          <w:rFonts w:ascii="Arial" w:hAnsi="Arial" w:cs="Arial"/>
          <w:i/>
        </w:rPr>
        <w:t>below).</w:t>
      </w:r>
      <w:r w:rsidR="007B7640" w:rsidRPr="00CD59CC">
        <w:rPr>
          <w:rFonts w:ascii="Arial" w:hAnsi="Arial" w:cs="Arial"/>
          <w:i/>
        </w:rPr>
        <w:t xml:space="preserve"> </w:t>
      </w:r>
    </w:p>
    <w:p w14:paraId="42E13D25" w14:textId="77777777" w:rsidR="002B5BCD" w:rsidRPr="00CD59CC" w:rsidRDefault="002B5BCD" w:rsidP="00CD59CC">
      <w:pPr>
        <w:ind w:left="567" w:hanging="567"/>
        <w:rPr>
          <w:rFonts w:ascii="Arial" w:hAnsi="Arial" w:cs="Arial"/>
        </w:rPr>
      </w:pPr>
    </w:p>
    <w:p w14:paraId="55F3897C" w14:textId="77777777" w:rsidR="00EC69D4" w:rsidRDefault="00EC69D4"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7</w:t>
      </w:r>
      <w:r w:rsidR="007B7640" w:rsidRPr="00CD59CC">
        <w:rPr>
          <w:rFonts w:ascii="Arial" w:hAnsi="Arial" w:cs="Arial"/>
        </w:rPr>
        <w:t xml:space="preserve"> </w:t>
      </w:r>
      <w:r w:rsidRPr="00CD59CC">
        <w:rPr>
          <w:rFonts w:ascii="Arial" w:hAnsi="Arial" w:cs="Arial"/>
        </w:rPr>
        <w:t>Paragraphs</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(3)</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contain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exempting</w:t>
      </w:r>
      <w:r w:rsidR="007B7640" w:rsidRPr="00CD59CC">
        <w:rPr>
          <w:rFonts w:ascii="Arial" w:hAnsi="Arial" w:cs="Arial"/>
        </w:rPr>
        <w:t xml:space="preserve"> </w:t>
      </w:r>
      <w:r w:rsidRPr="00CD59CC">
        <w:rPr>
          <w:rFonts w:ascii="Arial" w:hAnsi="Arial" w:cs="Arial"/>
        </w:rPr>
        <w:t>clause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Whether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justification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exists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depends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whereas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conditions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exemption</w:t>
      </w:r>
      <w:r w:rsidR="007B7640" w:rsidRPr="00CD59CC">
        <w:rPr>
          <w:rFonts w:ascii="Arial" w:hAnsi="Arial" w:cs="Arial"/>
        </w:rPr>
        <w:t xml:space="preserve"> </w:t>
      </w:r>
      <w:r w:rsidRPr="00CD59CC">
        <w:rPr>
          <w:rFonts w:ascii="Arial" w:hAnsi="Arial" w:cs="Arial"/>
        </w:rPr>
        <w:t>depend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type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differentiating</w:t>
      </w:r>
      <w:r w:rsidR="007B7640" w:rsidRPr="00CD59CC">
        <w:rPr>
          <w:rFonts w:ascii="Arial" w:hAnsi="Arial" w:cs="Arial"/>
        </w:rPr>
        <w:t xml:space="preserve"> </w:t>
      </w:r>
      <w:r w:rsidRPr="00CD59CC">
        <w:rPr>
          <w:rFonts w:ascii="Arial" w:hAnsi="Arial" w:cs="Arial"/>
        </w:rPr>
        <w:t>behaviour.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provision</w:t>
      </w:r>
      <w:r w:rsidR="007B7640" w:rsidRPr="00CD59CC">
        <w:rPr>
          <w:rFonts w:ascii="Arial" w:hAnsi="Arial" w:cs="Arial"/>
        </w:rPr>
        <w:t xml:space="preserve"> </w:t>
      </w:r>
      <w:r w:rsidRPr="00CD59CC">
        <w:rPr>
          <w:rFonts w:ascii="Arial" w:hAnsi="Arial" w:cs="Arial"/>
        </w:rPr>
        <w:t>runs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follows.</w:t>
      </w:r>
    </w:p>
    <w:p w14:paraId="5D8BE17F" w14:textId="77777777" w:rsidR="00532AB1" w:rsidRPr="00CD59CC" w:rsidRDefault="00532AB1" w:rsidP="00CD59CC">
      <w:pPr>
        <w:rPr>
          <w:rFonts w:ascii="Arial" w:hAnsi="Arial" w:cs="Arial"/>
        </w:rPr>
      </w:pPr>
    </w:p>
    <w:p w14:paraId="2037F268" w14:textId="6E6CDC8D" w:rsidR="00EC69D4" w:rsidRPr="00BB4E9F" w:rsidRDefault="00EC69D4" w:rsidP="00BB4E9F">
      <w:pPr>
        <w:pStyle w:val="Quote"/>
      </w:pPr>
      <w:r w:rsidRPr="006F0AF2">
        <w:t>“</w:t>
      </w:r>
      <w:r w:rsidR="006F0AF2">
        <w:t>(2)</w:t>
      </w:r>
      <w:r w:rsidRPr="006F0AF2">
        <w:t>Unless</w:t>
      </w:r>
      <w:r w:rsidR="007B7640" w:rsidRPr="006F0AF2">
        <w:t xml:space="preserve"> </w:t>
      </w:r>
      <w:r w:rsidRPr="006F0AF2">
        <w:t>this</w:t>
      </w:r>
      <w:r w:rsidR="007B7640" w:rsidRPr="006F0AF2">
        <w:t xml:space="preserve"> </w:t>
      </w:r>
      <w:r w:rsidRPr="006F0AF2">
        <w:t>law</w:t>
      </w:r>
      <w:r w:rsidR="007B7640" w:rsidRPr="006F0AF2">
        <w:t xml:space="preserve"> </w:t>
      </w:r>
      <w:r w:rsidRPr="006F0AF2">
        <w:t>stipulates</w:t>
      </w:r>
      <w:r w:rsidR="007B7640" w:rsidRPr="006F0AF2">
        <w:t xml:space="preserve"> </w:t>
      </w:r>
      <w:r w:rsidRPr="006F0AF2">
        <w:t>otherwise,</w:t>
      </w:r>
      <w:r w:rsidR="007B7640" w:rsidRPr="006F0AF2">
        <w:t xml:space="preserve"> </w:t>
      </w:r>
      <w:r w:rsidRPr="006F0AF2">
        <w:t>an</w:t>
      </w:r>
      <w:r w:rsidR="007B7640" w:rsidRPr="006F0AF2">
        <w:t xml:space="preserve"> </w:t>
      </w:r>
      <w:r w:rsidRPr="006F0AF2">
        <w:t>action,</w:t>
      </w:r>
      <w:r w:rsidR="007B7640" w:rsidRPr="006F0AF2">
        <w:t xml:space="preserve"> </w:t>
      </w:r>
      <w:r w:rsidRPr="006F0AF2">
        <w:t>conduct,</w:t>
      </w:r>
      <w:r w:rsidR="007B7640" w:rsidRPr="006F0AF2">
        <w:t xml:space="preserve"> </w:t>
      </w:r>
      <w:r w:rsidRPr="006F0AF2">
        <w:t>omission,</w:t>
      </w:r>
      <w:r w:rsidR="007B7640" w:rsidRPr="006F0AF2">
        <w:t xml:space="preserve"> </w:t>
      </w:r>
      <w:r w:rsidRPr="00C86D09">
        <w:t>requirement,</w:t>
      </w:r>
      <w:r w:rsidR="007B7640" w:rsidRPr="00C86D09">
        <w:t xml:space="preserve"> </w:t>
      </w:r>
      <w:r w:rsidRPr="00C86D09">
        <w:t>order</w:t>
      </w:r>
      <w:r w:rsidR="007B7640" w:rsidRPr="00C86D09">
        <w:t xml:space="preserve"> </w:t>
      </w:r>
      <w:r w:rsidRPr="00C86D09">
        <w:t>or</w:t>
      </w:r>
      <w:r w:rsidR="007B7640" w:rsidRPr="00C86D09">
        <w:t xml:space="preserve"> </w:t>
      </w:r>
      <w:r w:rsidRPr="00C86D09">
        <w:t>practice</w:t>
      </w:r>
      <w:r w:rsidR="007B7640" w:rsidRPr="00C86D09">
        <w:t xml:space="preserve"> </w:t>
      </w:r>
      <w:r w:rsidRPr="00C86D09">
        <w:t>(hereinafter:</w:t>
      </w:r>
      <w:r w:rsidR="007B7640" w:rsidRPr="00C86D09">
        <w:t xml:space="preserve"> </w:t>
      </w:r>
      <w:r w:rsidRPr="00C86D09">
        <w:t>action)</w:t>
      </w:r>
      <w:r w:rsidR="007B7640" w:rsidRPr="00C86D09">
        <w:t xml:space="preserve"> </w:t>
      </w:r>
      <w:r w:rsidRPr="00C86D09">
        <w:t>shall</w:t>
      </w:r>
      <w:r w:rsidR="007B7640" w:rsidRPr="00C86D09">
        <w:t xml:space="preserve"> </w:t>
      </w:r>
      <w:r w:rsidRPr="00C86D09">
        <w:t>not</w:t>
      </w:r>
      <w:r w:rsidR="007B7640" w:rsidRPr="00C86D09">
        <w:t xml:space="preserve"> </w:t>
      </w:r>
      <w:r w:rsidRPr="00C86D09">
        <w:t>be</w:t>
      </w:r>
      <w:r w:rsidR="007B7640" w:rsidRPr="00C86D09">
        <w:t xml:space="preserve"> </w:t>
      </w:r>
      <w:r w:rsidRPr="00C86D09">
        <w:t>deemed</w:t>
      </w:r>
      <w:r w:rsidR="007B7640" w:rsidRPr="00C86D09">
        <w:t xml:space="preserve"> </w:t>
      </w:r>
      <w:r w:rsidRPr="00C86D09">
        <w:t>to</w:t>
      </w:r>
      <w:r w:rsidR="007B7640" w:rsidRPr="00C86D09">
        <w:t xml:space="preserve"> </w:t>
      </w:r>
      <w:r w:rsidRPr="00BB4E9F">
        <w:t>violate</w:t>
      </w:r>
      <w:r w:rsidR="007B7640" w:rsidRPr="00BB4E9F">
        <w:t xml:space="preserve"> </w:t>
      </w:r>
      <w:r w:rsidRPr="00BB4E9F">
        <w:t>the</w:t>
      </w:r>
      <w:r w:rsidR="007B7640" w:rsidRPr="00BB4E9F">
        <w:t xml:space="preserve"> </w:t>
      </w:r>
      <w:r w:rsidRPr="00BB4E9F">
        <w:t>requirement</w:t>
      </w:r>
      <w:r w:rsidR="007B7640" w:rsidRPr="00BB4E9F">
        <w:t xml:space="preserve"> </w:t>
      </w:r>
      <w:r w:rsidRPr="00BB4E9F">
        <w:t>of</w:t>
      </w:r>
      <w:r w:rsidR="007B7640" w:rsidRPr="00BB4E9F">
        <w:t xml:space="preserve"> </w:t>
      </w:r>
      <w:r w:rsidRPr="00BB4E9F">
        <w:t>equal</w:t>
      </w:r>
      <w:r w:rsidR="007B7640" w:rsidRPr="00BB4E9F">
        <w:t xml:space="preserve"> </w:t>
      </w:r>
      <w:r w:rsidRPr="00BB4E9F">
        <w:t>treatment</w:t>
      </w:r>
      <w:r w:rsidR="007B7640" w:rsidRPr="00BB4E9F">
        <w:t xml:space="preserve"> </w:t>
      </w:r>
      <w:r w:rsidRPr="00BB4E9F">
        <w:t>if</w:t>
      </w:r>
    </w:p>
    <w:p w14:paraId="1D5B361B" w14:textId="77777777" w:rsidR="00EC69D4" w:rsidRPr="00BB4E9F" w:rsidRDefault="00EC69D4" w:rsidP="00BB4E9F">
      <w:pPr>
        <w:pStyle w:val="Quote"/>
        <w:numPr>
          <w:ilvl w:val="0"/>
          <w:numId w:val="69"/>
        </w:numPr>
        <w:tabs>
          <w:tab w:val="left" w:pos="1701"/>
        </w:tabs>
        <w:ind w:left="1701" w:hanging="567"/>
      </w:pPr>
      <w:r w:rsidRPr="00BB4E9F">
        <w:lastRenderedPageBreak/>
        <w:t>it</w:t>
      </w:r>
      <w:r w:rsidR="007B7640" w:rsidRPr="00BB4E9F">
        <w:t xml:space="preserve"> </w:t>
      </w:r>
      <w:r w:rsidRPr="00BB4E9F">
        <w:t>restricts</w:t>
      </w:r>
      <w:r w:rsidR="007B7640" w:rsidRPr="00BB4E9F">
        <w:t xml:space="preserve"> </w:t>
      </w:r>
      <w:r w:rsidRPr="00BB4E9F">
        <w:t>the</w:t>
      </w:r>
      <w:r w:rsidR="007B7640" w:rsidRPr="00BB4E9F">
        <w:t xml:space="preserve"> </w:t>
      </w:r>
      <w:r w:rsidRPr="00BB4E9F">
        <w:t>aggrieved</w:t>
      </w:r>
      <w:r w:rsidR="007B7640" w:rsidRPr="00BB4E9F">
        <w:t xml:space="preserve"> </w:t>
      </w:r>
      <w:r w:rsidRPr="00BB4E9F">
        <w:t>party’s</w:t>
      </w:r>
      <w:r w:rsidR="007B7640" w:rsidRPr="00BB4E9F">
        <w:t xml:space="preserve"> </w:t>
      </w:r>
      <w:r w:rsidRPr="00BB4E9F">
        <w:t>fundamental</w:t>
      </w:r>
      <w:r w:rsidR="007B7640" w:rsidRPr="00BB4E9F">
        <w:t xml:space="preserve"> </w:t>
      </w:r>
      <w:r w:rsidRPr="00BB4E9F">
        <w:t>right</w:t>
      </w:r>
      <w:r w:rsidR="007B7640" w:rsidRPr="00BB4E9F">
        <w:t xml:space="preserve"> </w:t>
      </w:r>
      <w:r w:rsidRPr="00BB4E9F">
        <w:t>for</w:t>
      </w:r>
      <w:r w:rsidR="007B7640" w:rsidRPr="00BB4E9F">
        <w:t xml:space="preserve"> </w:t>
      </w:r>
      <w:r w:rsidRPr="00BB4E9F">
        <w:t>the</w:t>
      </w:r>
      <w:r w:rsidR="007B7640" w:rsidRPr="00BB4E9F">
        <w:t xml:space="preserve"> </w:t>
      </w:r>
      <w:r w:rsidRPr="00BB4E9F">
        <w:t>sake</w:t>
      </w:r>
      <w:r w:rsidR="007B7640" w:rsidRPr="00BB4E9F">
        <w:t xml:space="preserve"> </w:t>
      </w:r>
      <w:r w:rsidRPr="00BB4E9F">
        <w:t>of</w:t>
      </w:r>
      <w:r w:rsidR="007B7640" w:rsidRPr="00BB4E9F">
        <w:t xml:space="preserve"> </w:t>
      </w:r>
      <w:r w:rsidRPr="00BB4E9F">
        <w:t>the</w:t>
      </w:r>
      <w:r w:rsidR="007B7640" w:rsidRPr="00BB4E9F">
        <w:t xml:space="preserve"> </w:t>
      </w:r>
      <w:r w:rsidRPr="00BB4E9F">
        <w:t>enforcement</w:t>
      </w:r>
      <w:r w:rsidR="007B7640" w:rsidRPr="00BB4E9F">
        <w:t xml:space="preserve"> </w:t>
      </w:r>
      <w:r w:rsidRPr="00BB4E9F">
        <w:t>of</w:t>
      </w:r>
      <w:r w:rsidR="007B7640" w:rsidRPr="00BB4E9F">
        <w:t xml:space="preserve"> </w:t>
      </w:r>
      <w:r w:rsidRPr="00BB4E9F">
        <w:t>another</w:t>
      </w:r>
      <w:r w:rsidR="007B7640" w:rsidRPr="00BB4E9F">
        <w:t xml:space="preserve"> </w:t>
      </w:r>
      <w:r w:rsidRPr="00BB4E9F">
        <w:t>fundamental</w:t>
      </w:r>
      <w:r w:rsidR="007B7640" w:rsidRPr="00BB4E9F">
        <w:t xml:space="preserve"> </w:t>
      </w:r>
      <w:r w:rsidRPr="00BB4E9F">
        <w:t>right,</w:t>
      </w:r>
      <w:r w:rsidR="007B7640" w:rsidRPr="00BB4E9F">
        <w:t xml:space="preserve"> </w:t>
      </w:r>
      <w:r w:rsidRPr="00BB4E9F">
        <w:t>provided</w:t>
      </w:r>
      <w:r w:rsidR="007B7640" w:rsidRPr="00BB4E9F">
        <w:t xml:space="preserve"> </w:t>
      </w:r>
      <w:r w:rsidRPr="00BB4E9F">
        <w:t>that</w:t>
      </w:r>
      <w:r w:rsidR="007B7640" w:rsidRPr="00BB4E9F">
        <w:t xml:space="preserve"> </w:t>
      </w:r>
      <w:r w:rsidRPr="00BB4E9F">
        <w:t>the</w:t>
      </w:r>
      <w:r w:rsidR="007B7640" w:rsidRPr="00BB4E9F">
        <w:t xml:space="preserve"> </w:t>
      </w:r>
      <w:r w:rsidRPr="00BB4E9F">
        <w:t>restriction</w:t>
      </w:r>
      <w:r w:rsidR="007B7640" w:rsidRPr="00BB4E9F">
        <w:t xml:space="preserve"> </w:t>
      </w:r>
      <w:r w:rsidRPr="00BB4E9F">
        <w:t>is</w:t>
      </w:r>
      <w:r w:rsidR="007B7640" w:rsidRPr="00BB4E9F">
        <w:t xml:space="preserve"> </w:t>
      </w:r>
      <w:r w:rsidRPr="00BB4E9F">
        <w:t>absolutely</w:t>
      </w:r>
      <w:r w:rsidR="007B7640" w:rsidRPr="00BB4E9F">
        <w:t xml:space="preserve"> </w:t>
      </w:r>
      <w:r w:rsidRPr="00BB4E9F">
        <w:t>necessary,</w:t>
      </w:r>
      <w:r w:rsidR="007B7640" w:rsidRPr="00BB4E9F">
        <w:t xml:space="preserve"> </w:t>
      </w:r>
      <w:r w:rsidRPr="00BB4E9F">
        <w:t>suitable</w:t>
      </w:r>
      <w:r w:rsidR="007B7640" w:rsidRPr="00BB4E9F">
        <w:t xml:space="preserve"> </w:t>
      </w:r>
      <w:r w:rsidRPr="00BB4E9F">
        <w:t>for</w:t>
      </w:r>
      <w:r w:rsidR="007B7640" w:rsidRPr="00BB4E9F">
        <w:t xml:space="preserve"> </w:t>
      </w:r>
      <w:r w:rsidRPr="00BB4E9F">
        <w:t>achieving</w:t>
      </w:r>
      <w:r w:rsidR="007B7640" w:rsidRPr="00BB4E9F">
        <w:t xml:space="preserve"> </w:t>
      </w:r>
      <w:r w:rsidRPr="00BB4E9F">
        <w:t>the</w:t>
      </w:r>
      <w:r w:rsidR="007B7640" w:rsidRPr="00BB4E9F">
        <w:t xml:space="preserve"> </w:t>
      </w:r>
      <w:r w:rsidRPr="00BB4E9F">
        <w:t>aim</w:t>
      </w:r>
      <w:r w:rsidR="007B7640" w:rsidRPr="00BB4E9F">
        <w:t xml:space="preserve"> </w:t>
      </w:r>
      <w:r w:rsidRPr="00BB4E9F">
        <w:t>and</w:t>
      </w:r>
      <w:r w:rsidR="007B7640" w:rsidRPr="00BB4E9F">
        <w:t xml:space="preserve"> </w:t>
      </w:r>
      <w:r w:rsidRPr="00BB4E9F">
        <w:t>proportionate</w:t>
      </w:r>
      <w:r w:rsidR="007B7640" w:rsidRPr="00BB4E9F">
        <w:t xml:space="preserve"> </w:t>
      </w:r>
      <w:r w:rsidRPr="00BB4E9F">
        <w:t>with</w:t>
      </w:r>
      <w:r w:rsidR="007B7640" w:rsidRPr="00BB4E9F">
        <w:t xml:space="preserve"> </w:t>
      </w:r>
      <w:r w:rsidRPr="00BB4E9F">
        <w:t>the</w:t>
      </w:r>
      <w:r w:rsidR="007B7640" w:rsidRPr="00BB4E9F">
        <w:t xml:space="preserve"> </w:t>
      </w:r>
      <w:r w:rsidRPr="00BB4E9F">
        <w:t>aim,</w:t>
      </w:r>
      <w:r w:rsidR="007B7640" w:rsidRPr="00BB4E9F">
        <w:t xml:space="preserve"> </w:t>
      </w:r>
      <w:r w:rsidRPr="00BB4E9F">
        <w:t>or</w:t>
      </w:r>
    </w:p>
    <w:p w14:paraId="4F3777BC" w14:textId="77777777" w:rsidR="00EC69D4" w:rsidRPr="00BB4E9F" w:rsidRDefault="00EC69D4" w:rsidP="00BB4E9F">
      <w:pPr>
        <w:pStyle w:val="Quote"/>
        <w:numPr>
          <w:ilvl w:val="0"/>
          <w:numId w:val="69"/>
        </w:numPr>
        <w:tabs>
          <w:tab w:val="left" w:pos="1701"/>
        </w:tabs>
        <w:ind w:left="1701" w:hanging="567"/>
      </w:pPr>
      <w:r w:rsidRPr="00BB4E9F">
        <w:t>in</w:t>
      </w:r>
      <w:r w:rsidR="007B7640" w:rsidRPr="00BB4E9F">
        <w:t xml:space="preserve"> </w:t>
      </w:r>
      <w:r w:rsidRPr="00BB4E9F">
        <w:t>cases</w:t>
      </w:r>
      <w:r w:rsidR="007B7640" w:rsidRPr="00BB4E9F">
        <w:t xml:space="preserve"> </w:t>
      </w:r>
      <w:r w:rsidRPr="00BB4E9F">
        <w:t>not</w:t>
      </w:r>
      <w:r w:rsidR="007B7640" w:rsidRPr="00BB4E9F">
        <w:t xml:space="preserve"> </w:t>
      </w:r>
      <w:r w:rsidRPr="00BB4E9F">
        <w:t>falling</w:t>
      </w:r>
      <w:r w:rsidR="007B7640" w:rsidRPr="00BB4E9F">
        <w:t xml:space="preserve"> </w:t>
      </w:r>
      <w:r w:rsidRPr="00BB4E9F">
        <w:t>under</w:t>
      </w:r>
      <w:r w:rsidR="007B7640" w:rsidRPr="00BB4E9F">
        <w:t xml:space="preserve"> </w:t>
      </w:r>
      <w:r w:rsidRPr="00BB4E9F">
        <w:t>the</w:t>
      </w:r>
      <w:r w:rsidR="007B7640" w:rsidRPr="00BB4E9F">
        <w:t xml:space="preserve"> </w:t>
      </w:r>
      <w:r w:rsidRPr="00BB4E9F">
        <w:t>scope</w:t>
      </w:r>
      <w:r w:rsidR="007B7640" w:rsidRPr="00BB4E9F">
        <w:t xml:space="preserve"> </w:t>
      </w:r>
      <w:r w:rsidRPr="00BB4E9F">
        <w:t>of</w:t>
      </w:r>
      <w:r w:rsidR="007B7640" w:rsidRPr="00BB4E9F">
        <w:t xml:space="preserve"> </w:t>
      </w:r>
      <w:r w:rsidRPr="00BB4E9F">
        <w:t>point</w:t>
      </w:r>
      <w:r w:rsidR="007B7640" w:rsidRPr="00BB4E9F">
        <w:t xml:space="preserve"> </w:t>
      </w:r>
      <w:r w:rsidRPr="00BB4E9F">
        <w:t>a),</w:t>
      </w:r>
      <w:r w:rsidR="007B7640" w:rsidRPr="00BB4E9F">
        <w:t xml:space="preserve"> </w:t>
      </w:r>
      <w:r w:rsidRPr="00BB4E9F">
        <w:t>it</w:t>
      </w:r>
      <w:r w:rsidR="007B7640" w:rsidRPr="00BB4E9F">
        <w:t xml:space="preserve"> </w:t>
      </w:r>
      <w:r w:rsidRPr="00BB4E9F">
        <w:t>is</w:t>
      </w:r>
      <w:r w:rsidR="007B7640" w:rsidRPr="00BB4E9F">
        <w:t xml:space="preserve"> </w:t>
      </w:r>
      <w:r w:rsidRPr="00BB4E9F">
        <w:t>found</w:t>
      </w:r>
      <w:r w:rsidR="007B7640" w:rsidRPr="00BB4E9F">
        <w:t xml:space="preserve"> </w:t>
      </w:r>
      <w:r w:rsidRPr="00BB4E9F">
        <w:t>by</w:t>
      </w:r>
      <w:r w:rsidR="007B7640" w:rsidRPr="00BB4E9F">
        <w:t xml:space="preserve"> </w:t>
      </w:r>
      <w:r w:rsidRPr="00BB4E9F">
        <w:t>objective</w:t>
      </w:r>
      <w:r w:rsidR="007B7640" w:rsidRPr="00BB4E9F">
        <w:t xml:space="preserve"> </w:t>
      </w:r>
      <w:r w:rsidRPr="00BB4E9F">
        <w:t>consideration</w:t>
      </w:r>
      <w:r w:rsidR="007B7640" w:rsidRPr="00BB4E9F">
        <w:t xml:space="preserve"> </w:t>
      </w:r>
      <w:r w:rsidRPr="00BB4E9F">
        <w:t>to</w:t>
      </w:r>
      <w:r w:rsidR="007B7640" w:rsidRPr="00BB4E9F">
        <w:t xml:space="preserve"> </w:t>
      </w:r>
      <w:r w:rsidRPr="00BB4E9F">
        <w:t>have</w:t>
      </w:r>
      <w:r w:rsidR="007B7640" w:rsidRPr="00BB4E9F">
        <w:t xml:space="preserve"> </w:t>
      </w:r>
      <w:r w:rsidRPr="00BB4E9F">
        <w:t>a</w:t>
      </w:r>
      <w:r w:rsidR="007B7640" w:rsidRPr="00BB4E9F">
        <w:t xml:space="preserve"> </w:t>
      </w:r>
      <w:r w:rsidRPr="00BB4E9F">
        <w:t>reasonable</w:t>
      </w:r>
      <w:r w:rsidR="007B7640" w:rsidRPr="00BB4E9F">
        <w:t xml:space="preserve"> </w:t>
      </w:r>
      <w:r w:rsidRPr="00BB4E9F">
        <w:t>ground</w:t>
      </w:r>
      <w:r w:rsidR="007B7640" w:rsidRPr="00BB4E9F">
        <w:t xml:space="preserve"> </w:t>
      </w:r>
      <w:r w:rsidRPr="00BB4E9F">
        <w:t>directly</w:t>
      </w:r>
      <w:r w:rsidR="007B7640" w:rsidRPr="00BB4E9F">
        <w:t xml:space="preserve"> </w:t>
      </w:r>
      <w:r w:rsidRPr="00BB4E9F">
        <w:t>related</w:t>
      </w:r>
      <w:r w:rsidR="007B7640" w:rsidRPr="00BB4E9F">
        <w:t xml:space="preserve"> </w:t>
      </w:r>
      <w:r w:rsidRPr="00BB4E9F">
        <w:t>to</w:t>
      </w:r>
      <w:r w:rsidR="007B7640" w:rsidRPr="00BB4E9F">
        <w:t xml:space="preserve"> </w:t>
      </w:r>
      <w:r w:rsidRPr="00BB4E9F">
        <w:t>the</w:t>
      </w:r>
      <w:r w:rsidR="007B7640" w:rsidRPr="00BB4E9F">
        <w:t xml:space="preserve"> </w:t>
      </w:r>
      <w:r w:rsidRPr="00BB4E9F">
        <w:t>relevant</w:t>
      </w:r>
      <w:r w:rsidR="007B7640" w:rsidRPr="00BB4E9F">
        <w:t xml:space="preserve"> </w:t>
      </w:r>
      <w:r w:rsidRPr="00BB4E9F">
        <w:t>legal</w:t>
      </w:r>
      <w:r w:rsidR="007B7640" w:rsidRPr="00BB4E9F">
        <w:t xml:space="preserve"> </w:t>
      </w:r>
      <w:r w:rsidRPr="00BB4E9F">
        <w:t>relation</w:t>
      </w:r>
    </w:p>
    <w:p w14:paraId="1DF93D8B" w14:textId="77777777" w:rsidR="00EC69D4" w:rsidRPr="00CD59CC" w:rsidRDefault="00EC69D4" w:rsidP="00CD59CC">
      <w:pPr>
        <w:ind w:left="567"/>
        <w:rPr>
          <w:rFonts w:ascii="Arial" w:hAnsi="Arial" w:cs="Arial"/>
        </w:rPr>
      </w:pPr>
    </w:p>
    <w:p w14:paraId="7DBAB397" w14:textId="77777777" w:rsidR="00EC69D4" w:rsidRPr="00E34CF1" w:rsidRDefault="00EC69D4" w:rsidP="00E34CF1">
      <w:pPr>
        <w:ind w:left="567"/>
        <w:rPr>
          <w:rFonts w:ascii="Arial" w:hAnsi="Arial"/>
          <w:i/>
        </w:rPr>
      </w:pPr>
      <w:r w:rsidRPr="00E34CF1">
        <w:rPr>
          <w:rFonts w:ascii="Arial" w:hAnsi="Arial"/>
          <w:i/>
        </w:rPr>
        <w:t>(3)</w:t>
      </w:r>
      <w:r w:rsidR="007B7640" w:rsidRPr="00E34CF1">
        <w:rPr>
          <w:rFonts w:ascii="Arial" w:hAnsi="Arial"/>
          <w:i/>
        </w:rPr>
        <w:t xml:space="preserve"> </w:t>
      </w:r>
      <w:r w:rsidRPr="00E34CF1">
        <w:rPr>
          <w:rFonts w:ascii="Arial" w:hAnsi="Arial"/>
          <w:i/>
        </w:rPr>
        <w:t>Paragraph</w:t>
      </w:r>
      <w:r w:rsidR="007B7640" w:rsidRPr="00E34CF1">
        <w:rPr>
          <w:rFonts w:ascii="Arial" w:hAnsi="Arial"/>
          <w:i/>
        </w:rPr>
        <w:t xml:space="preserve"> </w:t>
      </w:r>
      <w:r w:rsidRPr="00E34CF1">
        <w:rPr>
          <w:rFonts w:ascii="Arial" w:hAnsi="Arial"/>
          <w:i/>
        </w:rPr>
        <w:t>(2)</w:t>
      </w:r>
      <w:r w:rsidR="007B7640" w:rsidRPr="00E34CF1">
        <w:rPr>
          <w:rFonts w:ascii="Arial" w:hAnsi="Arial"/>
          <w:i/>
        </w:rPr>
        <w:t xml:space="preserve"> </w:t>
      </w:r>
      <w:r w:rsidRPr="00E34CF1">
        <w:rPr>
          <w:rFonts w:ascii="Arial" w:hAnsi="Arial"/>
          <w:i/>
        </w:rPr>
        <w:t>shall</w:t>
      </w:r>
      <w:r w:rsidR="007B7640" w:rsidRPr="00E34CF1">
        <w:rPr>
          <w:rFonts w:ascii="Arial" w:hAnsi="Arial"/>
          <w:i/>
        </w:rPr>
        <w:t xml:space="preserve"> </w:t>
      </w:r>
      <w:r w:rsidRPr="00E34CF1">
        <w:rPr>
          <w:rFonts w:ascii="Arial" w:hAnsi="Arial"/>
          <w:i/>
        </w:rPr>
        <w:t>not</w:t>
      </w:r>
      <w:r w:rsidR="007B7640" w:rsidRPr="00E34CF1">
        <w:rPr>
          <w:rFonts w:ascii="Arial" w:hAnsi="Arial"/>
          <w:i/>
        </w:rPr>
        <w:t xml:space="preserve"> </w:t>
      </w:r>
      <w:r w:rsidRPr="00E34CF1">
        <w:rPr>
          <w:rFonts w:ascii="Arial" w:hAnsi="Arial"/>
          <w:i/>
        </w:rPr>
        <w:t>be</w:t>
      </w:r>
      <w:r w:rsidR="007B7640" w:rsidRPr="00E34CF1">
        <w:rPr>
          <w:rFonts w:ascii="Arial" w:hAnsi="Arial"/>
          <w:i/>
        </w:rPr>
        <w:t xml:space="preserve"> </w:t>
      </w:r>
      <w:r w:rsidRPr="00E34CF1">
        <w:rPr>
          <w:rFonts w:ascii="Arial" w:hAnsi="Arial"/>
          <w:i/>
        </w:rPr>
        <w:t>applied</w:t>
      </w:r>
      <w:r w:rsidR="007B7640" w:rsidRPr="00E34CF1">
        <w:rPr>
          <w:rFonts w:ascii="Arial" w:hAnsi="Arial"/>
          <w:i/>
        </w:rPr>
        <w:t xml:space="preserve"> </w:t>
      </w:r>
      <w:r w:rsidRPr="00E34CF1">
        <w:rPr>
          <w:rFonts w:ascii="Arial" w:hAnsi="Arial"/>
          <w:i/>
        </w:rPr>
        <w:t>concerning</w:t>
      </w:r>
      <w:r w:rsidR="007B7640" w:rsidRPr="00E34CF1">
        <w:rPr>
          <w:rFonts w:ascii="Arial" w:hAnsi="Arial"/>
          <w:i/>
        </w:rPr>
        <w:t xml:space="preserve"> </w:t>
      </w:r>
      <w:r w:rsidRPr="00E34CF1">
        <w:rPr>
          <w:rFonts w:ascii="Arial" w:hAnsi="Arial"/>
          <w:i/>
        </w:rPr>
        <w:t>differentiation</w:t>
      </w:r>
      <w:r w:rsidR="007B7640" w:rsidRPr="00E34CF1">
        <w:rPr>
          <w:rFonts w:ascii="Arial" w:hAnsi="Arial"/>
          <w:i/>
        </w:rPr>
        <w:t xml:space="preserve"> </w:t>
      </w:r>
      <w:r w:rsidRPr="00E34CF1">
        <w:rPr>
          <w:rFonts w:ascii="Arial" w:hAnsi="Arial"/>
          <w:i/>
        </w:rPr>
        <w:t>based</w:t>
      </w:r>
      <w:r w:rsidR="007B7640" w:rsidRPr="00E34CF1">
        <w:rPr>
          <w:rFonts w:ascii="Arial" w:hAnsi="Arial"/>
          <w:i/>
        </w:rPr>
        <w:t xml:space="preserve"> </w:t>
      </w:r>
      <w:r w:rsidRPr="00E34CF1">
        <w:rPr>
          <w:rFonts w:ascii="Arial" w:hAnsi="Arial"/>
          <w:i/>
        </w:rPr>
        <w:t>on</w:t>
      </w:r>
      <w:r w:rsidR="007B7640" w:rsidRPr="00E34CF1">
        <w:rPr>
          <w:rFonts w:ascii="Arial" w:hAnsi="Arial"/>
          <w:i/>
        </w:rPr>
        <w:t xml:space="preserve"> </w:t>
      </w:r>
      <w:r w:rsidRPr="00E34CF1">
        <w:rPr>
          <w:rFonts w:ascii="Arial" w:hAnsi="Arial"/>
          <w:i/>
        </w:rPr>
        <w:t>points</w:t>
      </w:r>
      <w:r w:rsidR="007B7640" w:rsidRPr="00E34CF1">
        <w:rPr>
          <w:rFonts w:ascii="Arial" w:hAnsi="Arial"/>
          <w:i/>
        </w:rPr>
        <w:t xml:space="preserve"> </w:t>
      </w:r>
      <w:r w:rsidRPr="00E34CF1">
        <w:rPr>
          <w:rFonts w:ascii="Arial" w:hAnsi="Arial"/>
          <w:i/>
        </w:rPr>
        <w:t>b)-e)</w:t>
      </w:r>
      <w:r w:rsidR="007B7640" w:rsidRPr="00E34CF1">
        <w:rPr>
          <w:rFonts w:ascii="Arial" w:hAnsi="Arial"/>
          <w:i/>
        </w:rPr>
        <w:t xml:space="preserve"> </w:t>
      </w:r>
      <w:r w:rsidRPr="00E34CF1">
        <w:rPr>
          <w:rFonts w:ascii="Arial" w:hAnsi="Arial"/>
          <w:i/>
        </w:rPr>
        <w:t>of</w:t>
      </w:r>
      <w:r w:rsidR="007B7640" w:rsidRPr="00E34CF1">
        <w:rPr>
          <w:rFonts w:ascii="Arial" w:hAnsi="Arial"/>
          <w:i/>
        </w:rPr>
        <w:t xml:space="preserve"> </w:t>
      </w:r>
      <w:r w:rsidRPr="00E34CF1">
        <w:rPr>
          <w:rFonts w:ascii="Arial" w:hAnsi="Arial"/>
          <w:i/>
        </w:rPr>
        <w:t>Article</w:t>
      </w:r>
      <w:r w:rsidR="007B7640" w:rsidRPr="00E34CF1">
        <w:rPr>
          <w:rFonts w:ascii="Arial" w:hAnsi="Arial"/>
          <w:i/>
        </w:rPr>
        <w:t xml:space="preserve"> </w:t>
      </w:r>
      <w:r w:rsidRPr="00E34CF1">
        <w:rPr>
          <w:rFonts w:ascii="Arial" w:hAnsi="Arial"/>
          <w:i/>
        </w:rPr>
        <w:t>8</w:t>
      </w:r>
      <w:r w:rsidR="007B7640" w:rsidRPr="00E34CF1">
        <w:rPr>
          <w:rFonts w:ascii="Arial" w:hAnsi="Arial"/>
          <w:i/>
        </w:rPr>
        <w:t xml:space="preserve"> </w:t>
      </w:r>
      <w:r w:rsidRPr="00E34CF1">
        <w:rPr>
          <w:rFonts w:ascii="Arial" w:hAnsi="Arial"/>
          <w:i/>
        </w:rPr>
        <w:t>[racial</w:t>
      </w:r>
      <w:r w:rsidR="007B7640" w:rsidRPr="00E34CF1">
        <w:rPr>
          <w:rFonts w:ascii="Arial" w:hAnsi="Arial"/>
          <w:i/>
        </w:rPr>
        <w:t xml:space="preserve"> </w:t>
      </w:r>
      <w:r w:rsidRPr="00E34CF1">
        <w:rPr>
          <w:rFonts w:ascii="Arial" w:hAnsi="Arial"/>
          <w:i/>
        </w:rPr>
        <w:t>affiliation,</w:t>
      </w:r>
      <w:r w:rsidR="007B7640" w:rsidRPr="00E34CF1">
        <w:rPr>
          <w:rFonts w:ascii="Arial" w:hAnsi="Arial"/>
          <w:i/>
        </w:rPr>
        <w:t xml:space="preserve"> </w:t>
      </w:r>
      <w:r w:rsidRPr="00E34CF1">
        <w:rPr>
          <w:rFonts w:ascii="Arial" w:hAnsi="Arial"/>
          <w:i/>
        </w:rPr>
        <w:t>colour</w:t>
      </w:r>
      <w:r w:rsidR="007B7640" w:rsidRPr="00E34CF1">
        <w:rPr>
          <w:rFonts w:ascii="Arial" w:hAnsi="Arial"/>
          <w:i/>
        </w:rPr>
        <w:t xml:space="preserve"> </w:t>
      </w:r>
      <w:r w:rsidRPr="00E34CF1">
        <w:rPr>
          <w:rFonts w:ascii="Arial" w:hAnsi="Arial"/>
          <w:i/>
        </w:rPr>
        <w:t>of</w:t>
      </w:r>
      <w:r w:rsidR="007B7640" w:rsidRPr="00E34CF1">
        <w:rPr>
          <w:rFonts w:ascii="Arial" w:hAnsi="Arial"/>
          <w:i/>
        </w:rPr>
        <w:t xml:space="preserve"> </w:t>
      </w:r>
      <w:r w:rsidRPr="00E34CF1">
        <w:rPr>
          <w:rFonts w:ascii="Arial" w:hAnsi="Arial"/>
          <w:i/>
        </w:rPr>
        <w:t>skin,</w:t>
      </w:r>
      <w:r w:rsidR="007B7640" w:rsidRPr="00E34CF1">
        <w:rPr>
          <w:rFonts w:ascii="Arial" w:hAnsi="Arial"/>
          <w:i/>
        </w:rPr>
        <w:t xml:space="preserve"> </w:t>
      </w:r>
      <w:r w:rsidRPr="00E34CF1">
        <w:rPr>
          <w:rFonts w:ascii="Arial" w:hAnsi="Arial"/>
          <w:i/>
        </w:rPr>
        <w:t>nationality</w:t>
      </w:r>
      <w:r w:rsidR="007B7640" w:rsidRPr="00E34CF1">
        <w:rPr>
          <w:rFonts w:ascii="Arial" w:hAnsi="Arial"/>
          <w:i/>
        </w:rPr>
        <w:t xml:space="preserve"> </w:t>
      </w:r>
      <w:r w:rsidRPr="00E34CF1">
        <w:rPr>
          <w:rFonts w:ascii="Arial" w:hAnsi="Arial"/>
          <w:i/>
        </w:rPr>
        <w:t>(not</w:t>
      </w:r>
      <w:r w:rsidR="007B7640" w:rsidRPr="00E34CF1">
        <w:rPr>
          <w:rFonts w:ascii="Arial" w:hAnsi="Arial"/>
          <w:i/>
        </w:rPr>
        <w:t xml:space="preserve"> </w:t>
      </w:r>
      <w:r w:rsidRPr="00E34CF1">
        <w:rPr>
          <w:rFonts w:ascii="Arial" w:hAnsi="Arial"/>
          <w:i/>
        </w:rPr>
        <w:t>in</w:t>
      </w:r>
      <w:r w:rsidR="007B7640" w:rsidRPr="00E34CF1">
        <w:rPr>
          <w:rFonts w:ascii="Arial" w:hAnsi="Arial"/>
          <w:i/>
        </w:rPr>
        <w:t xml:space="preserve"> </w:t>
      </w:r>
      <w:r w:rsidRPr="00E34CF1">
        <w:rPr>
          <w:rFonts w:ascii="Arial" w:hAnsi="Arial"/>
          <w:i/>
        </w:rPr>
        <w:t>the</w:t>
      </w:r>
      <w:r w:rsidR="007B7640" w:rsidRPr="00E34CF1">
        <w:rPr>
          <w:rFonts w:ascii="Arial" w:hAnsi="Arial"/>
          <w:i/>
        </w:rPr>
        <w:t xml:space="preserve"> </w:t>
      </w:r>
      <w:r w:rsidRPr="00E34CF1">
        <w:rPr>
          <w:rFonts w:ascii="Arial" w:hAnsi="Arial"/>
          <w:i/>
        </w:rPr>
        <w:t>sense</w:t>
      </w:r>
      <w:r w:rsidR="007B7640" w:rsidRPr="00E34CF1">
        <w:rPr>
          <w:rFonts w:ascii="Arial" w:hAnsi="Arial"/>
          <w:i/>
        </w:rPr>
        <w:t xml:space="preserve"> </w:t>
      </w:r>
      <w:r w:rsidRPr="00E34CF1">
        <w:rPr>
          <w:rFonts w:ascii="Arial" w:hAnsi="Arial"/>
          <w:i/>
        </w:rPr>
        <w:t>of</w:t>
      </w:r>
      <w:r w:rsidR="007B7640" w:rsidRPr="00E34CF1">
        <w:rPr>
          <w:rFonts w:ascii="Arial" w:hAnsi="Arial"/>
          <w:i/>
        </w:rPr>
        <w:t xml:space="preserve"> </w:t>
      </w:r>
      <w:r w:rsidRPr="00E34CF1">
        <w:rPr>
          <w:rFonts w:ascii="Arial" w:hAnsi="Arial"/>
          <w:i/>
        </w:rPr>
        <w:t>citizenship),</w:t>
      </w:r>
      <w:r w:rsidR="007B7640" w:rsidRPr="00E34CF1">
        <w:rPr>
          <w:rFonts w:ascii="Arial" w:hAnsi="Arial"/>
          <w:i/>
        </w:rPr>
        <w:t xml:space="preserve"> </w:t>
      </w:r>
      <w:r w:rsidRPr="00E34CF1">
        <w:rPr>
          <w:rFonts w:ascii="Arial" w:hAnsi="Arial"/>
          <w:i/>
        </w:rPr>
        <w:t>belonging</w:t>
      </w:r>
      <w:r w:rsidR="007B7640" w:rsidRPr="00E34CF1">
        <w:rPr>
          <w:rFonts w:ascii="Arial" w:hAnsi="Arial"/>
          <w:i/>
        </w:rPr>
        <w:t xml:space="preserve"> </w:t>
      </w:r>
      <w:r w:rsidRPr="00E34CF1">
        <w:rPr>
          <w:rFonts w:ascii="Arial" w:hAnsi="Arial"/>
          <w:i/>
        </w:rPr>
        <w:t>to</w:t>
      </w:r>
      <w:r w:rsidR="007B7640" w:rsidRPr="00E34CF1">
        <w:rPr>
          <w:rFonts w:ascii="Arial" w:hAnsi="Arial"/>
          <w:i/>
        </w:rPr>
        <w:t xml:space="preserve"> </w:t>
      </w:r>
      <w:r w:rsidRPr="00E34CF1">
        <w:rPr>
          <w:rFonts w:ascii="Arial" w:hAnsi="Arial"/>
          <w:i/>
        </w:rPr>
        <w:t>a</w:t>
      </w:r>
      <w:r w:rsidR="007B7640" w:rsidRPr="00E34CF1">
        <w:rPr>
          <w:rFonts w:ascii="Arial" w:hAnsi="Arial"/>
          <w:i/>
        </w:rPr>
        <w:t xml:space="preserve"> </w:t>
      </w:r>
      <w:r w:rsidRPr="00E34CF1">
        <w:rPr>
          <w:rFonts w:ascii="Arial" w:hAnsi="Arial"/>
          <w:i/>
        </w:rPr>
        <w:t>national</w:t>
      </w:r>
      <w:r w:rsidR="007B7640" w:rsidRPr="00E34CF1">
        <w:rPr>
          <w:rFonts w:ascii="Arial" w:hAnsi="Arial"/>
          <w:i/>
        </w:rPr>
        <w:t xml:space="preserve"> </w:t>
      </w:r>
      <w:r w:rsidRPr="00E34CF1">
        <w:rPr>
          <w:rFonts w:ascii="Arial" w:hAnsi="Arial"/>
          <w:i/>
        </w:rPr>
        <w:t>or</w:t>
      </w:r>
      <w:r w:rsidR="007B7640" w:rsidRPr="00E34CF1">
        <w:rPr>
          <w:rFonts w:ascii="Arial" w:hAnsi="Arial"/>
          <w:i/>
        </w:rPr>
        <w:t xml:space="preserve"> </w:t>
      </w:r>
      <w:r w:rsidRPr="00E34CF1">
        <w:rPr>
          <w:rFonts w:ascii="Arial" w:hAnsi="Arial"/>
          <w:i/>
        </w:rPr>
        <w:t>ethnic</w:t>
      </w:r>
      <w:r w:rsidR="007B7640" w:rsidRPr="00E34CF1">
        <w:rPr>
          <w:rFonts w:ascii="Arial" w:hAnsi="Arial"/>
          <w:i/>
        </w:rPr>
        <w:t xml:space="preserve"> </w:t>
      </w:r>
      <w:r w:rsidRPr="00E34CF1">
        <w:rPr>
          <w:rFonts w:ascii="Arial" w:hAnsi="Arial"/>
          <w:i/>
        </w:rPr>
        <w:t>minority].”</w:t>
      </w:r>
    </w:p>
    <w:p w14:paraId="7E88AD99" w14:textId="77777777" w:rsidR="006B041D" w:rsidRPr="00CD59CC" w:rsidRDefault="006B041D" w:rsidP="00CD59CC">
      <w:pPr>
        <w:rPr>
          <w:rFonts w:ascii="Arial" w:hAnsi="Arial" w:cs="Arial"/>
        </w:rPr>
      </w:pPr>
    </w:p>
    <w:p w14:paraId="5C78CFA0" w14:textId="77777777" w:rsidR="00EC69D4" w:rsidRPr="00CD59CC" w:rsidRDefault="00EC69D4" w:rsidP="00CD59CC">
      <w:pPr>
        <w:rPr>
          <w:rFonts w:ascii="Arial" w:hAnsi="Arial" w:cs="Arial"/>
        </w:rPr>
      </w:pPr>
      <w:r w:rsidRPr="00CD59CC">
        <w:rPr>
          <w:rFonts w:ascii="Arial" w:hAnsi="Arial" w:cs="Arial"/>
        </w:rPr>
        <w:t>Paragraph</w:t>
      </w:r>
      <w:r w:rsidR="007B7640" w:rsidRPr="00CD59CC">
        <w:rPr>
          <w:rFonts w:ascii="Arial" w:hAnsi="Arial" w:cs="Arial"/>
        </w:rPr>
        <w:t xml:space="preserve"> </w:t>
      </w:r>
      <w:r w:rsidRPr="00CD59CC">
        <w:rPr>
          <w:rFonts w:ascii="Arial" w:hAnsi="Arial" w:cs="Arial"/>
        </w:rPr>
        <w:t>(3)</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quite</w:t>
      </w:r>
      <w:r w:rsidR="007B7640" w:rsidRPr="00CD59CC">
        <w:rPr>
          <w:rFonts w:ascii="Arial" w:hAnsi="Arial" w:cs="Arial"/>
        </w:rPr>
        <w:t xml:space="preserve"> </w:t>
      </w:r>
      <w:r w:rsidRPr="00CD59CC">
        <w:rPr>
          <w:rFonts w:ascii="Arial" w:hAnsi="Arial" w:cs="Arial"/>
        </w:rPr>
        <w:t>simple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explain:</w:t>
      </w:r>
      <w:r w:rsidR="007B7640" w:rsidRPr="00CD59CC">
        <w:rPr>
          <w:rFonts w:ascii="Arial" w:hAnsi="Arial" w:cs="Arial"/>
        </w:rPr>
        <w:t xml:space="preserve"> </w:t>
      </w:r>
      <w:r w:rsidRPr="00CD59CC">
        <w:rPr>
          <w:rFonts w:ascii="Arial" w:hAnsi="Arial" w:cs="Arial"/>
        </w:rPr>
        <w:t>realizing</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Directive</w:t>
      </w:r>
      <w:r w:rsidR="007B7640" w:rsidRPr="00CD59CC">
        <w:rPr>
          <w:rFonts w:ascii="Arial" w:hAnsi="Arial" w:cs="Arial"/>
        </w:rPr>
        <w:t xml:space="preserve"> </w:t>
      </w:r>
      <w:r w:rsidRPr="00CD59CC">
        <w:rPr>
          <w:rFonts w:ascii="Arial" w:hAnsi="Arial" w:cs="Arial"/>
        </w:rPr>
        <w:t>2000/43</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allow</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justification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legislators</w:t>
      </w:r>
      <w:r w:rsidR="007B7640" w:rsidRPr="00CD59CC">
        <w:rPr>
          <w:rFonts w:ascii="Arial" w:hAnsi="Arial" w:cs="Arial"/>
        </w:rPr>
        <w:t xml:space="preserve"> </w:t>
      </w:r>
      <w:r w:rsidRPr="00CD59CC">
        <w:rPr>
          <w:rFonts w:ascii="Arial" w:hAnsi="Arial" w:cs="Arial"/>
        </w:rPr>
        <w:t>removed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relevant</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7</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p>
    <w:p w14:paraId="21C20F82" w14:textId="77777777" w:rsidR="00EC69D4" w:rsidRPr="00CD59CC" w:rsidRDefault="00EC69D4" w:rsidP="00CD59CC">
      <w:pPr>
        <w:rPr>
          <w:rFonts w:ascii="Arial" w:hAnsi="Arial" w:cs="Arial"/>
        </w:rPr>
      </w:pPr>
    </w:p>
    <w:p w14:paraId="2CD9B4A9" w14:textId="77777777" w:rsidR="00EC69D4" w:rsidRPr="00CD59CC" w:rsidRDefault="00EC69D4" w:rsidP="00CD59CC">
      <w:pPr>
        <w:rPr>
          <w:rFonts w:ascii="Arial" w:hAnsi="Arial" w:cs="Arial"/>
        </w:rPr>
      </w:pPr>
      <w:r w:rsidRPr="00CD59CC">
        <w:rPr>
          <w:rFonts w:ascii="Arial" w:hAnsi="Arial" w:cs="Arial"/>
        </w:rPr>
        <w:t>What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difficult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understand</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why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done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Directive</w:t>
      </w:r>
      <w:r w:rsidR="007B7640" w:rsidRPr="00CD59CC">
        <w:rPr>
          <w:rFonts w:ascii="Arial" w:hAnsi="Arial" w:cs="Arial"/>
        </w:rPr>
        <w:t xml:space="preserve"> </w:t>
      </w:r>
      <w:r w:rsidRPr="00CD59CC">
        <w:rPr>
          <w:rFonts w:ascii="Arial" w:hAnsi="Arial" w:cs="Arial"/>
        </w:rPr>
        <w:t>2000/78.</w:t>
      </w:r>
      <w:r w:rsidR="007B7640" w:rsidRPr="00CD59CC">
        <w:rPr>
          <w:rFonts w:ascii="Arial" w:hAnsi="Arial" w:cs="Arial"/>
        </w:rPr>
        <w:t xml:space="preserve"> </w:t>
      </w:r>
    </w:p>
    <w:p w14:paraId="36F48758" w14:textId="77777777" w:rsidR="00EC69D4" w:rsidRPr="00CD59CC" w:rsidRDefault="00EC69D4" w:rsidP="00CD59CC">
      <w:pPr>
        <w:rPr>
          <w:rFonts w:ascii="Arial" w:hAnsi="Arial" w:cs="Arial"/>
        </w:rPr>
      </w:pPr>
    </w:p>
    <w:p w14:paraId="5DF90D8A" w14:textId="77777777" w:rsidR="00EC69D4" w:rsidRDefault="00EC69D4" w:rsidP="00CD59CC">
      <w:pPr>
        <w:rPr>
          <w:rFonts w:ascii="Arial" w:hAnsi="Arial" w:cs="Arial"/>
        </w:rPr>
      </w:pPr>
      <w:r w:rsidRPr="00CD59CC">
        <w:rPr>
          <w:rFonts w:ascii="Arial" w:hAnsi="Arial" w:cs="Arial"/>
        </w:rPr>
        <w:t>By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doing</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legislator</w:t>
      </w:r>
      <w:r w:rsidR="007B7640" w:rsidRPr="00CD59CC">
        <w:rPr>
          <w:rFonts w:ascii="Arial" w:hAnsi="Arial" w:cs="Arial"/>
        </w:rPr>
        <w:t xml:space="preserve"> </w:t>
      </w:r>
      <w:r w:rsidRPr="00CD59CC">
        <w:rPr>
          <w:rFonts w:ascii="Arial" w:hAnsi="Arial" w:cs="Arial"/>
        </w:rPr>
        <w:t>maintained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whereby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justification</w:t>
      </w:r>
      <w:r w:rsidR="007B7640" w:rsidRPr="00CD59CC">
        <w:rPr>
          <w:rFonts w:ascii="Arial" w:hAnsi="Arial" w:cs="Arial"/>
        </w:rPr>
        <w:t xml:space="preserve"> </w:t>
      </w:r>
      <w:r w:rsidRPr="00CD59CC">
        <w:rPr>
          <w:rFonts w:ascii="Arial" w:hAnsi="Arial" w:cs="Arial"/>
        </w:rPr>
        <w:t>exists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religion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p>
    <w:p w14:paraId="3689476B" w14:textId="77777777" w:rsidR="006F0AF2" w:rsidRDefault="006F0AF2" w:rsidP="00CD59CC">
      <w:pPr>
        <w:rPr>
          <w:rFonts w:ascii="Arial" w:hAnsi="Arial" w:cs="Arial"/>
        </w:rPr>
      </w:pPr>
    </w:p>
    <w:p w14:paraId="4B859702" w14:textId="17C7B919" w:rsidR="006F0AF2" w:rsidRDefault="006F0AF2" w:rsidP="00CD59CC">
      <w:pPr>
        <w:rPr>
          <w:rFonts w:ascii="Arial" w:hAnsi="Arial" w:cs="Arial"/>
        </w:rPr>
      </w:pPr>
      <w:r>
        <w:rPr>
          <w:rFonts w:ascii="Arial" w:hAnsi="Arial" w:cs="Arial"/>
        </w:rPr>
        <w:t>From the point of view of compatibility with the EU acquis, this can cause a problem in relation to employment (widely interpreted), since other areas</w:t>
      </w:r>
      <w:r w:rsidR="00C86D09">
        <w:rPr>
          <w:rFonts w:ascii="Arial" w:hAnsi="Arial" w:cs="Arial"/>
        </w:rPr>
        <w:t>, which the ETA covers</w:t>
      </w:r>
      <w:r>
        <w:rPr>
          <w:rFonts w:ascii="Arial" w:hAnsi="Arial" w:cs="Arial"/>
        </w:rPr>
        <w:t xml:space="preserve"> – education, health care, housing –</w:t>
      </w:r>
      <w:r w:rsidR="00C86D09">
        <w:rPr>
          <w:rFonts w:ascii="Arial" w:hAnsi="Arial" w:cs="Arial"/>
        </w:rPr>
        <w:t xml:space="preserve">, </w:t>
      </w:r>
      <w:r>
        <w:rPr>
          <w:rFonts w:ascii="Arial" w:hAnsi="Arial" w:cs="Arial"/>
        </w:rPr>
        <w:t>do not fall under the scope of Directive 2000/78.</w:t>
      </w:r>
    </w:p>
    <w:p w14:paraId="5EFEF7F9" w14:textId="77777777" w:rsidR="006F0AF2" w:rsidRDefault="006F0AF2" w:rsidP="00CD59CC">
      <w:pPr>
        <w:rPr>
          <w:rFonts w:ascii="Arial" w:hAnsi="Arial" w:cs="Arial"/>
        </w:rPr>
      </w:pPr>
    </w:p>
    <w:p w14:paraId="767BF9E6" w14:textId="6B5E0551" w:rsidR="00C86D09" w:rsidRDefault="006F0AF2" w:rsidP="00CD59CC">
      <w:pPr>
        <w:rPr>
          <w:rFonts w:ascii="Arial" w:hAnsi="Arial" w:cs="Arial"/>
        </w:rPr>
      </w:pPr>
      <w:r>
        <w:rPr>
          <w:rFonts w:ascii="Arial" w:hAnsi="Arial" w:cs="Arial"/>
        </w:rPr>
        <w:t>In relation to employment,</w:t>
      </w:r>
      <w:r w:rsidR="00C86D09">
        <w:rPr>
          <w:rFonts w:ascii="Arial" w:hAnsi="Arial" w:cs="Arial"/>
        </w:rPr>
        <w:t xml:space="preserve"> the Hungarian legislation’s compatibility with the Directive, depends on a number of interpretation issues. The first one concerns the relationship between special exempting rules (covering different areas, such as employment, education and access to goods and services) and the general exempting provision. Since there is a special exempting rule for the area of employment (see below in this Section), one can conclude that if the special exempting provisions </w:t>
      </w:r>
      <w:r w:rsidR="00C80EC8">
        <w:rPr>
          <w:rFonts w:ascii="Arial" w:hAnsi="Arial" w:cs="Arial"/>
        </w:rPr>
        <w:t xml:space="preserve">prevail over </w:t>
      </w:r>
      <w:r w:rsidR="00C86D09">
        <w:rPr>
          <w:rFonts w:ascii="Arial" w:hAnsi="Arial" w:cs="Arial"/>
        </w:rPr>
        <w:t>the general exempting clause in the respective areas they pertain to, then only the special exempting provision’s compatibility with the Directive has to be examined in order to determine, whether the Hungarian legal framework is in line with the acquis (since in this case, the general exempting rule cannot be applied to employment related issues).</w:t>
      </w:r>
      <w:r w:rsidR="00C80EC8">
        <w:rPr>
          <w:rFonts w:ascii="Arial" w:hAnsi="Arial" w:cs="Arial"/>
        </w:rPr>
        <w:t xml:space="preserve"> </w:t>
      </w:r>
    </w:p>
    <w:p w14:paraId="0D2EE2B8" w14:textId="77777777" w:rsidR="00C80EC8" w:rsidRDefault="00C80EC8" w:rsidP="00CD59CC">
      <w:pPr>
        <w:rPr>
          <w:rFonts w:ascii="Arial" w:hAnsi="Arial" w:cs="Arial"/>
        </w:rPr>
      </w:pPr>
    </w:p>
    <w:p w14:paraId="5ABC718D" w14:textId="77777777" w:rsidR="00C80EC8" w:rsidRDefault="00C80EC8" w:rsidP="00CD59CC">
      <w:pPr>
        <w:rPr>
          <w:rFonts w:ascii="Arial" w:hAnsi="Arial" w:cs="Arial"/>
        </w:rPr>
      </w:pPr>
      <w:r>
        <w:rPr>
          <w:rFonts w:ascii="Arial" w:hAnsi="Arial" w:cs="Arial"/>
        </w:rPr>
        <w:t>Then as a next step, the special exempting rule pertaining to labour matters shall be assessed in light of its compatibility with the Directive.</w:t>
      </w:r>
    </w:p>
    <w:p w14:paraId="0A5D1DB8" w14:textId="77777777" w:rsidR="00C80EC8" w:rsidRDefault="00C80EC8" w:rsidP="00CD59CC">
      <w:pPr>
        <w:rPr>
          <w:rFonts w:ascii="Arial" w:hAnsi="Arial" w:cs="Arial"/>
        </w:rPr>
      </w:pPr>
    </w:p>
    <w:p w14:paraId="3149DA1C" w14:textId="77777777" w:rsidR="00C80EC8" w:rsidRPr="00CD59CC" w:rsidRDefault="00C80EC8" w:rsidP="00C80EC8">
      <w:pPr>
        <w:rPr>
          <w:rFonts w:ascii="Arial" w:hAnsi="Arial" w:cs="Arial"/>
        </w:rPr>
      </w:pPr>
      <w:r>
        <w:rPr>
          <w:rFonts w:ascii="Arial" w:hAnsi="Arial" w:cs="Arial"/>
        </w:rPr>
        <w:t xml:space="preserve">Taking this approach the following can be said. </w:t>
      </w:r>
      <w:r w:rsidRPr="00CD59CC">
        <w:rPr>
          <w:rFonts w:ascii="Arial" w:hAnsi="Arial" w:cs="Arial"/>
        </w:rPr>
        <w:t xml:space="preserve">The relation between the general justification and these special justification rules is based on the </w:t>
      </w:r>
      <w:r w:rsidRPr="00E34CF1">
        <w:rPr>
          <w:rFonts w:ascii="Arial" w:hAnsi="Arial"/>
          <w:i/>
        </w:rPr>
        <w:t xml:space="preserve">lex specialis derogat </w:t>
      </w:r>
      <w:r w:rsidRPr="00E34CF1">
        <w:rPr>
          <w:rFonts w:ascii="Arial" w:hAnsi="Arial"/>
          <w:i/>
        </w:rPr>
        <w:lastRenderedPageBreak/>
        <w:t>legi generali</w:t>
      </w:r>
      <w:r w:rsidRPr="00CD59CC">
        <w:rPr>
          <w:rFonts w:ascii="Arial" w:hAnsi="Arial" w:cs="Arial"/>
        </w:rPr>
        <w:t xml:space="preserve"> principle. I.e., the specific justification rules are to be regarded as specific legal provisions, which – in the respective fields – prevail over the general (and more lenient) exemption set forth by Article 7 Paragraph (2). </w:t>
      </w:r>
    </w:p>
    <w:p w14:paraId="79413BD6" w14:textId="77777777" w:rsidR="00C80EC8" w:rsidRPr="00CD59CC" w:rsidRDefault="00C80EC8" w:rsidP="00C80EC8">
      <w:pPr>
        <w:rPr>
          <w:rFonts w:ascii="Arial" w:hAnsi="Arial" w:cs="Arial"/>
        </w:rPr>
      </w:pPr>
    </w:p>
    <w:p w14:paraId="56A16E83" w14:textId="77777777" w:rsidR="00C80EC8" w:rsidRPr="00CD59CC" w:rsidRDefault="00C80EC8" w:rsidP="00C80EC8">
      <w:pPr>
        <w:rPr>
          <w:rFonts w:ascii="Arial" w:hAnsi="Arial" w:cs="Arial"/>
        </w:rPr>
      </w:pPr>
      <w:r w:rsidRPr="00CD59CC">
        <w:rPr>
          <w:rFonts w:ascii="Arial" w:hAnsi="Arial" w:cs="Arial"/>
        </w:rPr>
        <w:t>The Ministerial Comments attached to Act CIV of 2006 on the Amendment of the ETA expressly state this: “The law […] states that a behaviour shall not be regarded as discriminatory if it meets the necessity-proportionality test in relation to fundamental rights and the rationality test in all other areas. […] As [the ETA] sets forth special exempting rules in relation to employment, public education, and access to goods and services, Paragraph (2) of Article 7 may only be applied if the ETA does not prescribe (stricter or less strict) exempting rules.”</w:t>
      </w:r>
    </w:p>
    <w:p w14:paraId="0A19757B" w14:textId="77777777" w:rsidR="00C80EC8" w:rsidRDefault="00C80EC8" w:rsidP="00E34CF1">
      <w:pPr>
        <w:rPr>
          <w:rFonts w:ascii="Arial" w:hAnsi="Arial" w:cs="Arial"/>
        </w:rPr>
      </w:pPr>
    </w:p>
    <w:p w14:paraId="0DBC93A7" w14:textId="4CF1BEBD" w:rsidR="00C86D09" w:rsidRDefault="00C80EC8" w:rsidP="00CD59CC">
      <w:pPr>
        <w:rPr>
          <w:rFonts w:ascii="Arial" w:hAnsi="Arial" w:cs="Arial"/>
        </w:rPr>
      </w:pPr>
      <w:r>
        <w:rPr>
          <w:rFonts w:ascii="Arial" w:hAnsi="Arial" w:cs="Arial"/>
        </w:rPr>
        <w:t>Thus, the general exempting clause (which does not in principle exclude the justification of direct discrimination on the basis of age, religion, sexual orientation, etc.) may not be applied in the field of employment, therefore it is not relevant from the point of view of the Hungarian legal framework’</w:t>
      </w:r>
      <w:r w:rsidR="00BE68BF">
        <w:rPr>
          <w:rFonts w:ascii="Arial" w:hAnsi="Arial" w:cs="Arial"/>
        </w:rPr>
        <w:t>s compatibility with the acquis, which then depends on the special exempting rules’ compliance with the Directives, an issue that is dealt with in detail under Sections 4.1 and 4.2.</w:t>
      </w:r>
    </w:p>
    <w:p w14:paraId="16792857" w14:textId="77777777" w:rsidR="00EC69D4" w:rsidRPr="00CD59CC" w:rsidRDefault="00C86D09" w:rsidP="00CD59CC">
      <w:pPr>
        <w:rPr>
          <w:rFonts w:ascii="Arial" w:hAnsi="Arial" w:cs="Arial"/>
        </w:rPr>
      </w:pPr>
      <w:r>
        <w:rPr>
          <w:rFonts w:ascii="Arial" w:hAnsi="Arial" w:cs="Arial"/>
        </w:rPr>
        <w:t xml:space="preserve">  </w:t>
      </w:r>
      <w:r w:rsidR="006F0AF2">
        <w:rPr>
          <w:rFonts w:ascii="Arial" w:hAnsi="Arial" w:cs="Arial"/>
        </w:rPr>
        <w:t xml:space="preserve"> </w:t>
      </w:r>
    </w:p>
    <w:p w14:paraId="410D4DB3" w14:textId="77777777" w:rsidR="00EC69D4" w:rsidRDefault="00EC69D4"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differentiation</w:t>
      </w:r>
      <w:r w:rsidR="007B7640" w:rsidRPr="00CD59CC">
        <w:rPr>
          <w:rFonts w:ascii="Arial" w:hAnsi="Arial" w:cs="Arial"/>
        </w:rPr>
        <w:t xml:space="preserve"> </w:t>
      </w:r>
      <w:r w:rsidRPr="00CD59CC">
        <w:rPr>
          <w:rFonts w:ascii="Arial" w:hAnsi="Arial" w:cs="Arial"/>
        </w:rPr>
        <w:t>between</w:t>
      </w:r>
      <w:r w:rsidR="007B7640" w:rsidRPr="00CD59CC">
        <w:rPr>
          <w:rFonts w:ascii="Arial" w:hAnsi="Arial" w:cs="Arial"/>
        </w:rPr>
        <w:t xml:space="preserve"> </w:t>
      </w:r>
      <w:r w:rsidRPr="00CD59CC">
        <w:rPr>
          <w:rFonts w:ascii="Arial" w:hAnsi="Arial" w:cs="Arial"/>
        </w:rPr>
        <w:t>points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reflects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practice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After</w:t>
      </w:r>
      <w:r w:rsidR="007B7640" w:rsidRPr="00CD59CC">
        <w:rPr>
          <w:rFonts w:ascii="Arial" w:hAnsi="Arial" w:cs="Arial"/>
        </w:rPr>
        <w:t xml:space="preserve"> </w:t>
      </w:r>
      <w:r w:rsidRPr="00CD59CC">
        <w:rPr>
          <w:rFonts w:ascii="Arial" w:hAnsi="Arial" w:cs="Arial"/>
        </w:rPr>
        <w:t>extending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ban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whole</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61/1992</w:t>
      </w:r>
      <w:r w:rsidR="007B7640" w:rsidRPr="00CD59CC">
        <w:rPr>
          <w:rFonts w:ascii="Arial" w:hAnsi="Arial" w:cs="Arial"/>
        </w:rPr>
        <w:t xml:space="preserve"> </w:t>
      </w:r>
      <w:r w:rsidRPr="00CD59CC">
        <w:rPr>
          <w:rFonts w:ascii="Arial" w:hAnsi="Arial" w:cs="Arial"/>
        </w:rPr>
        <w:t>(XI.</w:t>
      </w:r>
      <w:r w:rsidR="007B7640" w:rsidRPr="00CD59CC">
        <w:rPr>
          <w:rFonts w:ascii="Arial" w:hAnsi="Arial" w:cs="Arial"/>
        </w:rPr>
        <w:t xml:space="preserve"> </w:t>
      </w:r>
      <w:r w:rsidRPr="00CD59CC">
        <w:rPr>
          <w:rFonts w:ascii="Arial" w:hAnsi="Arial" w:cs="Arial"/>
        </w:rPr>
        <w:t>20.),</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became</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up</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tests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hand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first</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applies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test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necessity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proportionality,</w:t>
      </w:r>
      <w:r w:rsidR="007B7640" w:rsidRPr="00CD59CC">
        <w:rPr>
          <w:rFonts w:ascii="Arial" w:hAnsi="Arial" w:cs="Arial"/>
        </w:rPr>
        <w:t xml:space="preserve"> </w:t>
      </w:r>
      <w:r w:rsidRPr="00CD59CC">
        <w:rPr>
          <w:rFonts w:ascii="Arial" w:hAnsi="Arial" w:cs="Arial"/>
        </w:rPr>
        <w:t>while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latter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test</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35/1994</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applied: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unconstitutionality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measure</w:t>
      </w:r>
      <w:r w:rsidR="007B7640" w:rsidRPr="00CD59CC">
        <w:rPr>
          <w:rFonts w:ascii="Arial" w:hAnsi="Arial" w:cs="Arial"/>
        </w:rPr>
        <w:t xml:space="preserve"> </w:t>
      </w:r>
      <w:r w:rsidRPr="00CD59CC">
        <w:rPr>
          <w:rFonts w:ascii="Arial" w:hAnsi="Arial" w:cs="Arial"/>
        </w:rPr>
        <w:t>unfavourably</w:t>
      </w:r>
      <w:r w:rsidR="007B7640" w:rsidRPr="00CD59CC">
        <w:rPr>
          <w:rFonts w:ascii="Arial" w:hAnsi="Arial" w:cs="Arial"/>
        </w:rPr>
        <w:t xml:space="preserve"> </w:t>
      </w:r>
      <w:r w:rsidRPr="00CD59CC">
        <w:rPr>
          <w:rFonts w:ascii="Arial" w:hAnsi="Arial" w:cs="Arial"/>
        </w:rPr>
        <w:t>discriminating</w:t>
      </w:r>
      <w:r w:rsidR="007B7640" w:rsidRPr="00CD59CC">
        <w:rPr>
          <w:rFonts w:ascii="Arial" w:hAnsi="Arial" w:cs="Arial"/>
        </w:rPr>
        <w:t xml:space="preserve"> </w:t>
      </w:r>
      <w:r w:rsidRPr="00CD59CC">
        <w:rPr>
          <w:rFonts w:ascii="Arial" w:hAnsi="Arial" w:cs="Arial"/>
        </w:rPr>
        <w:t>between</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infringement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thus</w:t>
      </w:r>
      <w:r w:rsidR="007B7640" w:rsidRPr="00CD59CC">
        <w:rPr>
          <w:rFonts w:ascii="Arial" w:hAnsi="Arial" w:cs="Arial"/>
        </w:rPr>
        <w:t xml:space="preserve"> </w:t>
      </w:r>
      <w:r w:rsidRPr="00CD59CC">
        <w:rPr>
          <w:rFonts w:ascii="Arial" w:hAnsi="Arial" w:cs="Arial"/>
        </w:rPr>
        <w:t>ultimately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dignity</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restriction</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objectively</w:t>
      </w:r>
      <w:r w:rsidR="007B7640" w:rsidRPr="00CD59CC">
        <w:rPr>
          <w:rFonts w:ascii="Arial" w:hAnsi="Arial" w:cs="Arial"/>
        </w:rPr>
        <w:t xml:space="preserve"> </w:t>
      </w:r>
      <w:r w:rsidRPr="00CD59CC">
        <w:rPr>
          <w:rFonts w:ascii="Arial" w:hAnsi="Arial" w:cs="Arial"/>
        </w:rPr>
        <w:t>reasonable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arbitrary.”</w:t>
      </w:r>
      <w:r w:rsidR="007B7640" w:rsidRPr="00CD59CC">
        <w:rPr>
          <w:rFonts w:ascii="Arial" w:hAnsi="Arial" w:cs="Arial"/>
        </w:rPr>
        <w:t xml:space="preserve"> </w:t>
      </w:r>
    </w:p>
    <w:p w14:paraId="5A56AC63" w14:textId="77777777" w:rsidR="00532AB1" w:rsidRPr="00CD59CC" w:rsidRDefault="00532AB1" w:rsidP="00CD59CC">
      <w:pPr>
        <w:rPr>
          <w:rFonts w:ascii="Arial" w:hAnsi="Arial" w:cs="Arial"/>
        </w:rPr>
      </w:pPr>
    </w:p>
    <w:p w14:paraId="328CDCCA" w14:textId="77777777" w:rsidR="00EC69D4" w:rsidRDefault="00EC69D4" w:rsidP="00CD59CC">
      <w:pPr>
        <w:rPr>
          <w:rFonts w:ascii="Arial" w:hAnsi="Arial" w:cs="Arial"/>
        </w:rPr>
      </w:pPr>
      <w:r w:rsidRPr="00CD59CC">
        <w:rPr>
          <w:rFonts w:ascii="Arial" w:hAnsi="Arial" w:cs="Arial"/>
        </w:rPr>
        <w:t>This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why</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legislators</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distinction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whether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differentiation</w:t>
      </w:r>
      <w:r w:rsidR="007B7640" w:rsidRPr="00CD59CC">
        <w:rPr>
          <w:rFonts w:ascii="Arial" w:hAnsi="Arial" w:cs="Arial"/>
        </w:rPr>
        <w:t xml:space="preserve"> </w:t>
      </w:r>
      <w:r w:rsidRPr="00CD59CC">
        <w:rPr>
          <w:rFonts w:ascii="Arial" w:hAnsi="Arial" w:cs="Arial"/>
        </w:rPr>
        <w:t>concerns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(e.g.</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former</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test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stricter</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legitimate</w:t>
      </w:r>
      <w:r w:rsidR="007B7640" w:rsidRPr="00CD59CC">
        <w:rPr>
          <w:rFonts w:ascii="Arial" w:hAnsi="Arial" w:cs="Arial"/>
        </w:rPr>
        <w:t xml:space="preserve"> </w:t>
      </w:r>
      <w:r w:rsidRPr="00CD59CC">
        <w:rPr>
          <w:rFonts w:ascii="Arial" w:hAnsi="Arial" w:cs="Arial"/>
        </w:rPr>
        <w:t>aim</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enforcement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another</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test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necessity,</w:t>
      </w:r>
      <w:r w:rsidR="007B7640" w:rsidRPr="00CD59CC">
        <w:rPr>
          <w:rFonts w:ascii="Arial" w:hAnsi="Arial" w:cs="Arial"/>
        </w:rPr>
        <w:t xml:space="preserve"> </w:t>
      </w:r>
      <w:r w:rsidRPr="00CD59CC">
        <w:rPr>
          <w:rFonts w:ascii="Arial" w:hAnsi="Arial" w:cs="Arial"/>
        </w:rPr>
        <w:t>suitability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proportionality</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applied),</w:t>
      </w:r>
      <w:r w:rsidR="007B7640" w:rsidRPr="00CD59CC">
        <w:rPr>
          <w:rFonts w:ascii="Arial" w:hAnsi="Arial" w:cs="Arial"/>
        </w:rPr>
        <w:t xml:space="preserve"> </w:t>
      </w:r>
      <w:r w:rsidRPr="00CD59CC">
        <w:rPr>
          <w:rFonts w:ascii="Arial" w:hAnsi="Arial" w:cs="Arial"/>
        </w:rPr>
        <w:t>while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latter,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criterion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reasonability.</w:t>
      </w:r>
    </w:p>
    <w:p w14:paraId="60FF0454" w14:textId="77777777" w:rsidR="00B97ED3" w:rsidRPr="00CD59CC" w:rsidRDefault="00B97ED3" w:rsidP="00CD59CC">
      <w:pPr>
        <w:rPr>
          <w:rFonts w:ascii="Arial" w:hAnsi="Arial" w:cs="Arial"/>
        </w:rPr>
      </w:pPr>
    </w:p>
    <w:p w14:paraId="3255E747" w14:textId="77777777" w:rsidR="00EC69D4" w:rsidRPr="00CD59CC" w:rsidRDefault="00EC69D4" w:rsidP="00CD59CC">
      <w:pPr>
        <w:rPr>
          <w:rFonts w:ascii="Arial" w:hAnsi="Arial" w:cs="Arial"/>
        </w:rPr>
      </w:pP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exceptions</w:t>
      </w:r>
      <w:r w:rsidR="007B7640" w:rsidRPr="00CD59CC">
        <w:rPr>
          <w:rFonts w:ascii="Arial" w:hAnsi="Arial" w:cs="Arial"/>
        </w:rPr>
        <w:t xml:space="preserve"> </w:t>
      </w:r>
      <w:r w:rsidRPr="00CD59CC">
        <w:rPr>
          <w:rFonts w:ascii="Arial" w:hAnsi="Arial" w:cs="Arial"/>
        </w:rPr>
        <w:t>(differentiation</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enforcement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explanatory</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law.</w:t>
      </w:r>
    </w:p>
    <w:p w14:paraId="249663B0" w14:textId="77777777" w:rsidR="00EC69D4" w:rsidRPr="00CD59CC" w:rsidRDefault="00EC69D4" w:rsidP="00CD59CC">
      <w:pPr>
        <w:rPr>
          <w:rFonts w:ascii="Arial" w:hAnsi="Arial" w:cs="Arial"/>
        </w:rPr>
      </w:pPr>
    </w:p>
    <w:p w14:paraId="387B290F" w14:textId="77777777" w:rsidR="00EC69D4" w:rsidRPr="00CD59CC" w:rsidRDefault="00EC69D4" w:rsidP="00CD59CC">
      <w:pPr>
        <w:rPr>
          <w:rFonts w:ascii="Arial" w:hAnsi="Arial" w:cs="Arial"/>
        </w:rPr>
      </w:pP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exceptions</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old</w:t>
      </w:r>
      <w:r w:rsidR="007B7640" w:rsidRPr="00CD59CC">
        <w:rPr>
          <w:rFonts w:ascii="Arial" w:hAnsi="Arial" w:cs="Arial"/>
        </w:rPr>
        <w:t xml:space="preserve"> </w:t>
      </w:r>
      <w:r w:rsidRPr="00CD59CC">
        <w:rPr>
          <w:rFonts w:ascii="Arial" w:hAnsi="Arial" w:cs="Arial"/>
        </w:rPr>
        <w:t>text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amendment),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pointed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Judicial</w:t>
      </w:r>
      <w:r w:rsidR="007B7640" w:rsidRPr="00CD59CC">
        <w:rPr>
          <w:rFonts w:ascii="Arial" w:hAnsi="Arial" w:cs="Arial"/>
        </w:rPr>
        <w:t xml:space="preserve"> </w:t>
      </w:r>
      <w:r w:rsidRPr="00CD59CC">
        <w:rPr>
          <w:rFonts w:ascii="Arial" w:hAnsi="Arial" w:cs="Arial"/>
        </w:rPr>
        <w:t>practice</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far</w:t>
      </w:r>
      <w:r w:rsidR="007B7640" w:rsidRPr="00CD59CC">
        <w:rPr>
          <w:rFonts w:ascii="Arial" w:hAnsi="Arial" w:cs="Arial"/>
        </w:rPr>
        <w:t xml:space="preserve"> </w:t>
      </w:r>
      <w:r w:rsidRPr="00CD59CC">
        <w:rPr>
          <w:rFonts w:ascii="Arial" w:hAnsi="Arial" w:cs="Arial"/>
        </w:rPr>
        <w:t>accepted</w:t>
      </w:r>
      <w:r w:rsidR="007B7640" w:rsidRPr="00CD59CC">
        <w:rPr>
          <w:rFonts w:ascii="Arial" w:hAnsi="Arial" w:cs="Arial"/>
        </w:rPr>
        <w:t xml:space="preserve"> </w:t>
      </w:r>
      <w:r w:rsidRPr="00CD59CC">
        <w:rPr>
          <w:rFonts w:ascii="Arial" w:hAnsi="Arial" w:cs="Arial"/>
        </w:rPr>
        <w:t>prospective</w:t>
      </w:r>
      <w:r w:rsidR="007B7640" w:rsidRPr="00CD59CC">
        <w:rPr>
          <w:rFonts w:ascii="Arial" w:hAnsi="Arial" w:cs="Arial"/>
        </w:rPr>
        <w:t xml:space="preserve"> </w:t>
      </w:r>
      <w:r w:rsidRPr="00CD59CC">
        <w:rPr>
          <w:rFonts w:ascii="Arial" w:hAnsi="Arial" w:cs="Arial"/>
        </w:rPr>
        <w:t>economic</w:t>
      </w:r>
      <w:r w:rsidR="007B7640" w:rsidRPr="00CD59CC">
        <w:rPr>
          <w:rFonts w:ascii="Arial" w:hAnsi="Arial" w:cs="Arial"/>
        </w:rPr>
        <w:t xml:space="preserve"> </w:t>
      </w:r>
      <w:r w:rsidRPr="00CD59CC">
        <w:rPr>
          <w:rFonts w:ascii="Arial" w:hAnsi="Arial" w:cs="Arial"/>
        </w:rPr>
        <w:t>loss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objectively</w:t>
      </w:r>
      <w:r w:rsidR="007B7640" w:rsidRPr="00CD59CC">
        <w:rPr>
          <w:rFonts w:ascii="Arial" w:hAnsi="Arial" w:cs="Arial"/>
        </w:rPr>
        <w:t xml:space="preserve"> </w:t>
      </w:r>
      <w:r w:rsidRPr="00CD59CC">
        <w:rPr>
          <w:rFonts w:ascii="Arial" w:hAnsi="Arial" w:cs="Arial"/>
        </w:rPr>
        <w:t>reasonable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differentiation.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illustrated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lastRenderedPageBreak/>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objectively</w:t>
      </w:r>
      <w:r w:rsidR="007B7640" w:rsidRPr="00CD59CC">
        <w:rPr>
          <w:rFonts w:ascii="Arial" w:hAnsi="Arial" w:cs="Arial"/>
        </w:rPr>
        <w:t xml:space="preserve"> </w:t>
      </w:r>
      <w:r w:rsidRPr="00CD59CC">
        <w:rPr>
          <w:rFonts w:ascii="Arial" w:hAnsi="Arial" w:cs="Arial"/>
        </w:rPr>
        <w:t>justified</w:t>
      </w:r>
      <w:r w:rsidR="007B7640" w:rsidRPr="00CD59CC">
        <w:rPr>
          <w:rFonts w:ascii="Arial" w:hAnsi="Arial" w:cs="Arial"/>
        </w:rPr>
        <w:t xml:space="preserve"> </w:t>
      </w:r>
      <w:r w:rsidRPr="00CD59CC">
        <w:rPr>
          <w:rFonts w:ascii="Arial" w:hAnsi="Arial" w:cs="Arial"/>
        </w:rPr>
        <w:t>anyway,</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did].</w:t>
      </w:r>
    </w:p>
    <w:p w14:paraId="67E30149" w14:textId="77777777" w:rsidR="00EC69D4" w:rsidRPr="00CD59CC" w:rsidRDefault="00EC69D4" w:rsidP="00CD59CC">
      <w:pPr>
        <w:rPr>
          <w:rFonts w:ascii="Arial" w:hAnsi="Arial" w:cs="Arial"/>
        </w:rPr>
      </w:pPr>
    </w:p>
    <w:p w14:paraId="0AB52963" w14:textId="77777777" w:rsidR="00EC69D4" w:rsidRPr="00CD59CC" w:rsidRDefault="00EC69D4" w:rsidP="00CD59CC">
      <w:pPr>
        <w:rPr>
          <w:rFonts w:ascii="Arial" w:hAnsi="Arial" w:cs="Arial"/>
        </w:rPr>
      </w:pP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advertisement,</w:t>
      </w:r>
      <w:r w:rsidR="007B7640" w:rsidRPr="00CD59CC">
        <w:rPr>
          <w:rFonts w:ascii="Arial" w:hAnsi="Arial" w:cs="Arial"/>
        </w:rPr>
        <w:t xml:space="preserve"> </w:t>
      </w:r>
      <w:r w:rsidRPr="00CD59CC">
        <w:rPr>
          <w:rFonts w:ascii="Arial" w:hAnsi="Arial" w:cs="Arial"/>
        </w:rPr>
        <w:t>Gyula</w:t>
      </w:r>
      <w:r w:rsidR="007B7640" w:rsidRPr="00CD59CC">
        <w:rPr>
          <w:rFonts w:ascii="Arial" w:hAnsi="Arial" w:cs="Arial"/>
        </w:rPr>
        <w:t xml:space="preserve"> </w:t>
      </w:r>
      <w:r w:rsidRPr="00CD59CC">
        <w:rPr>
          <w:rFonts w:ascii="Arial" w:hAnsi="Arial" w:cs="Arial"/>
        </w:rPr>
        <w:t>Csonka,</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man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applied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job</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security</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Mr.</w:t>
      </w:r>
      <w:r w:rsidR="007B7640" w:rsidRPr="00CD59CC">
        <w:rPr>
          <w:rFonts w:ascii="Arial" w:hAnsi="Arial" w:cs="Arial"/>
        </w:rPr>
        <w:t xml:space="preserve"> </w:t>
      </w:r>
      <w:r w:rsidRPr="00CD59CC">
        <w:rPr>
          <w:rFonts w:ascii="Arial" w:hAnsi="Arial" w:cs="Arial"/>
        </w:rPr>
        <w:t>Csonka</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qualifications</w:t>
      </w:r>
      <w:r w:rsidR="007B7640" w:rsidRPr="00CD59CC">
        <w:rPr>
          <w:rFonts w:ascii="Arial" w:hAnsi="Arial" w:cs="Arial"/>
        </w:rPr>
        <w:t xml:space="preserve"> </w:t>
      </w:r>
      <w:r w:rsidRPr="00CD59CC">
        <w:rPr>
          <w:rFonts w:ascii="Arial" w:hAnsi="Arial" w:cs="Arial"/>
        </w:rPr>
        <w:t>required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security</w:t>
      </w:r>
      <w:r w:rsidR="007B7640" w:rsidRPr="00CD59CC">
        <w:rPr>
          <w:rFonts w:ascii="Arial" w:hAnsi="Arial" w:cs="Arial"/>
        </w:rPr>
        <w:t xml:space="preserve"> </w:t>
      </w:r>
      <w:r w:rsidRPr="00CD59CC">
        <w:rPr>
          <w:rFonts w:ascii="Arial" w:hAnsi="Arial" w:cs="Arial"/>
        </w:rPr>
        <w:t>guard,</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turned</w:t>
      </w:r>
      <w:r w:rsidR="007B7640" w:rsidRPr="00CD59CC">
        <w:rPr>
          <w:rFonts w:ascii="Arial" w:hAnsi="Arial" w:cs="Arial"/>
        </w:rPr>
        <w:t xml:space="preserve"> </w:t>
      </w:r>
      <w:r w:rsidRPr="00CD59CC">
        <w:rPr>
          <w:rFonts w:ascii="Arial" w:hAnsi="Arial" w:cs="Arial"/>
        </w:rPr>
        <w:t>down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employee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told</w:t>
      </w:r>
      <w:r w:rsidR="007B7640" w:rsidRPr="00CD59CC">
        <w:rPr>
          <w:rFonts w:ascii="Arial" w:hAnsi="Arial" w:cs="Arial"/>
        </w:rPr>
        <w:t xml:space="preserve"> </w:t>
      </w:r>
      <w:r w:rsidRPr="00CD59CC">
        <w:rPr>
          <w:rFonts w:ascii="Arial" w:hAnsi="Arial" w:cs="Arial"/>
        </w:rPr>
        <w:t>him</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employ</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Mr.</w:t>
      </w:r>
      <w:r w:rsidR="007B7640" w:rsidRPr="00CD59CC">
        <w:rPr>
          <w:rFonts w:ascii="Arial" w:hAnsi="Arial" w:cs="Arial"/>
        </w:rPr>
        <w:t xml:space="preserve"> </w:t>
      </w:r>
      <w:r w:rsidRPr="00CD59CC">
        <w:rPr>
          <w:rFonts w:ascii="Arial" w:hAnsi="Arial" w:cs="Arial"/>
        </w:rPr>
        <w:t>Csonka</w:t>
      </w:r>
      <w:r w:rsidR="007B7640" w:rsidRPr="00CD59CC">
        <w:rPr>
          <w:rFonts w:ascii="Arial" w:hAnsi="Arial" w:cs="Arial"/>
        </w:rPr>
        <w:t xml:space="preserve"> </w:t>
      </w:r>
      <w:r w:rsidRPr="00CD59CC">
        <w:rPr>
          <w:rFonts w:ascii="Arial" w:hAnsi="Arial" w:cs="Arial"/>
        </w:rPr>
        <w:t>filed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complaint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Inspectorate.</w:t>
      </w:r>
      <w:r w:rsidR="007B7640" w:rsidRPr="00CD59CC">
        <w:rPr>
          <w:rFonts w:ascii="Arial" w:hAnsi="Arial" w:cs="Arial"/>
        </w:rPr>
        <w:t xml:space="preserve"> </w:t>
      </w:r>
      <w:r w:rsidRPr="00CD59CC">
        <w:rPr>
          <w:rFonts w:ascii="Arial" w:hAnsi="Arial" w:cs="Arial"/>
        </w:rPr>
        <w:t>During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proceedings,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owner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admitted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expressed</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regrets</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said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company's</w:t>
      </w:r>
      <w:r w:rsidR="007B7640" w:rsidRPr="00CD59CC">
        <w:rPr>
          <w:rFonts w:ascii="Arial" w:hAnsi="Arial" w:cs="Arial"/>
        </w:rPr>
        <w:t xml:space="preserve"> </w:t>
      </w:r>
      <w:r w:rsidRPr="00CD59CC">
        <w:rPr>
          <w:rFonts w:ascii="Arial" w:hAnsi="Arial" w:cs="Arial"/>
        </w:rPr>
        <w:t>clients</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want</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security</w:t>
      </w:r>
      <w:r w:rsidR="007B7640" w:rsidRPr="00CD59CC">
        <w:rPr>
          <w:rFonts w:ascii="Arial" w:hAnsi="Arial" w:cs="Arial"/>
        </w:rPr>
        <w:t xml:space="preserve"> </w:t>
      </w:r>
      <w:r w:rsidRPr="00CD59CC">
        <w:rPr>
          <w:rFonts w:ascii="Arial" w:hAnsi="Arial" w:cs="Arial"/>
        </w:rPr>
        <w:t>guards.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Inspectorate</w:t>
      </w:r>
      <w:r w:rsidR="007B7640" w:rsidRPr="00CD59CC">
        <w:rPr>
          <w:rFonts w:ascii="Arial" w:hAnsi="Arial" w:cs="Arial"/>
        </w:rPr>
        <w:t xml:space="preserve"> </w:t>
      </w:r>
      <w:r w:rsidRPr="00CD59CC">
        <w:rPr>
          <w:rFonts w:ascii="Arial" w:hAnsi="Arial" w:cs="Arial"/>
        </w:rPr>
        <w:t>imposed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fine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HUF</w:t>
      </w:r>
      <w:r w:rsidR="007B7640" w:rsidRPr="00CD59CC">
        <w:rPr>
          <w:rFonts w:ascii="Arial" w:hAnsi="Arial" w:cs="Arial"/>
        </w:rPr>
        <w:t xml:space="preserve"> </w:t>
      </w:r>
      <w:r w:rsidRPr="00CD59CC">
        <w:rPr>
          <w:rFonts w:ascii="Arial" w:hAnsi="Arial" w:cs="Arial"/>
        </w:rPr>
        <w:t>100,000</w:t>
      </w:r>
      <w:r w:rsidR="007B7640" w:rsidRPr="00CD59CC">
        <w:rPr>
          <w:rFonts w:ascii="Arial" w:hAnsi="Arial" w:cs="Arial"/>
        </w:rPr>
        <w:t xml:space="preserve"> </w:t>
      </w:r>
      <w:r w:rsidRPr="00CD59CC">
        <w:rPr>
          <w:rFonts w:ascii="Arial" w:hAnsi="Arial" w:cs="Arial"/>
        </w:rPr>
        <w:t>(EUR</w:t>
      </w:r>
      <w:r w:rsidR="007B7640" w:rsidRPr="00CD59CC">
        <w:rPr>
          <w:rFonts w:ascii="Arial" w:hAnsi="Arial" w:cs="Arial"/>
        </w:rPr>
        <w:t xml:space="preserve"> </w:t>
      </w:r>
      <w:r w:rsidRPr="00CD59CC">
        <w:rPr>
          <w:rFonts w:ascii="Arial" w:hAnsi="Arial" w:cs="Arial"/>
        </w:rPr>
        <w:t>330)</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company.</w:t>
      </w:r>
    </w:p>
    <w:p w14:paraId="6301629A" w14:textId="77777777" w:rsidR="00EC69D4" w:rsidRPr="00CD59CC" w:rsidRDefault="00EC69D4" w:rsidP="00CD59CC">
      <w:pPr>
        <w:rPr>
          <w:rFonts w:ascii="Arial" w:hAnsi="Arial" w:cs="Arial"/>
        </w:rPr>
      </w:pPr>
    </w:p>
    <w:p w14:paraId="47308B28" w14:textId="77777777" w:rsidR="00EC69D4" w:rsidRPr="00CD59CC" w:rsidRDefault="00EC69D4" w:rsidP="00CD59CC">
      <w:pPr>
        <w:rPr>
          <w:rFonts w:ascii="Arial" w:hAnsi="Arial" w:cs="Arial"/>
        </w:rPr>
      </w:pP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help</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Defence</w:t>
      </w:r>
      <w:r w:rsidR="007B7640" w:rsidRPr="00CD59CC">
        <w:rPr>
          <w:rFonts w:ascii="Arial" w:hAnsi="Arial" w:cs="Arial"/>
        </w:rPr>
        <w:t xml:space="preserve"> </w:t>
      </w:r>
      <w:r w:rsidRPr="00CD59CC">
        <w:rPr>
          <w:rFonts w:ascii="Arial" w:hAnsi="Arial" w:cs="Arial"/>
        </w:rPr>
        <w:t>Bureau</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Minorities</w:t>
      </w:r>
      <w:r w:rsidR="007B7640" w:rsidRPr="00CD59CC">
        <w:rPr>
          <w:rFonts w:ascii="Arial" w:hAnsi="Arial" w:cs="Arial"/>
        </w:rPr>
        <w:t xml:space="preserve"> </w:t>
      </w:r>
      <w:r w:rsidRPr="00CD59CC">
        <w:rPr>
          <w:rFonts w:ascii="Arial" w:hAnsi="Arial" w:cs="Arial"/>
        </w:rPr>
        <w:t>(NEKI)</w:t>
      </w:r>
      <w:r w:rsidR="007B7640" w:rsidRPr="00CD59CC">
        <w:rPr>
          <w:rFonts w:ascii="Arial" w:hAnsi="Arial" w:cs="Arial"/>
        </w:rPr>
        <w:t xml:space="preserve"> </w:t>
      </w:r>
      <w:r w:rsidRPr="00CD59CC">
        <w:rPr>
          <w:rFonts w:ascii="Arial" w:hAnsi="Arial" w:cs="Arial"/>
        </w:rPr>
        <w:t>Mr.</w:t>
      </w:r>
      <w:r w:rsidR="007B7640" w:rsidRPr="00CD59CC">
        <w:rPr>
          <w:rFonts w:ascii="Arial" w:hAnsi="Arial" w:cs="Arial"/>
        </w:rPr>
        <w:t xml:space="preserve"> </w:t>
      </w:r>
      <w:r w:rsidRPr="00CD59CC">
        <w:rPr>
          <w:rFonts w:ascii="Arial" w:hAnsi="Arial" w:cs="Arial"/>
        </w:rPr>
        <w:t>Csonka</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brought</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claim</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so-called</w:t>
      </w:r>
      <w:r w:rsidR="007B7640" w:rsidRPr="00CD59CC">
        <w:rPr>
          <w:rFonts w:ascii="Arial" w:hAnsi="Arial" w:cs="Arial"/>
        </w:rPr>
        <w:t xml:space="preserve"> </w:t>
      </w:r>
      <w:r w:rsidRPr="00CD59CC">
        <w:rPr>
          <w:rFonts w:ascii="Arial" w:hAnsi="Arial" w:cs="Arial"/>
        </w:rPr>
        <w:t>"non-pecuniary</w:t>
      </w:r>
      <w:r w:rsidR="007B7640" w:rsidRPr="00CD59CC">
        <w:rPr>
          <w:rFonts w:ascii="Arial" w:hAnsi="Arial" w:cs="Arial"/>
        </w:rPr>
        <w:t xml:space="preserve"> </w:t>
      </w:r>
      <w:r w:rsidRPr="00CD59CC">
        <w:rPr>
          <w:rFonts w:ascii="Arial" w:hAnsi="Arial" w:cs="Arial"/>
        </w:rPr>
        <w:t>loss".</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claim</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old</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Code</w:t>
      </w:r>
      <w:r w:rsidRPr="00CD59CC">
        <w:rPr>
          <w:rStyle w:val="FootnoteReference"/>
          <w:rFonts w:ascii="Arial" w:hAnsi="Arial" w:cs="Arial"/>
        </w:rPr>
        <w:footnoteReference w:id="30"/>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p>
    <w:p w14:paraId="2C5755E0" w14:textId="77777777" w:rsidR="00EC69D4" w:rsidRPr="00CD59CC" w:rsidRDefault="00EC69D4" w:rsidP="00CD59CC">
      <w:pPr>
        <w:rPr>
          <w:rFonts w:ascii="Arial" w:hAnsi="Arial" w:cs="Arial"/>
        </w:rPr>
      </w:pPr>
    </w:p>
    <w:p w14:paraId="2D862BC6" w14:textId="3E7E796F" w:rsidR="00EC69D4" w:rsidRPr="00CD59CC" w:rsidRDefault="00EC69D4"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First</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plaintiff's</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took</w:t>
      </w:r>
      <w:r w:rsidR="007B7640" w:rsidRPr="00CD59CC">
        <w:rPr>
          <w:rFonts w:ascii="Arial" w:hAnsi="Arial" w:cs="Arial"/>
        </w:rPr>
        <w:t xml:space="preserve"> </w:t>
      </w:r>
      <w:r w:rsidRPr="00CD59CC">
        <w:rPr>
          <w:rFonts w:ascii="Arial" w:hAnsi="Arial" w:cs="Arial"/>
        </w:rPr>
        <w:t>place,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awarded</w:t>
      </w:r>
      <w:r w:rsidR="007B7640" w:rsidRPr="00CD59CC">
        <w:rPr>
          <w:rFonts w:ascii="Arial" w:hAnsi="Arial" w:cs="Arial"/>
        </w:rPr>
        <w:t xml:space="preserve"> </w:t>
      </w:r>
      <w:r w:rsidRPr="00CD59CC">
        <w:rPr>
          <w:rFonts w:ascii="Arial" w:hAnsi="Arial" w:cs="Arial"/>
        </w:rPr>
        <w:t>HUF</w:t>
      </w:r>
      <w:r w:rsidR="007B7640" w:rsidRPr="00CD59CC">
        <w:rPr>
          <w:rFonts w:ascii="Arial" w:hAnsi="Arial" w:cs="Arial"/>
        </w:rPr>
        <w:t xml:space="preserve"> </w:t>
      </w:r>
      <w:r w:rsidRPr="00CD59CC">
        <w:rPr>
          <w:rFonts w:ascii="Arial" w:hAnsi="Arial" w:cs="Arial"/>
        </w:rPr>
        <w:t>500,000</w:t>
      </w:r>
      <w:r w:rsidR="007B7640" w:rsidRPr="00CD59CC">
        <w:rPr>
          <w:rFonts w:ascii="Arial" w:hAnsi="Arial" w:cs="Arial"/>
        </w:rPr>
        <w:t xml:space="preserve"> </w:t>
      </w:r>
      <w:r w:rsidRPr="00CD59CC">
        <w:rPr>
          <w:rFonts w:ascii="Arial" w:hAnsi="Arial" w:cs="Arial"/>
        </w:rPr>
        <w:t>(EUR</w:t>
      </w:r>
      <w:r w:rsidR="007B7640" w:rsidRPr="00CD59CC">
        <w:rPr>
          <w:rFonts w:ascii="Arial" w:hAnsi="Arial" w:cs="Arial"/>
        </w:rPr>
        <w:t xml:space="preserve"> </w:t>
      </w:r>
      <w:r w:rsidRPr="00CD59CC">
        <w:rPr>
          <w:rFonts w:ascii="Arial" w:hAnsi="Arial" w:cs="Arial"/>
        </w:rPr>
        <w:t>1,</w:t>
      </w:r>
      <w:r w:rsidR="00E44EED" w:rsidRPr="00CD59CC">
        <w:rPr>
          <w:rFonts w:ascii="Arial" w:hAnsi="Arial" w:cs="Arial"/>
        </w:rPr>
        <w:t>670</w:t>
      </w:r>
      <w:r w:rsidRPr="00CD59CC">
        <w:rPr>
          <w:rFonts w:ascii="Arial" w:hAnsi="Arial" w:cs="Arial"/>
        </w:rPr>
        <w: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Mr.</w:t>
      </w:r>
      <w:r w:rsidR="007B7640" w:rsidRPr="00CD59CC">
        <w:rPr>
          <w:rFonts w:ascii="Arial" w:hAnsi="Arial" w:cs="Arial"/>
        </w:rPr>
        <w:t xml:space="preserve"> </w:t>
      </w:r>
      <w:r w:rsidRPr="00CD59CC">
        <w:rPr>
          <w:rFonts w:ascii="Arial" w:hAnsi="Arial" w:cs="Arial"/>
        </w:rPr>
        <w:t>Csonka.</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owner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admitted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appealed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reducing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amount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Second</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upheld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first</w:t>
      </w:r>
      <w:r w:rsidR="007B7640" w:rsidRPr="00CD59CC">
        <w:rPr>
          <w:rFonts w:ascii="Arial" w:hAnsi="Arial" w:cs="Arial"/>
        </w:rPr>
        <w:t xml:space="preserve"> </w:t>
      </w:r>
      <w:r w:rsidRPr="00CD59CC">
        <w:rPr>
          <w:rFonts w:ascii="Arial" w:hAnsi="Arial" w:cs="Arial"/>
        </w:rPr>
        <w:t>instance.</w:t>
      </w:r>
    </w:p>
    <w:p w14:paraId="0F4A03A7" w14:textId="77777777" w:rsidR="00EC69D4" w:rsidRPr="00CD59CC" w:rsidRDefault="00EC69D4" w:rsidP="00CD59CC">
      <w:pPr>
        <w:rPr>
          <w:rFonts w:ascii="Arial" w:hAnsi="Arial" w:cs="Arial"/>
        </w:rPr>
      </w:pPr>
    </w:p>
    <w:p w14:paraId="257AE467" w14:textId="77777777" w:rsidR="00EC69D4" w:rsidRPr="00CD59CC" w:rsidRDefault="00EC69D4"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contains</w:t>
      </w:r>
      <w:r w:rsidR="007B7640" w:rsidRPr="00CD59CC">
        <w:rPr>
          <w:rFonts w:ascii="Arial" w:hAnsi="Arial" w:cs="Arial"/>
        </w:rPr>
        <w:t xml:space="preserve"> </w:t>
      </w:r>
      <w:r w:rsidRPr="00CD59CC">
        <w:rPr>
          <w:rFonts w:ascii="Arial" w:hAnsi="Arial" w:cs="Arial"/>
        </w:rPr>
        <w:t>some</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exemption</w:t>
      </w:r>
      <w:r w:rsidR="007B7640" w:rsidRPr="00CD59CC">
        <w:rPr>
          <w:rFonts w:ascii="Arial" w:hAnsi="Arial" w:cs="Arial"/>
        </w:rPr>
        <w:t xml:space="preserve"> </w:t>
      </w:r>
      <w:r w:rsidRPr="00CD59CC">
        <w:rPr>
          <w:rFonts w:ascii="Arial" w:hAnsi="Arial" w:cs="Arial"/>
        </w:rPr>
        <w:t>clauses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well.</w:t>
      </w:r>
      <w:r w:rsidR="007B7640" w:rsidRPr="00CD59CC">
        <w:rPr>
          <w:rFonts w:ascii="Arial" w:hAnsi="Arial" w:cs="Arial"/>
        </w:rPr>
        <w:t xml:space="preserve"> </w:t>
      </w:r>
      <w:r w:rsidRPr="00CD59CC">
        <w:rPr>
          <w:rFonts w:ascii="Arial" w:hAnsi="Arial" w:cs="Arial"/>
        </w:rPr>
        <w:t>Given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community</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provides</w:t>
      </w:r>
      <w:r w:rsidR="007B7640" w:rsidRPr="00CD59CC">
        <w:rPr>
          <w:rFonts w:ascii="Arial" w:hAnsi="Arial" w:cs="Arial"/>
        </w:rPr>
        <w:t xml:space="preserve"> </w:t>
      </w:r>
      <w:r w:rsidRPr="00CD59CC">
        <w:rPr>
          <w:rFonts w:ascii="Arial" w:hAnsi="Arial" w:cs="Arial"/>
        </w:rPr>
        <w:t>exemption</w:t>
      </w:r>
      <w:r w:rsidR="007B7640" w:rsidRPr="00CD59CC">
        <w:rPr>
          <w:rFonts w:ascii="Arial" w:hAnsi="Arial" w:cs="Arial"/>
        </w:rPr>
        <w:t xml:space="preserve"> </w:t>
      </w:r>
      <w:r w:rsidRPr="00CD59CC">
        <w:rPr>
          <w:rFonts w:ascii="Arial" w:hAnsi="Arial" w:cs="Arial"/>
        </w:rPr>
        <w:t>solely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analysis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field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4.1.</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exemption</w:t>
      </w:r>
      <w:r w:rsidR="007B7640" w:rsidRPr="00CD59CC">
        <w:rPr>
          <w:rFonts w:ascii="Arial" w:hAnsi="Arial" w:cs="Arial"/>
        </w:rPr>
        <w:t xml:space="preserve"> </w:t>
      </w:r>
      <w:r w:rsidRPr="00CD59CC">
        <w:rPr>
          <w:rFonts w:ascii="Arial" w:hAnsi="Arial" w:cs="Arial"/>
        </w:rPr>
        <w:t>clauses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p>
    <w:p w14:paraId="769908E0" w14:textId="77777777" w:rsidR="00EC69D4" w:rsidRPr="00CD59CC" w:rsidRDefault="00EC69D4" w:rsidP="00BB4E9F">
      <w:pPr>
        <w:ind w:left="567" w:hanging="567"/>
        <w:rPr>
          <w:rFonts w:ascii="Arial" w:hAnsi="Arial" w:cs="Arial"/>
        </w:rPr>
      </w:pPr>
    </w:p>
    <w:p w14:paraId="67F661D3" w14:textId="4A203758" w:rsidR="006B041D" w:rsidRPr="00CD59CC" w:rsidRDefault="006B041D" w:rsidP="00CD59CC">
      <w:pPr>
        <w:rPr>
          <w:rFonts w:ascii="Arial" w:hAnsi="Arial" w:cs="Arial"/>
          <w:i/>
        </w:rPr>
      </w:pPr>
      <w:r w:rsidRPr="00CD59CC">
        <w:rPr>
          <w:rFonts w:ascii="Arial" w:hAnsi="Arial" w:cs="Arial"/>
          <w:i/>
        </w:rPr>
        <w:t>With</w:t>
      </w:r>
      <w:r w:rsidR="007B7640" w:rsidRPr="00CD59CC">
        <w:rPr>
          <w:rFonts w:ascii="Arial" w:hAnsi="Arial" w:cs="Arial"/>
          <w:i/>
        </w:rPr>
        <w:t xml:space="preserve"> </w:t>
      </w:r>
      <w:r w:rsidRPr="00CD59CC">
        <w:rPr>
          <w:rFonts w:ascii="Arial" w:hAnsi="Arial" w:cs="Arial"/>
          <w:i/>
        </w:rPr>
        <w:t>regard</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employment</w:t>
      </w:r>
      <w:r w:rsidR="007B7640" w:rsidRPr="00CD59CC">
        <w:rPr>
          <w:rFonts w:ascii="Arial" w:hAnsi="Arial" w:cs="Arial"/>
          <w:i/>
        </w:rPr>
        <w:t xml:space="preserve"> </w:t>
      </w:r>
      <w:r w:rsidRPr="00CD59CC">
        <w:rPr>
          <w:rFonts w:ascii="Arial" w:hAnsi="Arial" w:cs="Arial"/>
          <w:i/>
        </w:rPr>
        <w:t>–</w:t>
      </w:r>
      <w:r w:rsidR="007B7640" w:rsidRPr="00CD59CC">
        <w:rPr>
          <w:rFonts w:ascii="Arial" w:hAnsi="Arial" w:cs="Arial"/>
          <w:i/>
        </w:rPr>
        <w:t xml:space="preserve"> </w:t>
      </w:r>
      <w:r w:rsidRPr="00CD59CC">
        <w:rPr>
          <w:rFonts w:ascii="Arial" w:hAnsi="Arial" w:cs="Arial"/>
          <w:i/>
        </w:rPr>
        <w:t>Article</w:t>
      </w:r>
      <w:r w:rsidR="007B7640" w:rsidRPr="00CD59CC">
        <w:rPr>
          <w:rFonts w:ascii="Arial" w:hAnsi="Arial" w:cs="Arial"/>
          <w:i/>
        </w:rPr>
        <w:t xml:space="preserve"> </w:t>
      </w:r>
      <w:r w:rsidRPr="00CD59CC">
        <w:rPr>
          <w:rFonts w:ascii="Arial" w:hAnsi="Arial" w:cs="Arial"/>
          <w:i/>
        </w:rPr>
        <w:t>22</w:t>
      </w:r>
    </w:p>
    <w:p w14:paraId="7213BD95" w14:textId="77777777" w:rsidR="006B041D" w:rsidRPr="00CD59CC" w:rsidRDefault="006B041D" w:rsidP="00CD59CC">
      <w:pPr>
        <w:rPr>
          <w:rFonts w:ascii="Arial" w:hAnsi="Arial" w:cs="Arial"/>
          <w:i/>
        </w:rPr>
      </w:pPr>
    </w:p>
    <w:p w14:paraId="7A5CE67A" w14:textId="77777777" w:rsidR="006B041D" w:rsidRPr="00CD59CC" w:rsidRDefault="006B041D" w:rsidP="007B4138">
      <w:pPr>
        <w:numPr>
          <w:ilvl w:val="0"/>
          <w:numId w:val="42"/>
        </w:numPr>
        <w:ind w:left="567" w:hanging="567"/>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violated</w:t>
      </w:r>
      <w:r w:rsidR="007B7640" w:rsidRPr="00CD59CC">
        <w:rPr>
          <w:rFonts w:ascii="Arial" w:hAnsi="Arial" w:cs="Arial"/>
        </w:rPr>
        <w:t xml:space="preserve"> </w:t>
      </w:r>
      <w:r w:rsidRPr="00CD59CC">
        <w:rPr>
          <w:rFonts w:ascii="Arial" w:hAnsi="Arial" w:cs="Arial"/>
        </w:rPr>
        <w:t>if</w:t>
      </w:r>
    </w:p>
    <w:p w14:paraId="5902BF25" w14:textId="77777777" w:rsidR="006B041D" w:rsidRPr="00CD59CC" w:rsidRDefault="006B041D" w:rsidP="007B4138">
      <w:pPr>
        <w:numPr>
          <w:ilvl w:val="1"/>
          <w:numId w:val="42"/>
        </w:numPr>
        <w:tabs>
          <w:tab w:val="left" w:pos="1134"/>
        </w:tabs>
        <w:suppressAutoHyphens/>
        <w:ind w:left="1134" w:hanging="567"/>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differentiation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proportionate,</w:t>
      </w:r>
      <w:r w:rsidR="007B7640" w:rsidRPr="00CD59CC">
        <w:rPr>
          <w:rFonts w:ascii="Arial" w:hAnsi="Arial" w:cs="Arial"/>
        </w:rPr>
        <w:t xml:space="preserve"> </w:t>
      </w:r>
      <w:r w:rsidRPr="00CD59CC">
        <w:rPr>
          <w:rFonts w:ascii="Arial" w:hAnsi="Arial" w:cs="Arial"/>
        </w:rPr>
        <w:t>justified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characteristics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nature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job</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relevant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legitimate</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conditions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consideration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recruitment;</w:t>
      </w:r>
      <w:r w:rsidR="007B7640" w:rsidRPr="00CD59CC">
        <w:rPr>
          <w:rFonts w:ascii="Arial" w:hAnsi="Arial" w:cs="Arial"/>
        </w:rPr>
        <w:t xml:space="preserve"> </w:t>
      </w:r>
      <w:r w:rsidRPr="00CD59CC">
        <w:rPr>
          <w:rFonts w:ascii="Arial" w:hAnsi="Arial" w:cs="Arial"/>
        </w:rPr>
        <w:t>or</w:t>
      </w:r>
    </w:p>
    <w:p w14:paraId="596BCCC6" w14:textId="77777777" w:rsidR="006B041D" w:rsidRPr="00CD59CC" w:rsidRDefault="006B041D" w:rsidP="007B4138">
      <w:pPr>
        <w:numPr>
          <w:ilvl w:val="1"/>
          <w:numId w:val="42"/>
        </w:numPr>
        <w:suppressAutoHyphens/>
        <w:ind w:left="1134" w:hanging="567"/>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differentiation</w:t>
      </w:r>
      <w:r w:rsidR="007B7640" w:rsidRPr="00CD59CC">
        <w:rPr>
          <w:rFonts w:ascii="Arial" w:hAnsi="Arial" w:cs="Arial"/>
        </w:rPr>
        <w:t xml:space="preserve"> </w:t>
      </w:r>
      <w:r w:rsidRPr="00CD59CC">
        <w:rPr>
          <w:rFonts w:ascii="Arial" w:hAnsi="Arial" w:cs="Arial"/>
        </w:rPr>
        <w:t>arises</w:t>
      </w:r>
      <w:r w:rsidR="007B7640" w:rsidRPr="00CD59CC">
        <w:rPr>
          <w:rFonts w:ascii="Arial" w:hAnsi="Arial" w:cs="Arial"/>
        </w:rPr>
        <w:t xml:space="preserve"> </w:t>
      </w:r>
      <w:r w:rsidRPr="00CD59CC">
        <w:rPr>
          <w:rFonts w:ascii="Arial" w:hAnsi="Arial" w:cs="Arial"/>
        </w:rPr>
        <w:t>directly</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religious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ideological</w:t>
      </w:r>
      <w:r w:rsidR="007B7640" w:rsidRPr="00CD59CC">
        <w:rPr>
          <w:rFonts w:ascii="Arial" w:hAnsi="Arial" w:cs="Arial"/>
        </w:rPr>
        <w:t xml:space="preserve"> </w:t>
      </w:r>
      <w:r w:rsidRPr="00CD59CC">
        <w:rPr>
          <w:rFonts w:ascii="Arial" w:hAnsi="Arial" w:cs="Arial"/>
        </w:rPr>
        <w:t>conviction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fundamentally</w:t>
      </w:r>
      <w:r w:rsidR="007B7640" w:rsidRPr="00CD59CC">
        <w:rPr>
          <w:rFonts w:ascii="Arial" w:hAnsi="Arial" w:cs="Arial"/>
        </w:rPr>
        <w:t xml:space="preserve"> </w:t>
      </w:r>
      <w:r w:rsidRPr="00CD59CC">
        <w:rPr>
          <w:rFonts w:ascii="Arial" w:hAnsi="Arial" w:cs="Arial"/>
        </w:rPr>
        <w:t>determining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nature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organisation,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proportional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justified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nature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activity</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conditions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pursuit.</w:t>
      </w:r>
    </w:p>
    <w:p w14:paraId="179BBC12" w14:textId="77777777" w:rsidR="006B041D" w:rsidRPr="00CD59CC" w:rsidRDefault="006B041D" w:rsidP="007B4138">
      <w:pPr>
        <w:numPr>
          <w:ilvl w:val="0"/>
          <w:numId w:val="42"/>
        </w:numPr>
        <w:ind w:left="567" w:hanging="567"/>
        <w:rPr>
          <w:rFonts w:ascii="Arial" w:hAnsi="Arial" w:cs="Arial"/>
        </w:rPr>
      </w:pPr>
      <w:r w:rsidRPr="00CD59CC">
        <w:rPr>
          <w:rFonts w:ascii="Arial" w:hAnsi="Arial" w:cs="Arial"/>
        </w:rPr>
        <w:t>When</w:t>
      </w:r>
      <w:r w:rsidR="007B7640" w:rsidRPr="00CD59CC">
        <w:rPr>
          <w:rFonts w:ascii="Arial" w:hAnsi="Arial" w:cs="Arial"/>
        </w:rPr>
        <w:t xml:space="preserve"> </w:t>
      </w:r>
      <w:r w:rsidRPr="00CD59CC">
        <w:rPr>
          <w:rFonts w:ascii="Arial" w:hAnsi="Arial" w:cs="Arial"/>
        </w:rPr>
        <w:t>applying</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21</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f)</w:t>
      </w:r>
      <w:r w:rsidR="007B7640" w:rsidRPr="00CD59CC">
        <w:rPr>
          <w:rFonts w:ascii="Arial" w:hAnsi="Arial" w:cs="Arial"/>
        </w:rPr>
        <w:t xml:space="preserve"> </w:t>
      </w:r>
      <w:r w:rsidRPr="00CD59CC">
        <w:rPr>
          <w:rFonts w:ascii="Arial" w:hAnsi="Arial" w:cs="Arial"/>
        </w:rPr>
        <w:t>[provision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pay],</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instances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differentiation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Points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e)</w:t>
      </w:r>
      <w:r w:rsidR="007B7640" w:rsidRPr="00CD59CC">
        <w:rPr>
          <w:rFonts w:ascii="Arial" w:hAnsi="Arial" w:cs="Arial"/>
        </w:rPr>
        <w:t xml:space="preserve"> </w:t>
      </w:r>
      <w:r w:rsidRPr="00CD59CC">
        <w:rPr>
          <w:rFonts w:ascii="Arial" w:hAnsi="Arial" w:cs="Arial"/>
        </w:rPr>
        <w:t>[sex,</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colour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skin,</w:t>
      </w:r>
      <w:r w:rsidR="007B7640" w:rsidRPr="00CD59CC">
        <w:rPr>
          <w:rFonts w:ascii="Arial" w:hAnsi="Arial" w:cs="Arial"/>
        </w:rPr>
        <w:t xml:space="preserve"> </w:t>
      </w:r>
      <w:r w:rsidRPr="00CD59CC">
        <w:rPr>
          <w:rFonts w:ascii="Arial" w:hAnsi="Arial" w:cs="Arial"/>
        </w:rPr>
        <w:t>nationality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sense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citizenship),</w:t>
      </w:r>
      <w:r w:rsidR="007B7640" w:rsidRPr="00CD59CC">
        <w:rPr>
          <w:rFonts w:ascii="Arial" w:hAnsi="Arial" w:cs="Arial"/>
        </w:rPr>
        <w:t xml:space="preserve"> </w:t>
      </w:r>
      <w:r w:rsidRPr="00CD59CC">
        <w:rPr>
          <w:rFonts w:ascii="Arial" w:hAnsi="Arial" w:cs="Arial"/>
        </w:rPr>
        <w:t>belonging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deemed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violate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p>
    <w:p w14:paraId="4C8AC6D8" w14:textId="77777777" w:rsidR="006B041D" w:rsidRPr="00CD59CC" w:rsidRDefault="006B041D" w:rsidP="00CD59CC">
      <w:pPr>
        <w:ind w:left="567"/>
        <w:rPr>
          <w:rFonts w:ascii="Arial" w:hAnsi="Arial" w:cs="Arial"/>
        </w:rPr>
      </w:pPr>
    </w:p>
    <w:p w14:paraId="799A439E" w14:textId="77777777" w:rsidR="006B041D" w:rsidRPr="00CD59CC" w:rsidRDefault="006B041D" w:rsidP="00CD59CC">
      <w:pPr>
        <w:rPr>
          <w:rFonts w:ascii="Arial" w:hAnsi="Arial" w:cs="Arial"/>
          <w:i/>
        </w:rPr>
      </w:pPr>
      <w:r w:rsidRPr="00CD59CC">
        <w:rPr>
          <w:rFonts w:ascii="Arial" w:hAnsi="Arial" w:cs="Arial"/>
          <w:i/>
        </w:rPr>
        <w:t>With</w:t>
      </w:r>
      <w:r w:rsidR="007B7640" w:rsidRPr="00CD59CC">
        <w:rPr>
          <w:rFonts w:ascii="Arial" w:hAnsi="Arial" w:cs="Arial"/>
          <w:i/>
        </w:rPr>
        <w:t xml:space="preserve"> </w:t>
      </w:r>
      <w:r w:rsidRPr="00CD59CC">
        <w:rPr>
          <w:rFonts w:ascii="Arial" w:hAnsi="Arial" w:cs="Arial"/>
          <w:i/>
        </w:rPr>
        <w:t>regard</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education</w:t>
      </w:r>
      <w:r w:rsidR="007B7640" w:rsidRPr="00CD59CC">
        <w:rPr>
          <w:rFonts w:ascii="Arial" w:hAnsi="Arial" w:cs="Arial"/>
          <w:i/>
        </w:rPr>
        <w:t xml:space="preserve"> </w:t>
      </w:r>
      <w:r w:rsidRPr="00CD59CC">
        <w:rPr>
          <w:rFonts w:ascii="Arial" w:hAnsi="Arial" w:cs="Arial"/>
          <w:i/>
        </w:rPr>
        <w:t>–</w:t>
      </w:r>
      <w:r w:rsidR="007B7640" w:rsidRPr="00CD59CC">
        <w:rPr>
          <w:rFonts w:ascii="Arial" w:hAnsi="Arial" w:cs="Arial"/>
          <w:i/>
        </w:rPr>
        <w:t xml:space="preserve"> </w:t>
      </w:r>
      <w:r w:rsidRPr="00CD59CC">
        <w:rPr>
          <w:rFonts w:ascii="Arial" w:hAnsi="Arial" w:cs="Arial"/>
          <w:i/>
        </w:rPr>
        <w:t>Article</w:t>
      </w:r>
      <w:r w:rsidR="007B7640" w:rsidRPr="00CD59CC">
        <w:rPr>
          <w:rFonts w:ascii="Arial" w:hAnsi="Arial" w:cs="Arial"/>
          <w:i/>
        </w:rPr>
        <w:t xml:space="preserve"> </w:t>
      </w:r>
      <w:r w:rsidRPr="00CD59CC">
        <w:rPr>
          <w:rFonts w:ascii="Arial" w:hAnsi="Arial" w:cs="Arial"/>
          <w:i/>
        </w:rPr>
        <w:t>28</w:t>
      </w:r>
    </w:p>
    <w:p w14:paraId="2E20EE0D" w14:textId="77777777" w:rsidR="006B041D" w:rsidRPr="00CD59CC" w:rsidRDefault="006B041D" w:rsidP="00CD59CC">
      <w:pPr>
        <w:rPr>
          <w:rFonts w:ascii="Arial" w:hAnsi="Arial" w:cs="Arial"/>
          <w:i/>
        </w:rPr>
      </w:pPr>
    </w:p>
    <w:p w14:paraId="4059379F" w14:textId="77777777" w:rsidR="006B041D" w:rsidRPr="00CD59CC" w:rsidRDefault="006B041D" w:rsidP="007B4138">
      <w:pPr>
        <w:numPr>
          <w:ilvl w:val="0"/>
          <w:numId w:val="43"/>
        </w:numPr>
        <w:ind w:left="567" w:hanging="567"/>
        <w:rPr>
          <w:rFonts w:ascii="Arial" w:hAnsi="Arial" w:cs="Arial"/>
        </w:rPr>
      </w:pPr>
      <w:r w:rsidRPr="00CD59CC">
        <w:rPr>
          <w:rFonts w:ascii="Arial" w:hAnsi="Arial" w:cs="Arial"/>
        </w:rPr>
        <w:lastRenderedPageBreak/>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organised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students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sex,</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violate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participation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voluntary,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will</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disadvantages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participants.</w:t>
      </w:r>
    </w:p>
    <w:p w14:paraId="39B7B2DE" w14:textId="77777777" w:rsidR="006B041D" w:rsidRPr="00CD59CC" w:rsidRDefault="006B041D" w:rsidP="007B4138">
      <w:pPr>
        <w:numPr>
          <w:ilvl w:val="0"/>
          <w:numId w:val="43"/>
        </w:numPr>
        <w:ind w:left="567" w:hanging="567"/>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violated</w:t>
      </w:r>
      <w:r w:rsidR="007B7640" w:rsidRPr="00CD59CC">
        <w:rPr>
          <w:rFonts w:ascii="Arial" w:hAnsi="Arial" w:cs="Arial"/>
        </w:rPr>
        <w:t xml:space="preserve"> </w:t>
      </w:r>
      <w:r w:rsidRPr="00CD59CC">
        <w:rPr>
          <w:rFonts w:ascii="Arial" w:hAnsi="Arial" w:cs="Arial"/>
        </w:rPr>
        <w:t>if,</w:t>
      </w:r>
    </w:p>
    <w:p w14:paraId="5755BBE6" w14:textId="77777777" w:rsidR="006B041D" w:rsidRPr="00CD59CC" w:rsidRDefault="006B041D" w:rsidP="007B4138">
      <w:pPr>
        <w:numPr>
          <w:ilvl w:val="1"/>
          <w:numId w:val="43"/>
        </w:numPr>
        <w:suppressAutoHyphens/>
        <w:ind w:left="1134" w:hanging="567"/>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elementary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secondary</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initiation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voluntary</w:t>
      </w:r>
      <w:r w:rsidR="007B7640" w:rsidRPr="00CD59CC">
        <w:rPr>
          <w:rFonts w:ascii="Arial" w:hAnsi="Arial" w:cs="Arial"/>
        </w:rPr>
        <w:t xml:space="preserve"> </w:t>
      </w:r>
      <w:r w:rsidRPr="00CD59CC">
        <w:rPr>
          <w:rFonts w:ascii="Arial" w:hAnsi="Arial" w:cs="Arial"/>
        </w:rPr>
        <w:t>choice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parents,</w:t>
      </w:r>
      <w:r w:rsidR="007B7640" w:rsidRPr="00CD59CC">
        <w:rPr>
          <w:rFonts w:ascii="Arial" w:hAnsi="Arial" w:cs="Arial"/>
        </w:rPr>
        <w:t xml:space="preserve"> </w:t>
      </w:r>
      <w:r w:rsidRPr="00CD59CC">
        <w:rPr>
          <w:rFonts w:ascii="Arial" w:hAnsi="Arial" w:cs="Arial"/>
        </w:rPr>
        <w:t>or</w:t>
      </w:r>
    </w:p>
    <w:p w14:paraId="0F164AD0" w14:textId="77777777" w:rsidR="006B041D" w:rsidRPr="00CD59CC" w:rsidRDefault="006B041D" w:rsidP="007B4138">
      <w:pPr>
        <w:numPr>
          <w:ilvl w:val="1"/>
          <w:numId w:val="43"/>
        </w:numPr>
        <w:suppressAutoHyphens/>
        <w:ind w:left="1134" w:hanging="567"/>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higher</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students’</w:t>
      </w:r>
      <w:r w:rsidR="007B7640" w:rsidRPr="00CD59CC">
        <w:rPr>
          <w:rFonts w:ascii="Arial" w:hAnsi="Arial" w:cs="Arial"/>
        </w:rPr>
        <w:t xml:space="preserve"> </w:t>
      </w:r>
      <w:r w:rsidRPr="00CD59CC">
        <w:rPr>
          <w:rFonts w:ascii="Arial" w:hAnsi="Arial" w:cs="Arial"/>
        </w:rPr>
        <w:t>voluntary</w:t>
      </w:r>
      <w:r w:rsidR="007B7640" w:rsidRPr="00CD59CC">
        <w:rPr>
          <w:rFonts w:ascii="Arial" w:hAnsi="Arial" w:cs="Arial"/>
        </w:rPr>
        <w:t xml:space="preserve"> </w:t>
      </w:r>
      <w:r w:rsidRPr="00CD59CC">
        <w:rPr>
          <w:rFonts w:ascii="Arial" w:hAnsi="Arial" w:cs="Arial"/>
        </w:rPr>
        <w:t>participation,</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religious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ideological</w:t>
      </w:r>
      <w:r w:rsidR="007B7640" w:rsidRPr="00CD59CC">
        <w:rPr>
          <w:rFonts w:ascii="Arial" w:hAnsi="Arial" w:cs="Arial"/>
        </w:rPr>
        <w:t xml:space="preserve"> </w:t>
      </w:r>
      <w:r w:rsidRPr="00CD59CC">
        <w:rPr>
          <w:rFonts w:ascii="Arial" w:hAnsi="Arial" w:cs="Arial"/>
        </w:rPr>
        <w:t>conviction,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minorities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organised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goal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curriculum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justifies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creation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separated</w:t>
      </w:r>
      <w:r w:rsidR="007B7640" w:rsidRPr="00CD59CC">
        <w:rPr>
          <w:rFonts w:ascii="Arial" w:hAnsi="Arial" w:cs="Arial"/>
        </w:rPr>
        <w:t xml:space="preserve"> </w:t>
      </w:r>
      <w:r w:rsidRPr="00CD59CC">
        <w:rPr>
          <w:rFonts w:ascii="Arial" w:hAnsi="Arial" w:cs="Arial"/>
        </w:rPr>
        <w:t>classes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disadvantage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participating</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complies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requirements</w:t>
      </w:r>
      <w:r w:rsidR="007B7640" w:rsidRPr="00CD59CC">
        <w:rPr>
          <w:rFonts w:ascii="Arial" w:hAnsi="Arial" w:cs="Arial"/>
        </w:rPr>
        <w:t xml:space="preserve"> </w:t>
      </w:r>
      <w:r w:rsidRPr="00CD59CC">
        <w:rPr>
          <w:rFonts w:ascii="Arial" w:hAnsi="Arial" w:cs="Arial"/>
        </w:rPr>
        <w:t>approved,</w:t>
      </w:r>
      <w:r w:rsidR="007B7640" w:rsidRPr="00CD59CC">
        <w:rPr>
          <w:rFonts w:ascii="Arial" w:hAnsi="Arial" w:cs="Arial"/>
        </w:rPr>
        <w:t xml:space="preserve"> </w:t>
      </w:r>
      <w:r w:rsidRPr="00CD59CC">
        <w:rPr>
          <w:rFonts w:ascii="Arial" w:hAnsi="Arial" w:cs="Arial"/>
        </w:rPr>
        <w:t>laid</w:t>
      </w:r>
      <w:r w:rsidR="007B7640" w:rsidRPr="00CD59CC">
        <w:rPr>
          <w:rFonts w:ascii="Arial" w:hAnsi="Arial" w:cs="Arial"/>
        </w:rPr>
        <w:t xml:space="preserve"> </w:t>
      </w:r>
      <w:r w:rsidRPr="00CD59CC">
        <w:rPr>
          <w:rFonts w:ascii="Arial" w:hAnsi="Arial" w:cs="Arial"/>
        </w:rPr>
        <w:t>down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subsidised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w:t>
      </w:r>
    </w:p>
    <w:p w14:paraId="6540C263" w14:textId="77777777" w:rsidR="006B041D" w:rsidRPr="00CD59CC" w:rsidRDefault="006B041D" w:rsidP="00CD59CC">
      <w:pPr>
        <w:suppressAutoHyphens/>
        <w:ind w:left="1134"/>
        <w:rPr>
          <w:rFonts w:ascii="Arial" w:hAnsi="Arial" w:cs="Arial"/>
        </w:rPr>
      </w:pPr>
    </w:p>
    <w:p w14:paraId="006E2BFB" w14:textId="77777777" w:rsidR="006B041D" w:rsidRPr="00CD59CC" w:rsidRDefault="006B041D" w:rsidP="00CD59CC">
      <w:pPr>
        <w:rPr>
          <w:rFonts w:ascii="Arial" w:hAnsi="Arial" w:cs="Arial"/>
          <w:i/>
        </w:rPr>
      </w:pPr>
      <w:r w:rsidRPr="00CD59CC">
        <w:rPr>
          <w:rFonts w:ascii="Arial" w:hAnsi="Arial" w:cs="Arial"/>
          <w:i/>
        </w:rPr>
        <w:t>With</w:t>
      </w:r>
      <w:r w:rsidR="007B7640" w:rsidRPr="00CD59CC">
        <w:rPr>
          <w:rFonts w:ascii="Arial" w:hAnsi="Arial" w:cs="Arial"/>
          <w:i/>
        </w:rPr>
        <w:t xml:space="preserve"> </w:t>
      </w:r>
      <w:r w:rsidRPr="00CD59CC">
        <w:rPr>
          <w:rFonts w:ascii="Arial" w:hAnsi="Arial" w:cs="Arial"/>
          <w:i/>
        </w:rPr>
        <w:t>regard</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access</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goods</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services</w:t>
      </w:r>
      <w:r w:rsidR="007B7640" w:rsidRPr="00CD59CC">
        <w:rPr>
          <w:rFonts w:ascii="Arial" w:hAnsi="Arial" w:cs="Arial"/>
          <w:i/>
        </w:rPr>
        <w:t xml:space="preserve"> </w:t>
      </w:r>
      <w:r w:rsidRPr="00CD59CC">
        <w:rPr>
          <w:rFonts w:ascii="Arial" w:hAnsi="Arial" w:cs="Arial"/>
          <w:i/>
        </w:rPr>
        <w:t>–</w:t>
      </w:r>
      <w:r w:rsidR="007B7640" w:rsidRPr="00CD59CC">
        <w:rPr>
          <w:rFonts w:ascii="Arial" w:hAnsi="Arial" w:cs="Arial"/>
          <w:i/>
        </w:rPr>
        <w:t xml:space="preserve"> </w:t>
      </w:r>
      <w:r w:rsidRPr="00CD59CC">
        <w:rPr>
          <w:rFonts w:ascii="Arial" w:hAnsi="Arial" w:cs="Arial"/>
          <w:i/>
        </w:rPr>
        <w:t>Article</w:t>
      </w:r>
      <w:r w:rsidR="007B7640" w:rsidRPr="00CD59CC">
        <w:rPr>
          <w:rFonts w:ascii="Arial" w:hAnsi="Arial" w:cs="Arial"/>
          <w:i/>
        </w:rPr>
        <w:t xml:space="preserve"> </w:t>
      </w:r>
      <w:r w:rsidRPr="00CD59CC">
        <w:rPr>
          <w:rFonts w:ascii="Arial" w:hAnsi="Arial" w:cs="Arial"/>
          <w:i/>
        </w:rPr>
        <w:t>30</w:t>
      </w:r>
    </w:p>
    <w:p w14:paraId="1D99F1C2" w14:textId="77777777" w:rsidR="006B041D" w:rsidRPr="00CD59CC" w:rsidRDefault="006B041D" w:rsidP="00CD59CC">
      <w:pPr>
        <w:rPr>
          <w:rFonts w:ascii="Arial" w:hAnsi="Arial" w:cs="Arial"/>
          <w:i/>
        </w:rPr>
      </w:pPr>
    </w:p>
    <w:p w14:paraId="35DC7473" w14:textId="77777777" w:rsidR="006B041D" w:rsidRPr="00CD59CC" w:rsidRDefault="006B041D" w:rsidP="00CD59CC">
      <w:pPr>
        <w:tabs>
          <w:tab w:val="left" w:pos="567"/>
        </w:tabs>
        <w:ind w:left="567" w:hanging="567"/>
        <w:rPr>
          <w:rFonts w:ascii="Arial" w:hAnsi="Arial" w:cs="Arial"/>
        </w:rPr>
      </w:pPr>
      <w:r w:rsidRPr="00CD59CC">
        <w:rPr>
          <w:rFonts w:ascii="Arial" w:hAnsi="Arial" w:cs="Arial"/>
        </w:rPr>
        <w:t>1)</w:t>
      </w:r>
      <w:r w:rsidRPr="00CD59CC">
        <w:rPr>
          <w:rFonts w:ascii="Arial" w:hAnsi="Arial" w:cs="Arial"/>
        </w:rPr>
        <w:tab/>
        <w:t>Entry</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premises</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characteristics</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purposes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preserving</w:t>
      </w:r>
      <w:r w:rsidR="007B7640" w:rsidRPr="00CD59CC">
        <w:rPr>
          <w:rFonts w:ascii="Arial" w:hAnsi="Arial" w:cs="Arial"/>
        </w:rPr>
        <w:t xml:space="preserve"> </w:t>
      </w:r>
      <w:r w:rsidRPr="00CD59CC">
        <w:rPr>
          <w:rFonts w:ascii="Arial" w:hAnsi="Arial" w:cs="Arial"/>
        </w:rPr>
        <w:t>traditions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maintaining</w:t>
      </w:r>
      <w:r w:rsidR="007B7640" w:rsidRPr="00CD59CC">
        <w:rPr>
          <w:rFonts w:ascii="Arial" w:hAnsi="Arial" w:cs="Arial"/>
        </w:rPr>
        <w:t xml:space="preserve"> </w:t>
      </w:r>
      <w:r w:rsidRPr="00CD59CC">
        <w:rPr>
          <w:rFonts w:ascii="Arial" w:hAnsi="Arial" w:cs="Arial"/>
        </w:rPr>
        <w:t>cultural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self</w:t>
      </w:r>
      <w:r w:rsidR="007B7640" w:rsidRPr="00CD59CC">
        <w:rPr>
          <w:rFonts w:ascii="Arial" w:hAnsi="Arial" w:cs="Arial"/>
        </w:rPr>
        <w:t xml:space="preserve"> </w:t>
      </w:r>
      <w:r w:rsidRPr="00CD59CC">
        <w:rPr>
          <w:rFonts w:ascii="Arial" w:hAnsi="Arial" w:cs="Arial"/>
        </w:rPr>
        <w:t>identity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open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immediate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limited</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subject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membership</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conditions.</w:t>
      </w:r>
    </w:p>
    <w:p w14:paraId="656C1E01" w14:textId="77777777" w:rsidR="006B041D" w:rsidRPr="00CD59CC" w:rsidRDefault="006B041D" w:rsidP="00CD59CC">
      <w:pPr>
        <w:tabs>
          <w:tab w:val="left" w:pos="567"/>
        </w:tabs>
        <w:ind w:left="567" w:hanging="567"/>
        <w:rPr>
          <w:rFonts w:ascii="Arial" w:hAnsi="Arial" w:cs="Arial"/>
        </w:rPr>
      </w:pPr>
      <w:r w:rsidRPr="00CD59CC">
        <w:rPr>
          <w:rFonts w:ascii="Arial" w:hAnsi="Arial" w:cs="Arial"/>
        </w:rPr>
        <w:t>2)</w:t>
      </w:r>
      <w:r w:rsidRPr="00CD59CC">
        <w:rPr>
          <w:rFonts w:ascii="Arial" w:hAnsi="Arial" w:cs="Arial"/>
        </w:rPr>
        <w:tab/>
        <w:t>The</w:t>
      </w:r>
      <w:r w:rsidR="007B7640" w:rsidRPr="00CD59CC">
        <w:rPr>
          <w:rFonts w:ascii="Arial" w:hAnsi="Arial" w:cs="Arial"/>
        </w:rPr>
        <w:t xml:space="preserve"> </w:t>
      </w:r>
      <w:r w:rsidRPr="00CD59CC">
        <w:rPr>
          <w:rFonts w:ascii="Arial" w:hAnsi="Arial" w:cs="Arial"/>
        </w:rPr>
        <w:t>limitation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accordance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must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obvious</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name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establishment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circumstances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service;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done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manner</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humiliating</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defamatory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individuals</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belong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particular</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furthermore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must</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provide</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opportunity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abuse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right.</w:t>
      </w:r>
    </w:p>
    <w:p w14:paraId="7FC7F3C3" w14:textId="77777777" w:rsidR="006B041D" w:rsidRPr="00CD59CC" w:rsidRDefault="006B041D" w:rsidP="00CD59CC">
      <w:pPr>
        <w:rPr>
          <w:rFonts w:ascii="Arial" w:hAnsi="Arial" w:cs="Arial"/>
        </w:rPr>
      </w:pPr>
    </w:p>
    <w:p w14:paraId="34DF7328" w14:textId="50F7FB97" w:rsidR="006B041D" w:rsidRPr="00CD59CC" w:rsidRDefault="006B041D" w:rsidP="00CD59CC">
      <w:pPr>
        <w:rPr>
          <w:rFonts w:ascii="Arial" w:hAnsi="Arial" w:cs="Arial"/>
          <w:i/>
        </w:rPr>
      </w:pPr>
      <w:r w:rsidRPr="00CD59CC">
        <w:rPr>
          <w:rFonts w:ascii="Arial" w:hAnsi="Arial" w:cs="Arial"/>
          <w:i/>
        </w:rPr>
        <w:t>Article</w:t>
      </w:r>
      <w:r w:rsidR="007B7640" w:rsidRPr="00CD59CC">
        <w:rPr>
          <w:rFonts w:ascii="Arial" w:hAnsi="Arial" w:cs="Arial"/>
          <w:i/>
        </w:rPr>
        <w:t xml:space="preserve"> </w:t>
      </w:r>
      <w:r w:rsidRPr="00CD59CC">
        <w:rPr>
          <w:rFonts w:ascii="Arial" w:hAnsi="Arial" w:cs="Arial"/>
          <w:i/>
        </w:rPr>
        <w:t>30/A</w:t>
      </w:r>
    </w:p>
    <w:p w14:paraId="7B518DFC" w14:textId="77777777" w:rsidR="006B041D" w:rsidRPr="00CD59CC" w:rsidRDefault="006B041D" w:rsidP="00CD59CC">
      <w:pPr>
        <w:rPr>
          <w:rFonts w:ascii="Arial" w:hAnsi="Arial" w:cs="Arial"/>
          <w:i/>
        </w:rPr>
      </w:pPr>
    </w:p>
    <w:p w14:paraId="02C0EF31" w14:textId="77777777" w:rsidR="006B041D" w:rsidRPr="00CD59CC" w:rsidRDefault="006B041D" w:rsidP="007B4138">
      <w:pPr>
        <w:numPr>
          <w:ilvl w:val="0"/>
          <w:numId w:val="44"/>
        </w:numPr>
        <w:tabs>
          <w:tab w:val="left" w:pos="567"/>
        </w:tabs>
        <w:ind w:left="567" w:hanging="567"/>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insurance</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insurance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exception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life-,</w:t>
      </w:r>
      <w:r w:rsidR="007B7640" w:rsidRPr="00CD59CC">
        <w:rPr>
          <w:rFonts w:ascii="Arial" w:hAnsi="Arial" w:cs="Arial"/>
        </w:rPr>
        <w:t xml:space="preserve"> </w:t>
      </w:r>
      <w:r w:rsidRPr="00CD59CC">
        <w:rPr>
          <w:rFonts w:ascii="Arial" w:hAnsi="Arial" w:cs="Arial"/>
        </w:rPr>
        <w:t>casualty-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insurances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unless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pertaining</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stipulate</w:t>
      </w:r>
      <w:r w:rsidR="007B7640" w:rsidRPr="00CD59CC">
        <w:rPr>
          <w:rFonts w:ascii="Arial" w:hAnsi="Arial" w:cs="Arial"/>
        </w:rPr>
        <w:t xml:space="preserve"> </w:t>
      </w:r>
      <w:r w:rsidRPr="00CD59CC">
        <w:rPr>
          <w:rFonts w:ascii="Arial" w:hAnsi="Arial" w:cs="Arial"/>
        </w:rPr>
        <w:t>otherwise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differentiation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gender</w:t>
      </w:r>
      <w:r w:rsidR="007B7640" w:rsidRPr="00CD59CC">
        <w:rPr>
          <w:rFonts w:ascii="Arial" w:hAnsi="Arial" w:cs="Arial"/>
        </w:rPr>
        <w:t xml:space="preserve"> </w:t>
      </w:r>
      <w:r w:rsidRPr="00CD59CC">
        <w:rPr>
          <w:rFonts w:ascii="Arial" w:hAnsi="Arial" w:cs="Arial"/>
        </w:rPr>
        <w:t>infringes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service</w:t>
      </w:r>
      <w:r w:rsidR="007B7640" w:rsidRPr="00CD59CC">
        <w:rPr>
          <w:rFonts w:ascii="Arial" w:hAnsi="Arial" w:cs="Arial"/>
        </w:rPr>
        <w:t xml:space="preserve"> </w:t>
      </w:r>
      <w:r w:rsidRPr="00CD59CC">
        <w:rPr>
          <w:rFonts w:ascii="Arial" w:hAnsi="Arial" w:cs="Arial"/>
        </w:rPr>
        <w:t>provider’s</w:t>
      </w:r>
      <w:r w:rsidR="007B7640" w:rsidRPr="00CD59CC">
        <w:rPr>
          <w:rFonts w:ascii="Arial" w:hAnsi="Arial" w:cs="Arial"/>
        </w:rPr>
        <w:t xml:space="preserve"> </w:t>
      </w:r>
      <w:r w:rsidRPr="00CD59CC">
        <w:rPr>
          <w:rFonts w:ascii="Arial" w:hAnsi="Arial" w:cs="Arial"/>
        </w:rPr>
        <w:t>measure</w:t>
      </w:r>
      <w:r w:rsidR="007B7640" w:rsidRPr="00CD59CC">
        <w:rPr>
          <w:rFonts w:ascii="Arial" w:hAnsi="Arial" w:cs="Arial"/>
        </w:rPr>
        <w:t xml:space="preserve"> </w:t>
      </w:r>
      <w:r w:rsidRPr="00CD59CC">
        <w:rPr>
          <w:rFonts w:ascii="Arial" w:hAnsi="Arial" w:cs="Arial"/>
        </w:rPr>
        <w:t>results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gender</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indirect</w:t>
      </w:r>
      <w:r w:rsidR="007B7640" w:rsidRPr="00CD59CC">
        <w:rPr>
          <w:rFonts w:ascii="Arial" w:hAnsi="Arial" w:cs="Arial"/>
        </w:rPr>
        <w:t xml:space="preserve"> </w:t>
      </w:r>
      <w:r w:rsidRPr="00CD59CC">
        <w:rPr>
          <w:rFonts w:ascii="Arial" w:hAnsi="Arial" w:cs="Arial"/>
        </w:rPr>
        <w:t>differentiation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fees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paid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individuals.</w:t>
      </w:r>
      <w:r w:rsidR="007B7640" w:rsidRPr="00CD59CC">
        <w:rPr>
          <w:rFonts w:ascii="Arial" w:hAnsi="Arial" w:cs="Arial"/>
        </w:rPr>
        <w:t xml:space="preserve"> </w:t>
      </w:r>
    </w:p>
    <w:p w14:paraId="3EA4DAFB" w14:textId="77777777" w:rsidR="006B041D" w:rsidRPr="00CD59CC" w:rsidRDefault="006B041D" w:rsidP="007B4138">
      <w:pPr>
        <w:numPr>
          <w:ilvl w:val="0"/>
          <w:numId w:val="44"/>
        </w:numPr>
        <w:tabs>
          <w:tab w:val="left" w:pos="567"/>
        </w:tabs>
        <w:ind w:left="567" w:hanging="567"/>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referred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costs</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pregnancy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maternity</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lead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differences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fees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paid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individuals.</w:t>
      </w:r>
    </w:p>
    <w:p w14:paraId="03406170" w14:textId="77777777" w:rsidR="002B5BCD" w:rsidRPr="00CD59CC" w:rsidRDefault="002B5BCD" w:rsidP="00CD59CC">
      <w:pPr>
        <w:numPr>
          <w:ilvl w:val="0"/>
          <w:numId w:val="4"/>
        </w:numPr>
        <w:ind w:left="567" w:hanging="567"/>
        <w:rPr>
          <w:rFonts w:ascii="Arial" w:hAnsi="Arial" w:cs="Arial"/>
          <w:i/>
        </w:rPr>
      </w:pPr>
      <w:r w:rsidRPr="00CD59CC">
        <w:rPr>
          <w:rFonts w:ascii="Arial" w:hAnsi="Arial" w:cs="Arial"/>
          <w:i/>
        </w:rPr>
        <w:t>In</w:t>
      </w:r>
      <w:r w:rsidR="007B7640" w:rsidRPr="00CD59CC">
        <w:rPr>
          <w:rFonts w:ascii="Arial" w:hAnsi="Arial" w:cs="Arial"/>
          <w:i/>
        </w:rPr>
        <w:t xml:space="preserve"> </w:t>
      </w:r>
      <w:r w:rsidRPr="00CD59CC">
        <w:rPr>
          <w:rFonts w:ascii="Arial" w:hAnsi="Arial" w:cs="Arial"/>
          <w:i/>
        </w:rPr>
        <w:t>relation</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age</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if</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definition</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based</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‘less</w:t>
      </w:r>
      <w:r w:rsidR="007B7640" w:rsidRPr="00CD59CC">
        <w:rPr>
          <w:rFonts w:ascii="Arial" w:hAnsi="Arial" w:cs="Arial"/>
          <w:i/>
        </w:rPr>
        <w:t xml:space="preserve"> </w:t>
      </w:r>
      <w:r w:rsidRPr="00CD59CC">
        <w:rPr>
          <w:rFonts w:ascii="Arial" w:hAnsi="Arial" w:cs="Arial"/>
          <w:i/>
        </w:rPr>
        <w:t>favourable</w:t>
      </w:r>
      <w:r w:rsidR="007B7640" w:rsidRPr="00CD59CC">
        <w:rPr>
          <w:rFonts w:ascii="Arial" w:hAnsi="Arial" w:cs="Arial"/>
          <w:i/>
        </w:rPr>
        <w:t xml:space="preserve"> </w:t>
      </w:r>
      <w:r w:rsidRPr="00CD59CC">
        <w:rPr>
          <w:rFonts w:ascii="Arial" w:hAnsi="Arial" w:cs="Arial"/>
          <w:i/>
        </w:rPr>
        <w:t>treatment’</w:t>
      </w:r>
      <w:r w:rsidR="007B7640" w:rsidRPr="00CD59CC">
        <w:rPr>
          <w:rFonts w:ascii="Arial" w:hAnsi="Arial" w:cs="Arial"/>
          <w:i/>
        </w:rPr>
        <w:t xml:space="preserve"> </w:t>
      </w:r>
      <w:r w:rsidRPr="00CD59CC">
        <w:rPr>
          <w:rFonts w:ascii="Arial" w:hAnsi="Arial" w:cs="Arial"/>
          <w:i/>
        </w:rPr>
        <w:t>does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specify</w:t>
      </w:r>
      <w:r w:rsidR="007B7640" w:rsidRPr="00CD59CC">
        <w:rPr>
          <w:rFonts w:ascii="Arial" w:hAnsi="Arial" w:cs="Arial"/>
          <w:i/>
        </w:rPr>
        <w:t xml:space="preserve"> </w:t>
      </w:r>
      <w:r w:rsidRPr="00CD59CC">
        <w:rPr>
          <w:rFonts w:ascii="Arial" w:hAnsi="Arial" w:cs="Arial"/>
          <w:i/>
        </w:rPr>
        <w:t>how</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comparison</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made?</w:t>
      </w:r>
    </w:p>
    <w:p w14:paraId="57E6BA5C" w14:textId="77777777" w:rsidR="002B5BCD" w:rsidRPr="00CD59CC" w:rsidRDefault="002B5BCD" w:rsidP="00BB4E9F">
      <w:pPr>
        <w:pStyle w:val="ListParagraph"/>
        <w:rPr>
          <w:rFonts w:ascii="Arial" w:hAnsi="Arial" w:cs="Arial"/>
          <w:i/>
        </w:rPr>
      </w:pPr>
    </w:p>
    <w:p w14:paraId="49884FDD" w14:textId="77777777" w:rsidR="006B041D" w:rsidRPr="00CD59CC" w:rsidRDefault="006B041D"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contain</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nor</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specify</w:t>
      </w:r>
      <w:r w:rsidR="007B7640" w:rsidRPr="00CD59CC">
        <w:rPr>
          <w:rFonts w:ascii="Arial" w:hAnsi="Arial" w:cs="Arial"/>
        </w:rPr>
        <w:t xml:space="preserve"> </w:t>
      </w:r>
      <w:r w:rsidRPr="00CD59CC">
        <w:rPr>
          <w:rFonts w:ascii="Arial" w:hAnsi="Arial" w:cs="Arial"/>
        </w:rPr>
        <w:t>how</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comparison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made.</w:t>
      </w:r>
    </w:p>
    <w:p w14:paraId="0D6CA61B" w14:textId="77777777" w:rsidR="002B5BCD" w:rsidRPr="00CD59CC" w:rsidRDefault="002B5BCD" w:rsidP="00CD59CC">
      <w:pPr>
        <w:rPr>
          <w:rFonts w:ascii="Arial" w:hAnsi="Arial" w:cs="Arial"/>
          <w:i/>
        </w:rPr>
      </w:pPr>
    </w:p>
    <w:p w14:paraId="29B945DA" w14:textId="77777777" w:rsidR="00532AB1" w:rsidRDefault="00532AB1">
      <w:pPr>
        <w:rPr>
          <w:rFonts w:ascii="Arial" w:hAnsi="Arial" w:cs="Arial"/>
          <w:b/>
          <w:bCs/>
        </w:rPr>
      </w:pPr>
      <w:bookmarkStart w:id="54" w:name="_Toc220221138"/>
      <w:bookmarkStart w:id="55" w:name="_Toc392758709"/>
      <w:bookmarkStart w:id="56" w:name="_Toc329163600"/>
      <w:bookmarkStart w:id="57" w:name="_Toc366846318"/>
      <w:r>
        <w:rPr>
          <w:rFonts w:cs="Arial"/>
        </w:rPr>
        <w:br w:type="page"/>
      </w:r>
    </w:p>
    <w:p w14:paraId="1C2D24F7" w14:textId="547BBAC7" w:rsidR="002B5BCD" w:rsidRPr="00CD59CC" w:rsidRDefault="002B5BCD" w:rsidP="00CD59CC">
      <w:pPr>
        <w:pStyle w:val="Heading3"/>
        <w:rPr>
          <w:rFonts w:cs="Arial"/>
        </w:rPr>
      </w:pPr>
      <w:r w:rsidRPr="00CD59CC">
        <w:rPr>
          <w:rFonts w:cs="Arial"/>
        </w:rPr>
        <w:lastRenderedPageBreak/>
        <w:t>Situation</w:t>
      </w:r>
      <w:r w:rsidR="007B7640" w:rsidRPr="00CD59CC">
        <w:rPr>
          <w:rFonts w:cs="Arial"/>
        </w:rPr>
        <w:t xml:space="preserve"> </w:t>
      </w:r>
      <w:r w:rsidRPr="00CD59CC">
        <w:rPr>
          <w:rFonts w:cs="Arial"/>
        </w:rPr>
        <w:t>Testing</w:t>
      </w:r>
      <w:bookmarkEnd w:id="54"/>
      <w:bookmarkEnd w:id="55"/>
      <w:bookmarkEnd w:id="56"/>
      <w:bookmarkEnd w:id="57"/>
    </w:p>
    <w:p w14:paraId="0AEFD254" w14:textId="77777777" w:rsidR="002B5BCD" w:rsidRPr="00CD59CC" w:rsidRDefault="002B5BCD" w:rsidP="00CD59CC">
      <w:pPr>
        <w:rPr>
          <w:rFonts w:ascii="Arial" w:hAnsi="Arial" w:cs="Arial"/>
          <w:b/>
        </w:rPr>
      </w:pPr>
    </w:p>
    <w:p w14:paraId="2D6495A4" w14:textId="77777777" w:rsidR="002B5BCD" w:rsidRPr="00CD59CC" w:rsidRDefault="002B5BCD" w:rsidP="00CD59CC">
      <w:pPr>
        <w:numPr>
          <w:ilvl w:val="0"/>
          <w:numId w:val="5"/>
        </w:numPr>
        <w:ind w:left="567" w:hanging="567"/>
        <w:rPr>
          <w:rFonts w:ascii="Arial" w:hAnsi="Arial" w:cs="Arial"/>
          <w:bCs/>
          <w:i/>
          <w:iCs/>
        </w:rPr>
      </w:pPr>
      <w:r w:rsidRPr="00CD59CC">
        <w:rPr>
          <w:rFonts w:ascii="Arial" w:hAnsi="Arial" w:cs="Arial"/>
          <w:bCs/>
          <w:i/>
          <w:iCs/>
        </w:rPr>
        <w:t>Does</w:t>
      </w:r>
      <w:r w:rsidR="007B7640" w:rsidRPr="00CD59CC">
        <w:rPr>
          <w:rFonts w:ascii="Arial" w:hAnsi="Arial" w:cs="Arial"/>
          <w:bCs/>
          <w:i/>
          <w:iCs/>
        </w:rPr>
        <w:t xml:space="preserve"> </w:t>
      </w:r>
      <w:r w:rsidRPr="00CD59CC">
        <w:rPr>
          <w:rFonts w:ascii="Arial" w:hAnsi="Arial" w:cs="Arial"/>
          <w:bCs/>
          <w:i/>
          <w:iCs/>
        </w:rPr>
        <w:t>national</w:t>
      </w:r>
      <w:r w:rsidR="007B7640" w:rsidRPr="00CD59CC">
        <w:rPr>
          <w:rFonts w:ascii="Arial" w:hAnsi="Arial" w:cs="Arial"/>
          <w:bCs/>
          <w:i/>
          <w:iCs/>
        </w:rPr>
        <w:t xml:space="preserve"> </w:t>
      </w:r>
      <w:r w:rsidRPr="00CD59CC">
        <w:rPr>
          <w:rFonts w:ascii="Arial" w:hAnsi="Arial" w:cs="Arial"/>
          <w:bCs/>
          <w:i/>
          <w:iCs/>
        </w:rPr>
        <w:t>law</w:t>
      </w:r>
      <w:r w:rsidR="007B7640" w:rsidRPr="00CD59CC">
        <w:rPr>
          <w:rFonts w:ascii="Arial" w:hAnsi="Arial" w:cs="Arial"/>
          <w:bCs/>
          <w:i/>
          <w:iCs/>
        </w:rPr>
        <w:t xml:space="preserve"> </w:t>
      </w:r>
      <w:r w:rsidRPr="00CD59CC">
        <w:rPr>
          <w:rFonts w:ascii="Arial" w:hAnsi="Arial" w:cs="Arial"/>
          <w:bCs/>
          <w:i/>
          <w:iCs/>
        </w:rPr>
        <w:t>clearly</w:t>
      </w:r>
      <w:r w:rsidR="007B7640" w:rsidRPr="00CD59CC">
        <w:rPr>
          <w:rFonts w:ascii="Arial" w:hAnsi="Arial" w:cs="Arial"/>
          <w:bCs/>
          <w:i/>
          <w:iCs/>
        </w:rPr>
        <w:t xml:space="preserve"> </w:t>
      </w:r>
      <w:r w:rsidRPr="00CD59CC">
        <w:rPr>
          <w:rFonts w:ascii="Arial" w:hAnsi="Arial" w:cs="Arial"/>
          <w:bCs/>
          <w:i/>
          <w:iCs/>
        </w:rPr>
        <w:t>permit</w:t>
      </w:r>
      <w:r w:rsidR="007B7640" w:rsidRPr="00CD59CC">
        <w:rPr>
          <w:rFonts w:ascii="Arial" w:hAnsi="Arial" w:cs="Arial"/>
          <w:bCs/>
          <w:i/>
          <w:iCs/>
        </w:rPr>
        <w:t xml:space="preserve"> </w:t>
      </w:r>
      <w:r w:rsidRPr="00CD59CC">
        <w:rPr>
          <w:rFonts w:ascii="Arial" w:hAnsi="Arial" w:cs="Arial"/>
          <w:bCs/>
          <w:i/>
          <w:iCs/>
        </w:rPr>
        <w:t>or</w:t>
      </w:r>
      <w:r w:rsidR="007B7640" w:rsidRPr="00CD59CC">
        <w:rPr>
          <w:rFonts w:ascii="Arial" w:hAnsi="Arial" w:cs="Arial"/>
          <w:bCs/>
          <w:i/>
          <w:iCs/>
        </w:rPr>
        <w:t xml:space="preserve"> </w:t>
      </w:r>
      <w:r w:rsidRPr="00CD59CC">
        <w:rPr>
          <w:rFonts w:ascii="Arial" w:hAnsi="Arial" w:cs="Arial"/>
          <w:bCs/>
          <w:i/>
          <w:iCs/>
        </w:rPr>
        <w:t>prohibit</w:t>
      </w:r>
      <w:r w:rsidR="007B7640" w:rsidRPr="00CD59CC">
        <w:rPr>
          <w:rFonts w:ascii="Arial" w:hAnsi="Arial" w:cs="Arial"/>
          <w:bCs/>
          <w:i/>
          <w:iCs/>
        </w:rPr>
        <w:t xml:space="preserve"> </w:t>
      </w:r>
      <w:r w:rsidRPr="00CD59CC">
        <w:rPr>
          <w:rFonts w:ascii="Arial" w:hAnsi="Arial" w:cs="Arial"/>
          <w:bCs/>
          <w:i/>
          <w:iCs/>
        </w:rPr>
        <w:t>the</w:t>
      </w:r>
      <w:r w:rsidR="007B7640" w:rsidRPr="00CD59CC">
        <w:rPr>
          <w:rFonts w:ascii="Arial" w:hAnsi="Arial" w:cs="Arial"/>
          <w:bCs/>
          <w:i/>
          <w:iCs/>
        </w:rPr>
        <w:t xml:space="preserve"> </w:t>
      </w:r>
      <w:r w:rsidRPr="00CD59CC">
        <w:rPr>
          <w:rFonts w:ascii="Arial" w:hAnsi="Arial" w:cs="Arial"/>
          <w:bCs/>
          <w:i/>
          <w:iCs/>
        </w:rPr>
        <w:t>use</w:t>
      </w:r>
      <w:r w:rsidR="007B7640" w:rsidRPr="00CD59CC">
        <w:rPr>
          <w:rFonts w:ascii="Arial" w:hAnsi="Arial" w:cs="Arial"/>
          <w:bCs/>
          <w:i/>
          <w:iCs/>
        </w:rPr>
        <w:t xml:space="preserve"> </w:t>
      </w:r>
      <w:r w:rsidRPr="00CD59CC">
        <w:rPr>
          <w:rFonts w:ascii="Arial" w:hAnsi="Arial" w:cs="Arial"/>
          <w:bCs/>
          <w:i/>
          <w:iCs/>
        </w:rPr>
        <w:t>of</w:t>
      </w:r>
      <w:r w:rsidR="007B7640" w:rsidRPr="00CD59CC">
        <w:rPr>
          <w:rFonts w:ascii="Arial" w:hAnsi="Arial" w:cs="Arial"/>
          <w:bCs/>
          <w:i/>
          <w:iCs/>
        </w:rPr>
        <w:t xml:space="preserve"> </w:t>
      </w:r>
      <w:r w:rsidRPr="00CD59CC">
        <w:rPr>
          <w:rFonts w:ascii="Arial" w:hAnsi="Arial" w:cs="Arial"/>
          <w:bCs/>
          <w:i/>
          <w:iCs/>
        </w:rPr>
        <w:t>‘situation</w:t>
      </w:r>
      <w:r w:rsidR="007B7640" w:rsidRPr="00CD59CC">
        <w:rPr>
          <w:rFonts w:ascii="Arial" w:hAnsi="Arial" w:cs="Arial"/>
          <w:bCs/>
          <w:i/>
          <w:iCs/>
        </w:rPr>
        <w:t xml:space="preserve"> </w:t>
      </w:r>
      <w:r w:rsidRPr="00CD59CC">
        <w:rPr>
          <w:rFonts w:ascii="Arial" w:hAnsi="Arial" w:cs="Arial"/>
          <w:bCs/>
          <w:i/>
          <w:iCs/>
        </w:rPr>
        <w:t>testing’?</w:t>
      </w:r>
      <w:r w:rsidR="007B7640" w:rsidRPr="00CD59CC">
        <w:rPr>
          <w:rFonts w:ascii="Arial" w:hAnsi="Arial" w:cs="Arial"/>
          <w:bCs/>
          <w:i/>
          <w:iCs/>
        </w:rPr>
        <w:t xml:space="preserve"> </w:t>
      </w:r>
      <w:r w:rsidRPr="00CD59CC">
        <w:rPr>
          <w:rFonts w:ascii="Arial" w:hAnsi="Arial" w:cs="Arial"/>
          <w:bCs/>
          <w:i/>
          <w:iCs/>
        </w:rPr>
        <w:t>If</w:t>
      </w:r>
      <w:r w:rsidR="007B7640" w:rsidRPr="00CD59CC">
        <w:rPr>
          <w:rFonts w:ascii="Arial" w:hAnsi="Arial" w:cs="Arial"/>
          <w:bCs/>
          <w:i/>
          <w:iCs/>
        </w:rPr>
        <w:t xml:space="preserve"> </w:t>
      </w:r>
      <w:r w:rsidRPr="00CD59CC">
        <w:rPr>
          <w:rFonts w:ascii="Arial" w:hAnsi="Arial" w:cs="Arial"/>
          <w:bCs/>
          <w:i/>
          <w:iCs/>
        </w:rPr>
        <w:t>so,</w:t>
      </w:r>
      <w:r w:rsidR="007B7640" w:rsidRPr="00CD59CC">
        <w:rPr>
          <w:rFonts w:ascii="Arial" w:hAnsi="Arial" w:cs="Arial"/>
          <w:bCs/>
          <w:i/>
          <w:iCs/>
        </w:rPr>
        <w:t xml:space="preserve"> </w:t>
      </w:r>
      <w:r w:rsidRPr="00CD59CC">
        <w:rPr>
          <w:rFonts w:ascii="Arial" w:hAnsi="Arial" w:cs="Arial"/>
          <w:bCs/>
          <w:i/>
          <w:iCs/>
        </w:rPr>
        <w:t>how</w:t>
      </w:r>
      <w:r w:rsidR="007B7640" w:rsidRPr="00CD59CC">
        <w:rPr>
          <w:rFonts w:ascii="Arial" w:hAnsi="Arial" w:cs="Arial"/>
          <w:bCs/>
          <w:i/>
          <w:iCs/>
        </w:rPr>
        <w:t xml:space="preserve"> </w:t>
      </w:r>
      <w:r w:rsidRPr="00CD59CC">
        <w:rPr>
          <w:rFonts w:ascii="Arial" w:hAnsi="Arial" w:cs="Arial"/>
          <w:bCs/>
          <w:i/>
          <w:iCs/>
        </w:rPr>
        <w:t>is</w:t>
      </w:r>
      <w:r w:rsidR="007B7640" w:rsidRPr="00CD59CC">
        <w:rPr>
          <w:rFonts w:ascii="Arial" w:hAnsi="Arial" w:cs="Arial"/>
          <w:bCs/>
          <w:i/>
          <w:iCs/>
        </w:rPr>
        <w:t xml:space="preserve"> </w:t>
      </w:r>
      <w:r w:rsidRPr="00CD59CC">
        <w:rPr>
          <w:rFonts w:ascii="Arial" w:hAnsi="Arial" w:cs="Arial"/>
          <w:bCs/>
          <w:i/>
          <w:iCs/>
        </w:rPr>
        <w:t>this</w:t>
      </w:r>
      <w:r w:rsidR="007B7640" w:rsidRPr="00CD59CC">
        <w:rPr>
          <w:rFonts w:ascii="Arial" w:hAnsi="Arial" w:cs="Arial"/>
          <w:bCs/>
          <w:i/>
          <w:iCs/>
        </w:rPr>
        <w:t xml:space="preserve"> </w:t>
      </w:r>
      <w:r w:rsidRPr="00CD59CC">
        <w:rPr>
          <w:rFonts w:ascii="Arial" w:hAnsi="Arial" w:cs="Arial"/>
          <w:bCs/>
          <w:i/>
          <w:iCs/>
        </w:rPr>
        <w:t>defined</w:t>
      </w:r>
      <w:r w:rsidR="007B7640" w:rsidRPr="00CD59CC">
        <w:rPr>
          <w:rFonts w:ascii="Arial" w:hAnsi="Arial" w:cs="Arial"/>
          <w:bCs/>
          <w:i/>
          <w:iCs/>
        </w:rPr>
        <w:t xml:space="preserve"> </w:t>
      </w:r>
      <w:r w:rsidRPr="00CD59CC">
        <w:rPr>
          <w:rFonts w:ascii="Arial" w:hAnsi="Arial" w:cs="Arial"/>
          <w:bCs/>
          <w:i/>
          <w:iCs/>
        </w:rPr>
        <w:t>and</w:t>
      </w:r>
      <w:r w:rsidR="007B7640" w:rsidRPr="00CD59CC">
        <w:rPr>
          <w:rFonts w:ascii="Arial" w:hAnsi="Arial" w:cs="Arial"/>
          <w:bCs/>
          <w:i/>
          <w:iCs/>
        </w:rPr>
        <w:t xml:space="preserve"> </w:t>
      </w:r>
      <w:r w:rsidRPr="00CD59CC">
        <w:rPr>
          <w:rFonts w:ascii="Arial" w:hAnsi="Arial" w:cs="Arial"/>
          <w:bCs/>
          <w:i/>
          <w:iCs/>
        </w:rPr>
        <w:t>what</w:t>
      </w:r>
      <w:r w:rsidR="007B7640" w:rsidRPr="00CD59CC">
        <w:rPr>
          <w:rFonts w:ascii="Arial" w:hAnsi="Arial" w:cs="Arial"/>
          <w:bCs/>
          <w:i/>
          <w:iCs/>
        </w:rPr>
        <w:t xml:space="preserve"> </w:t>
      </w:r>
      <w:r w:rsidRPr="00CD59CC">
        <w:rPr>
          <w:rFonts w:ascii="Arial" w:hAnsi="Arial" w:cs="Arial"/>
          <w:bCs/>
          <w:i/>
          <w:iCs/>
        </w:rPr>
        <w:t>are</w:t>
      </w:r>
      <w:r w:rsidR="007B7640" w:rsidRPr="00CD59CC">
        <w:rPr>
          <w:rFonts w:ascii="Arial" w:hAnsi="Arial" w:cs="Arial"/>
          <w:bCs/>
          <w:i/>
          <w:iCs/>
        </w:rPr>
        <w:t xml:space="preserve"> </w:t>
      </w:r>
      <w:r w:rsidRPr="00CD59CC">
        <w:rPr>
          <w:rFonts w:ascii="Arial" w:hAnsi="Arial" w:cs="Arial"/>
          <w:bCs/>
          <w:i/>
          <w:iCs/>
        </w:rPr>
        <w:t>the</w:t>
      </w:r>
      <w:r w:rsidR="007B7640" w:rsidRPr="00CD59CC">
        <w:rPr>
          <w:rFonts w:ascii="Arial" w:hAnsi="Arial" w:cs="Arial"/>
          <w:bCs/>
          <w:i/>
          <w:iCs/>
        </w:rPr>
        <w:t xml:space="preserve"> </w:t>
      </w:r>
      <w:r w:rsidRPr="00CD59CC">
        <w:rPr>
          <w:rFonts w:ascii="Arial" w:hAnsi="Arial" w:cs="Arial"/>
          <w:bCs/>
          <w:i/>
          <w:iCs/>
        </w:rPr>
        <w:t>procedural</w:t>
      </w:r>
      <w:r w:rsidR="007B7640" w:rsidRPr="00CD59CC">
        <w:rPr>
          <w:rFonts w:ascii="Arial" w:hAnsi="Arial" w:cs="Arial"/>
          <w:bCs/>
          <w:i/>
          <w:iCs/>
        </w:rPr>
        <w:t xml:space="preserve"> </w:t>
      </w:r>
      <w:r w:rsidRPr="00CD59CC">
        <w:rPr>
          <w:rFonts w:ascii="Arial" w:hAnsi="Arial" w:cs="Arial"/>
          <w:bCs/>
          <w:i/>
          <w:iCs/>
        </w:rPr>
        <w:t>conditions</w:t>
      </w:r>
      <w:r w:rsidR="007B7640" w:rsidRPr="00CD59CC">
        <w:rPr>
          <w:rFonts w:ascii="Arial" w:hAnsi="Arial" w:cs="Arial"/>
          <w:bCs/>
          <w:i/>
          <w:iCs/>
        </w:rPr>
        <w:t xml:space="preserve"> </w:t>
      </w:r>
      <w:r w:rsidRPr="00CD59CC">
        <w:rPr>
          <w:rFonts w:ascii="Arial" w:hAnsi="Arial" w:cs="Arial"/>
          <w:bCs/>
          <w:i/>
          <w:iCs/>
        </w:rPr>
        <w:t>for</w:t>
      </w:r>
      <w:r w:rsidR="007B7640" w:rsidRPr="00CD59CC">
        <w:rPr>
          <w:rFonts w:ascii="Arial" w:hAnsi="Arial" w:cs="Arial"/>
          <w:bCs/>
          <w:i/>
          <w:iCs/>
        </w:rPr>
        <w:t xml:space="preserve"> </w:t>
      </w:r>
      <w:r w:rsidRPr="00CD59CC">
        <w:rPr>
          <w:rFonts w:ascii="Arial" w:hAnsi="Arial" w:cs="Arial"/>
          <w:bCs/>
          <w:i/>
          <w:iCs/>
        </w:rPr>
        <w:t>admissibility</w:t>
      </w:r>
      <w:r w:rsidR="007B7640" w:rsidRPr="00CD59CC">
        <w:rPr>
          <w:rFonts w:ascii="Arial" w:hAnsi="Arial" w:cs="Arial"/>
          <w:bCs/>
          <w:i/>
          <w:iCs/>
        </w:rPr>
        <w:t xml:space="preserve"> </w:t>
      </w:r>
      <w:r w:rsidRPr="00CD59CC">
        <w:rPr>
          <w:rFonts w:ascii="Arial" w:hAnsi="Arial" w:cs="Arial"/>
          <w:bCs/>
          <w:i/>
          <w:iCs/>
        </w:rPr>
        <w:t>of</w:t>
      </w:r>
      <w:r w:rsidR="007B7640" w:rsidRPr="00CD59CC">
        <w:rPr>
          <w:rFonts w:ascii="Arial" w:hAnsi="Arial" w:cs="Arial"/>
          <w:bCs/>
          <w:i/>
          <w:iCs/>
        </w:rPr>
        <w:t xml:space="preserve"> </w:t>
      </w:r>
      <w:r w:rsidRPr="00CD59CC">
        <w:rPr>
          <w:rFonts w:ascii="Arial" w:hAnsi="Arial" w:cs="Arial"/>
          <w:bCs/>
          <w:i/>
          <w:iCs/>
        </w:rPr>
        <w:t>such</w:t>
      </w:r>
      <w:r w:rsidR="007B7640" w:rsidRPr="00CD59CC">
        <w:rPr>
          <w:rFonts w:ascii="Arial" w:hAnsi="Arial" w:cs="Arial"/>
          <w:bCs/>
          <w:i/>
          <w:iCs/>
        </w:rPr>
        <w:t xml:space="preserve"> </w:t>
      </w:r>
      <w:r w:rsidRPr="00CD59CC">
        <w:rPr>
          <w:rFonts w:ascii="Arial" w:hAnsi="Arial" w:cs="Arial"/>
          <w:bCs/>
          <w:i/>
          <w:iCs/>
        </w:rPr>
        <w:t>evidence</w:t>
      </w:r>
      <w:r w:rsidR="007B7640" w:rsidRPr="00CD59CC">
        <w:rPr>
          <w:rFonts w:ascii="Arial" w:hAnsi="Arial" w:cs="Arial"/>
          <w:bCs/>
          <w:i/>
          <w:iCs/>
        </w:rPr>
        <w:t xml:space="preserve"> </w:t>
      </w:r>
      <w:r w:rsidRPr="00CD59CC">
        <w:rPr>
          <w:rFonts w:ascii="Arial" w:hAnsi="Arial" w:cs="Arial"/>
          <w:bCs/>
          <w:i/>
          <w:iCs/>
        </w:rPr>
        <w:t>in</w:t>
      </w:r>
      <w:r w:rsidR="007B7640" w:rsidRPr="00CD59CC">
        <w:rPr>
          <w:rFonts w:ascii="Arial" w:hAnsi="Arial" w:cs="Arial"/>
          <w:bCs/>
          <w:i/>
          <w:iCs/>
        </w:rPr>
        <w:t xml:space="preserve"> </w:t>
      </w:r>
      <w:r w:rsidRPr="00CD59CC">
        <w:rPr>
          <w:rFonts w:ascii="Arial" w:hAnsi="Arial" w:cs="Arial"/>
          <w:bCs/>
          <w:i/>
          <w:iCs/>
        </w:rPr>
        <w:t>court?</w:t>
      </w:r>
      <w:r w:rsidR="007B7640" w:rsidRPr="00CD59CC">
        <w:rPr>
          <w:rFonts w:ascii="Arial" w:hAnsi="Arial" w:cs="Arial"/>
          <w:bCs/>
          <w:i/>
          <w:iCs/>
        </w:rPr>
        <w:t xml:space="preserve"> </w:t>
      </w:r>
      <w:r w:rsidRPr="00CD59CC">
        <w:rPr>
          <w:rFonts w:ascii="Arial" w:hAnsi="Arial" w:cs="Arial"/>
          <w:bCs/>
          <w:i/>
          <w:iCs/>
        </w:rPr>
        <w:t>For</w:t>
      </w:r>
      <w:r w:rsidR="007B7640" w:rsidRPr="00CD59CC">
        <w:rPr>
          <w:rFonts w:ascii="Arial" w:hAnsi="Arial" w:cs="Arial"/>
          <w:bCs/>
          <w:i/>
          <w:iCs/>
        </w:rPr>
        <w:t xml:space="preserve"> </w:t>
      </w:r>
      <w:r w:rsidRPr="00CD59CC">
        <w:rPr>
          <w:rFonts w:ascii="Arial" w:hAnsi="Arial" w:cs="Arial"/>
          <w:bCs/>
          <w:i/>
          <w:iCs/>
        </w:rPr>
        <w:t>what</w:t>
      </w:r>
      <w:r w:rsidR="007B7640" w:rsidRPr="00CD59CC">
        <w:rPr>
          <w:rFonts w:ascii="Arial" w:hAnsi="Arial" w:cs="Arial"/>
          <w:bCs/>
          <w:i/>
          <w:iCs/>
        </w:rPr>
        <w:t xml:space="preserve"> </w:t>
      </w:r>
      <w:r w:rsidRPr="00CD59CC">
        <w:rPr>
          <w:rFonts w:ascii="Arial" w:hAnsi="Arial" w:cs="Arial"/>
          <w:bCs/>
          <w:i/>
          <w:iCs/>
        </w:rPr>
        <w:t>discrimination</w:t>
      </w:r>
      <w:r w:rsidR="007B7640" w:rsidRPr="00CD59CC">
        <w:rPr>
          <w:rFonts w:ascii="Arial" w:hAnsi="Arial" w:cs="Arial"/>
          <w:bCs/>
          <w:i/>
          <w:iCs/>
        </w:rPr>
        <w:t xml:space="preserve"> </w:t>
      </w:r>
      <w:r w:rsidRPr="00CD59CC">
        <w:rPr>
          <w:rFonts w:ascii="Arial" w:hAnsi="Arial" w:cs="Arial"/>
          <w:bCs/>
          <w:i/>
          <w:iCs/>
        </w:rPr>
        <w:t>grounds</w:t>
      </w:r>
      <w:r w:rsidR="007B7640" w:rsidRPr="00CD59CC">
        <w:rPr>
          <w:rFonts w:ascii="Arial" w:hAnsi="Arial" w:cs="Arial"/>
          <w:bCs/>
          <w:i/>
          <w:iCs/>
        </w:rPr>
        <w:t xml:space="preserve"> </w:t>
      </w:r>
      <w:r w:rsidRPr="00CD59CC">
        <w:rPr>
          <w:rFonts w:ascii="Arial" w:hAnsi="Arial" w:cs="Arial"/>
          <w:bCs/>
          <w:i/>
          <w:iCs/>
        </w:rPr>
        <w:t>is</w:t>
      </w:r>
      <w:r w:rsidR="007B7640" w:rsidRPr="00CD59CC">
        <w:rPr>
          <w:rFonts w:ascii="Arial" w:hAnsi="Arial" w:cs="Arial"/>
          <w:bCs/>
          <w:i/>
          <w:iCs/>
        </w:rPr>
        <w:t xml:space="preserve"> </w:t>
      </w:r>
      <w:r w:rsidRPr="00CD59CC">
        <w:rPr>
          <w:rFonts w:ascii="Arial" w:hAnsi="Arial" w:cs="Arial"/>
          <w:bCs/>
          <w:i/>
          <w:iCs/>
        </w:rPr>
        <w:t>situation</w:t>
      </w:r>
      <w:r w:rsidR="007B7640" w:rsidRPr="00CD59CC">
        <w:rPr>
          <w:rFonts w:ascii="Arial" w:hAnsi="Arial" w:cs="Arial"/>
          <w:bCs/>
          <w:i/>
          <w:iCs/>
        </w:rPr>
        <w:t xml:space="preserve"> </w:t>
      </w:r>
      <w:r w:rsidRPr="00CD59CC">
        <w:rPr>
          <w:rFonts w:ascii="Arial" w:hAnsi="Arial" w:cs="Arial"/>
          <w:bCs/>
          <w:i/>
          <w:iCs/>
        </w:rPr>
        <w:t>testing</w:t>
      </w:r>
      <w:r w:rsidR="007B7640" w:rsidRPr="00CD59CC">
        <w:rPr>
          <w:rFonts w:ascii="Arial" w:hAnsi="Arial" w:cs="Arial"/>
          <w:bCs/>
          <w:i/>
          <w:iCs/>
        </w:rPr>
        <w:t xml:space="preserve"> </w:t>
      </w:r>
      <w:r w:rsidRPr="00CD59CC">
        <w:rPr>
          <w:rFonts w:ascii="Arial" w:hAnsi="Arial" w:cs="Arial"/>
          <w:bCs/>
          <w:i/>
          <w:iCs/>
        </w:rPr>
        <w:t>permitted?</w:t>
      </w:r>
      <w:r w:rsidR="007B7640" w:rsidRPr="00CD59CC">
        <w:rPr>
          <w:rFonts w:ascii="Arial" w:hAnsi="Arial" w:cs="Arial"/>
          <w:bCs/>
          <w:i/>
          <w:iCs/>
        </w:rPr>
        <w:t xml:space="preserve"> </w:t>
      </w:r>
      <w:r w:rsidRPr="00CD59CC">
        <w:rPr>
          <w:rFonts w:ascii="Arial" w:hAnsi="Arial" w:cs="Arial"/>
          <w:bCs/>
          <w:i/>
          <w:iCs/>
        </w:rPr>
        <w:t>If</w:t>
      </w:r>
      <w:r w:rsidR="007B7640" w:rsidRPr="00CD59CC">
        <w:rPr>
          <w:rFonts w:ascii="Arial" w:hAnsi="Arial" w:cs="Arial"/>
          <w:bCs/>
          <w:i/>
          <w:iCs/>
        </w:rPr>
        <w:t xml:space="preserve"> </w:t>
      </w:r>
      <w:r w:rsidRPr="00CD59CC">
        <w:rPr>
          <w:rFonts w:ascii="Arial" w:hAnsi="Arial" w:cs="Arial"/>
          <w:bCs/>
          <w:i/>
          <w:iCs/>
        </w:rPr>
        <w:t>not</w:t>
      </w:r>
      <w:r w:rsidR="007B7640" w:rsidRPr="00CD59CC">
        <w:rPr>
          <w:rFonts w:ascii="Arial" w:hAnsi="Arial" w:cs="Arial"/>
          <w:bCs/>
          <w:i/>
          <w:iCs/>
        </w:rPr>
        <w:t xml:space="preserve"> </w:t>
      </w:r>
      <w:r w:rsidRPr="00CD59CC">
        <w:rPr>
          <w:rFonts w:ascii="Arial" w:hAnsi="Arial" w:cs="Arial"/>
          <w:bCs/>
          <w:i/>
          <w:iCs/>
        </w:rPr>
        <w:t>all</w:t>
      </w:r>
      <w:r w:rsidR="007B7640" w:rsidRPr="00CD59CC">
        <w:rPr>
          <w:rFonts w:ascii="Arial" w:hAnsi="Arial" w:cs="Arial"/>
          <w:bCs/>
          <w:i/>
          <w:iCs/>
        </w:rPr>
        <w:t xml:space="preserve"> </w:t>
      </w:r>
      <w:r w:rsidRPr="00CD59CC">
        <w:rPr>
          <w:rFonts w:ascii="Arial" w:hAnsi="Arial" w:cs="Arial"/>
          <w:bCs/>
          <w:i/>
          <w:iCs/>
        </w:rPr>
        <w:t>grounds</w:t>
      </w:r>
      <w:r w:rsidR="007B7640" w:rsidRPr="00CD59CC">
        <w:rPr>
          <w:rFonts w:ascii="Arial" w:hAnsi="Arial" w:cs="Arial"/>
          <w:bCs/>
          <w:i/>
          <w:iCs/>
        </w:rPr>
        <w:t xml:space="preserve"> </w:t>
      </w:r>
      <w:r w:rsidRPr="00CD59CC">
        <w:rPr>
          <w:rFonts w:ascii="Arial" w:hAnsi="Arial" w:cs="Arial"/>
          <w:bCs/>
          <w:i/>
          <w:iCs/>
        </w:rPr>
        <w:t>are</w:t>
      </w:r>
      <w:r w:rsidR="007B7640" w:rsidRPr="00CD59CC">
        <w:rPr>
          <w:rFonts w:ascii="Arial" w:hAnsi="Arial" w:cs="Arial"/>
          <w:bCs/>
          <w:i/>
          <w:iCs/>
        </w:rPr>
        <w:t xml:space="preserve"> </w:t>
      </w:r>
      <w:r w:rsidRPr="00CD59CC">
        <w:rPr>
          <w:rFonts w:ascii="Arial" w:hAnsi="Arial" w:cs="Arial"/>
          <w:bCs/>
          <w:i/>
          <w:iCs/>
        </w:rPr>
        <w:t>included,</w:t>
      </w:r>
      <w:r w:rsidR="007B7640" w:rsidRPr="00CD59CC">
        <w:rPr>
          <w:rFonts w:ascii="Arial" w:hAnsi="Arial" w:cs="Arial"/>
          <w:bCs/>
          <w:i/>
          <w:iCs/>
        </w:rPr>
        <w:t xml:space="preserve"> </w:t>
      </w:r>
      <w:r w:rsidRPr="00CD59CC">
        <w:rPr>
          <w:rFonts w:ascii="Arial" w:hAnsi="Arial" w:cs="Arial"/>
          <w:bCs/>
          <w:i/>
          <w:iCs/>
        </w:rPr>
        <w:t>what</w:t>
      </w:r>
      <w:r w:rsidR="007B7640" w:rsidRPr="00CD59CC">
        <w:rPr>
          <w:rFonts w:ascii="Arial" w:hAnsi="Arial" w:cs="Arial"/>
          <w:bCs/>
          <w:i/>
          <w:iCs/>
        </w:rPr>
        <w:t xml:space="preserve"> </w:t>
      </w:r>
      <w:r w:rsidRPr="00CD59CC">
        <w:rPr>
          <w:rFonts w:ascii="Arial" w:hAnsi="Arial" w:cs="Arial"/>
          <w:bCs/>
          <w:i/>
          <w:iCs/>
        </w:rPr>
        <w:t>are</w:t>
      </w:r>
      <w:r w:rsidR="007B7640" w:rsidRPr="00CD59CC">
        <w:rPr>
          <w:rFonts w:ascii="Arial" w:hAnsi="Arial" w:cs="Arial"/>
          <w:bCs/>
          <w:i/>
          <w:iCs/>
        </w:rPr>
        <w:t xml:space="preserve"> </w:t>
      </w:r>
      <w:r w:rsidRPr="00CD59CC">
        <w:rPr>
          <w:rFonts w:ascii="Arial" w:hAnsi="Arial" w:cs="Arial"/>
          <w:bCs/>
          <w:i/>
          <w:iCs/>
        </w:rPr>
        <w:t>the</w:t>
      </w:r>
      <w:r w:rsidR="007B7640" w:rsidRPr="00CD59CC">
        <w:rPr>
          <w:rFonts w:ascii="Arial" w:hAnsi="Arial" w:cs="Arial"/>
          <w:bCs/>
          <w:i/>
          <w:iCs/>
        </w:rPr>
        <w:t xml:space="preserve"> </w:t>
      </w:r>
      <w:r w:rsidRPr="00CD59CC">
        <w:rPr>
          <w:rFonts w:ascii="Arial" w:hAnsi="Arial" w:cs="Arial"/>
          <w:bCs/>
          <w:i/>
          <w:iCs/>
        </w:rPr>
        <w:t>reasons</w:t>
      </w:r>
      <w:r w:rsidR="007B7640" w:rsidRPr="00CD59CC">
        <w:rPr>
          <w:rFonts w:ascii="Arial" w:hAnsi="Arial" w:cs="Arial"/>
          <w:bCs/>
          <w:i/>
          <w:iCs/>
        </w:rPr>
        <w:t xml:space="preserve"> </w:t>
      </w:r>
      <w:r w:rsidRPr="00CD59CC">
        <w:rPr>
          <w:rFonts w:ascii="Arial" w:hAnsi="Arial" w:cs="Arial"/>
          <w:bCs/>
          <w:i/>
          <w:iCs/>
        </w:rPr>
        <w:t>given</w:t>
      </w:r>
      <w:r w:rsidR="007B7640" w:rsidRPr="00CD59CC">
        <w:rPr>
          <w:rFonts w:ascii="Arial" w:hAnsi="Arial" w:cs="Arial"/>
          <w:bCs/>
          <w:i/>
          <w:iCs/>
        </w:rPr>
        <w:t xml:space="preserve"> </w:t>
      </w:r>
      <w:r w:rsidRPr="00CD59CC">
        <w:rPr>
          <w:rFonts w:ascii="Arial" w:hAnsi="Arial" w:cs="Arial"/>
          <w:bCs/>
          <w:i/>
          <w:iCs/>
        </w:rPr>
        <w:t>for</w:t>
      </w:r>
      <w:r w:rsidR="007B7640" w:rsidRPr="00CD59CC">
        <w:rPr>
          <w:rFonts w:ascii="Arial" w:hAnsi="Arial" w:cs="Arial"/>
          <w:bCs/>
          <w:i/>
          <w:iCs/>
        </w:rPr>
        <w:t xml:space="preserve"> </w:t>
      </w:r>
      <w:r w:rsidRPr="00CD59CC">
        <w:rPr>
          <w:rFonts w:ascii="Arial" w:hAnsi="Arial" w:cs="Arial"/>
          <w:bCs/>
          <w:i/>
          <w:iCs/>
        </w:rPr>
        <w:t>this</w:t>
      </w:r>
      <w:r w:rsidR="007B7640" w:rsidRPr="00CD59CC">
        <w:rPr>
          <w:rFonts w:ascii="Arial" w:hAnsi="Arial" w:cs="Arial"/>
          <w:bCs/>
          <w:i/>
          <w:iCs/>
        </w:rPr>
        <w:t xml:space="preserve"> </w:t>
      </w:r>
      <w:r w:rsidRPr="00CD59CC">
        <w:rPr>
          <w:rFonts w:ascii="Arial" w:hAnsi="Arial" w:cs="Arial"/>
          <w:bCs/>
          <w:i/>
          <w:iCs/>
        </w:rPr>
        <w:t>limitation?</w:t>
      </w:r>
      <w:r w:rsidR="007B7640" w:rsidRPr="00CD59CC">
        <w:rPr>
          <w:rFonts w:ascii="Arial" w:hAnsi="Arial" w:cs="Arial"/>
          <w:bCs/>
          <w:i/>
          <w:iCs/>
        </w:rPr>
        <w:t xml:space="preserve"> </w:t>
      </w:r>
      <w:r w:rsidRPr="00CD59CC">
        <w:rPr>
          <w:rFonts w:ascii="Arial" w:hAnsi="Arial" w:cs="Arial"/>
          <w:bCs/>
          <w:i/>
          <w:iCs/>
        </w:rPr>
        <w:t>If</w:t>
      </w:r>
      <w:r w:rsidR="007B7640" w:rsidRPr="00CD59CC">
        <w:rPr>
          <w:rFonts w:ascii="Arial" w:hAnsi="Arial" w:cs="Arial"/>
          <w:bCs/>
          <w:i/>
          <w:iCs/>
        </w:rPr>
        <w:t xml:space="preserve"> </w:t>
      </w:r>
      <w:r w:rsidRPr="00CD59CC">
        <w:rPr>
          <w:rFonts w:ascii="Arial" w:hAnsi="Arial" w:cs="Arial"/>
          <w:bCs/>
          <w:i/>
          <w:iCs/>
        </w:rPr>
        <w:t>the</w:t>
      </w:r>
      <w:r w:rsidR="007B7640" w:rsidRPr="00CD59CC">
        <w:rPr>
          <w:rFonts w:ascii="Arial" w:hAnsi="Arial" w:cs="Arial"/>
          <w:bCs/>
          <w:i/>
          <w:iCs/>
        </w:rPr>
        <w:t xml:space="preserve"> </w:t>
      </w:r>
      <w:r w:rsidRPr="00CD59CC">
        <w:rPr>
          <w:rFonts w:ascii="Arial" w:hAnsi="Arial" w:cs="Arial"/>
          <w:bCs/>
          <w:i/>
          <w:iCs/>
        </w:rPr>
        <w:t>law</w:t>
      </w:r>
      <w:r w:rsidR="007B7640" w:rsidRPr="00CD59CC">
        <w:rPr>
          <w:rFonts w:ascii="Arial" w:hAnsi="Arial" w:cs="Arial"/>
          <w:bCs/>
          <w:i/>
          <w:iCs/>
        </w:rPr>
        <w:t xml:space="preserve"> </w:t>
      </w:r>
      <w:r w:rsidRPr="00CD59CC">
        <w:rPr>
          <w:rFonts w:ascii="Arial" w:hAnsi="Arial" w:cs="Arial"/>
          <w:bCs/>
          <w:i/>
          <w:iCs/>
        </w:rPr>
        <w:t>is</w:t>
      </w:r>
      <w:r w:rsidR="007B7640" w:rsidRPr="00CD59CC">
        <w:rPr>
          <w:rFonts w:ascii="Arial" w:hAnsi="Arial" w:cs="Arial"/>
          <w:bCs/>
          <w:i/>
          <w:iCs/>
        </w:rPr>
        <w:t xml:space="preserve"> </w:t>
      </w:r>
      <w:r w:rsidRPr="00CD59CC">
        <w:rPr>
          <w:rFonts w:ascii="Arial" w:hAnsi="Arial" w:cs="Arial"/>
          <w:bCs/>
          <w:i/>
          <w:iCs/>
        </w:rPr>
        <w:t>silent</w:t>
      </w:r>
      <w:r w:rsidR="007B7640" w:rsidRPr="00CD59CC">
        <w:rPr>
          <w:rFonts w:ascii="Arial" w:hAnsi="Arial" w:cs="Arial"/>
          <w:bCs/>
          <w:i/>
          <w:iCs/>
        </w:rPr>
        <w:t xml:space="preserve"> </w:t>
      </w:r>
      <w:r w:rsidRPr="00CD59CC">
        <w:rPr>
          <w:rFonts w:ascii="Arial" w:hAnsi="Arial" w:cs="Arial"/>
          <w:bCs/>
          <w:i/>
          <w:iCs/>
        </w:rPr>
        <w:t>please</w:t>
      </w:r>
      <w:r w:rsidR="007B7640" w:rsidRPr="00CD59CC">
        <w:rPr>
          <w:rFonts w:ascii="Arial" w:hAnsi="Arial" w:cs="Arial"/>
          <w:bCs/>
          <w:i/>
          <w:iCs/>
        </w:rPr>
        <w:t xml:space="preserve"> </w:t>
      </w:r>
      <w:r w:rsidRPr="00CD59CC">
        <w:rPr>
          <w:rFonts w:ascii="Arial" w:hAnsi="Arial" w:cs="Arial"/>
          <w:bCs/>
          <w:i/>
          <w:iCs/>
        </w:rPr>
        <w:t>indicate.</w:t>
      </w:r>
    </w:p>
    <w:p w14:paraId="06CD861B" w14:textId="77777777" w:rsidR="002B5BCD" w:rsidRPr="00CD59CC" w:rsidRDefault="002B5BCD" w:rsidP="00CD59CC">
      <w:pPr>
        <w:ind w:left="567" w:hanging="567"/>
        <w:rPr>
          <w:rFonts w:ascii="Arial" w:hAnsi="Arial" w:cs="Arial"/>
          <w:i/>
          <w:iCs/>
        </w:rPr>
      </w:pPr>
    </w:p>
    <w:p w14:paraId="159E5EE7" w14:textId="77777777" w:rsidR="00E04499" w:rsidRDefault="00D0654C" w:rsidP="00CD59CC">
      <w:pPr>
        <w:rPr>
          <w:rFonts w:ascii="Arial" w:hAnsi="Arial" w:cs="Arial"/>
          <w:bCs/>
          <w:iCs/>
        </w:rPr>
      </w:pPr>
      <w:r w:rsidRPr="00CD59CC">
        <w:rPr>
          <w:rFonts w:ascii="Arial" w:hAnsi="Arial" w:cs="Arial"/>
          <w:bCs/>
          <w:iCs/>
        </w:rPr>
        <w:t>An</w:t>
      </w:r>
      <w:r w:rsidR="007B7640" w:rsidRPr="00CD59CC">
        <w:rPr>
          <w:rFonts w:ascii="Arial" w:hAnsi="Arial" w:cs="Arial"/>
          <w:bCs/>
          <w:iCs/>
        </w:rPr>
        <w:t xml:space="preserve"> </w:t>
      </w:r>
      <w:r w:rsidRPr="00CD59CC">
        <w:rPr>
          <w:rFonts w:ascii="Arial" w:hAnsi="Arial" w:cs="Arial"/>
          <w:bCs/>
          <w:iCs/>
        </w:rPr>
        <w:t>important</w:t>
      </w:r>
      <w:r w:rsidR="007B7640" w:rsidRPr="00CD59CC">
        <w:rPr>
          <w:rFonts w:ascii="Arial" w:hAnsi="Arial" w:cs="Arial"/>
          <w:bCs/>
          <w:iCs/>
        </w:rPr>
        <w:t xml:space="preserve"> </w:t>
      </w:r>
      <w:r w:rsidRPr="00CD59CC">
        <w:rPr>
          <w:rFonts w:ascii="Arial" w:hAnsi="Arial" w:cs="Arial"/>
          <w:bCs/>
          <w:iCs/>
        </w:rPr>
        <w:t>legislative</w:t>
      </w:r>
      <w:r w:rsidR="007B7640" w:rsidRPr="00CD59CC">
        <w:rPr>
          <w:rFonts w:ascii="Arial" w:hAnsi="Arial" w:cs="Arial"/>
          <w:bCs/>
          <w:iCs/>
        </w:rPr>
        <w:t xml:space="preserve"> </w:t>
      </w:r>
      <w:r w:rsidRPr="00CD59CC">
        <w:rPr>
          <w:rFonts w:ascii="Arial" w:hAnsi="Arial" w:cs="Arial"/>
          <w:bCs/>
          <w:iCs/>
        </w:rPr>
        <w:t>development</w:t>
      </w:r>
      <w:r w:rsidR="007B7640" w:rsidRPr="00CD59CC">
        <w:rPr>
          <w:rFonts w:ascii="Arial" w:hAnsi="Arial" w:cs="Arial"/>
          <w:bCs/>
          <w:iCs/>
        </w:rPr>
        <w:t xml:space="preserve"> </w:t>
      </w:r>
      <w:r w:rsidRPr="00CD59CC">
        <w:rPr>
          <w:rFonts w:ascii="Arial" w:hAnsi="Arial" w:cs="Arial"/>
          <w:bCs/>
          <w:iCs/>
        </w:rPr>
        <w:t>was</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statutory</w:t>
      </w:r>
      <w:r w:rsidR="007B7640" w:rsidRPr="00CD59CC">
        <w:rPr>
          <w:rFonts w:ascii="Arial" w:hAnsi="Arial" w:cs="Arial"/>
          <w:bCs/>
          <w:iCs/>
        </w:rPr>
        <w:t xml:space="preserve"> </w:t>
      </w:r>
      <w:r w:rsidRPr="00CD59CC">
        <w:rPr>
          <w:rFonts w:ascii="Arial" w:hAnsi="Arial" w:cs="Arial"/>
          <w:bCs/>
          <w:iCs/>
        </w:rPr>
        <w:t>acknowledgment</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situation</w:t>
      </w:r>
      <w:r w:rsidR="007B7640" w:rsidRPr="00CD59CC">
        <w:rPr>
          <w:rFonts w:ascii="Arial" w:hAnsi="Arial" w:cs="Arial"/>
          <w:bCs/>
          <w:iCs/>
        </w:rPr>
        <w:t xml:space="preserve"> </w:t>
      </w:r>
      <w:r w:rsidRPr="00CD59CC">
        <w:rPr>
          <w:rFonts w:ascii="Arial" w:hAnsi="Arial" w:cs="Arial"/>
          <w:bCs/>
          <w:iCs/>
        </w:rPr>
        <w:t>testing</w:t>
      </w:r>
      <w:r w:rsidR="007B7640" w:rsidRPr="00CD59CC">
        <w:rPr>
          <w:rFonts w:ascii="Arial" w:hAnsi="Arial" w:cs="Arial"/>
          <w:bCs/>
          <w:iCs/>
        </w:rPr>
        <w:t xml:space="preserve"> </w:t>
      </w:r>
      <w:r w:rsidRPr="00CD59CC">
        <w:rPr>
          <w:rFonts w:ascii="Arial" w:hAnsi="Arial" w:cs="Arial"/>
          <w:bCs/>
          <w:iCs/>
        </w:rPr>
        <w:t>by</w:t>
      </w:r>
      <w:r w:rsidR="007B7640" w:rsidRPr="00CD59CC">
        <w:rPr>
          <w:rFonts w:ascii="Arial" w:hAnsi="Arial" w:cs="Arial"/>
          <w:bCs/>
          <w:iCs/>
        </w:rPr>
        <w:t xml:space="preserve"> </w:t>
      </w:r>
      <w:r w:rsidRPr="00CD59CC">
        <w:rPr>
          <w:rFonts w:ascii="Arial" w:hAnsi="Arial" w:cs="Arial"/>
          <w:bCs/>
          <w:iCs/>
        </w:rPr>
        <w:t>Government</w:t>
      </w:r>
      <w:r w:rsidR="007B7640" w:rsidRPr="00CD59CC">
        <w:rPr>
          <w:rFonts w:ascii="Arial" w:hAnsi="Arial" w:cs="Arial"/>
          <w:bCs/>
          <w:iCs/>
        </w:rPr>
        <w:t xml:space="preserve"> </w:t>
      </w:r>
      <w:r w:rsidRPr="00CD59CC">
        <w:rPr>
          <w:rFonts w:ascii="Arial" w:hAnsi="Arial" w:cs="Arial"/>
          <w:bCs/>
          <w:iCs/>
        </w:rPr>
        <w:t>Decree</w:t>
      </w:r>
      <w:r w:rsidR="007B7640" w:rsidRPr="00CD59CC">
        <w:rPr>
          <w:rFonts w:ascii="Arial" w:hAnsi="Arial" w:cs="Arial"/>
          <w:bCs/>
          <w:iCs/>
        </w:rPr>
        <w:t xml:space="preserve"> </w:t>
      </w:r>
      <w:r w:rsidRPr="00CD59CC">
        <w:rPr>
          <w:rFonts w:ascii="Arial" w:hAnsi="Arial" w:cs="Arial"/>
          <w:bCs/>
          <w:iCs/>
        </w:rPr>
        <w:t>362/2004</w:t>
      </w:r>
      <w:r w:rsidR="007B7640" w:rsidRPr="00CD59CC">
        <w:rPr>
          <w:rFonts w:ascii="Arial" w:hAnsi="Arial" w:cs="Arial"/>
          <w:bCs/>
          <w:iCs/>
        </w:rPr>
        <w:t xml:space="preserve"> </w:t>
      </w:r>
      <w:r w:rsidRPr="00CD59CC">
        <w:rPr>
          <w:rFonts w:ascii="Arial" w:hAnsi="Arial" w:cs="Arial"/>
          <w:bCs/>
          <w:iCs/>
        </w:rPr>
        <w:t>on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Equal</w:t>
      </w:r>
      <w:r w:rsidR="007B7640" w:rsidRPr="00CD59CC">
        <w:rPr>
          <w:rFonts w:ascii="Arial" w:hAnsi="Arial" w:cs="Arial"/>
          <w:bCs/>
          <w:iCs/>
        </w:rPr>
        <w:t xml:space="preserve"> </w:t>
      </w:r>
      <w:r w:rsidRPr="00CD59CC">
        <w:rPr>
          <w:rFonts w:ascii="Arial" w:hAnsi="Arial" w:cs="Arial"/>
          <w:bCs/>
          <w:iCs/>
        </w:rPr>
        <w:t>Treatment</w:t>
      </w:r>
      <w:r w:rsidR="007B7640" w:rsidRPr="00CD59CC">
        <w:rPr>
          <w:rFonts w:ascii="Arial" w:hAnsi="Arial" w:cs="Arial"/>
          <w:bCs/>
          <w:iCs/>
        </w:rPr>
        <w:t xml:space="preserve"> </w:t>
      </w:r>
      <w:r w:rsidRPr="00CD59CC">
        <w:rPr>
          <w:rFonts w:ascii="Arial" w:hAnsi="Arial" w:cs="Arial"/>
          <w:bCs/>
          <w:iCs/>
        </w:rPr>
        <w:t>Authority</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Detailed</w:t>
      </w:r>
      <w:r w:rsidR="007B7640" w:rsidRPr="00CD59CC">
        <w:rPr>
          <w:rFonts w:ascii="Arial" w:hAnsi="Arial" w:cs="Arial"/>
          <w:bCs/>
          <w:iCs/>
        </w:rPr>
        <w:t xml:space="preserve"> </w:t>
      </w:r>
      <w:r w:rsidRPr="00CD59CC">
        <w:rPr>
          <w:rFonts w:ascii="Arial" w:hAnsi="Arial" w:cs="Arial"/>
          <w:bCs/>
          <w:iCs/>
        </w:rPr>
        <w:t>Rules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its</w:t>
      </w:r>
      <w:r w:rsidR="007B7640" w:rsidRPr="00CD59CC">
        <w:rPr>
          <w:rFonts w:ascii="Arial" w:hAnsi="Arial" w:cs="Arial"/>
          <w:bCs/>
          <w:iCs/>
        </w:rPr>
        <w:t xml:space="preserve"> </w:t>
      </w:r>
      <w:r w:rsidRPr="00CD59CC">
        <w:rPr>
          <w:rFonts w:ascii="Arial" w:hAnsi="Arial" w:cs="Arial"/>
          <w:bCs/>
          <w:iCs/>
        </w:rPr>
        <w:t>Procedure</w:t>
      </w:r>
      <w:r w:rsidR="007B7640" w:rsidRPr="00CD59CC">
        <w:rPr>
          <w:rFonts w:ascii="Arial" w:hAnsi="Arial" w:cs="Arial"/>
          <w:bCs/>
          <w:iCs/>
        </w:rPr>
        <w:t xml:space="preserve"> </w:t>
      </w:r>
      <w:r w:rsidRPr="00CD59CC">
        <w:rPr>
          <w:rFonts w:ascii="Arial" w:hAnsi="Arial" w:cs="Arial"/>
          <w:bCs/>
          <w:iCs/>
        </w:rPr>
        <w:t>(ETAD)</w:t>
      </w:r>
      <w:r w:rsidR="007B7640" w:rsidRPr="00CD59CC">
        <w:rPr>
          <w:rFonts w:ascii="Arial" w:hAnsi="Arial" w:cs="Arial"/>
          <w:bCs/>
          <w:iCs/>
        </w:rPr>
        <w:t xml:space="preserve"> </w:t>
      </w:r>
      <w:r w:rsidRPr="00CD59CC">
        <w:rPr>
          <w:rFonts w:ascii="Arial" w:hAnsi="Arial" w:cs="Arial"/>
          <w:bCs/>
          <w:iCs/>
        </w:rPr>
        <w:t>adopted</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December</w:t>
      </w:r>
      <w:r w:rsidR="007B7640" w:rsidRPr="00CD59CC">
        <w:rPr>
          <w:rFonts w:ascii="Arial" w:hAnsi="Arial" w:cs="Arial"/>
          <w:bCs/>
          <w:iCs/>
        </w:rPr>
        <w:t xml:space="preserve"> </w:t>
      </w:r>
      <w:r w:rsidRPr="00CD59CC">
        <w:rPr>
          <w:rFonts w:ascii="Arial" w:hAnsi="Arial" w:cs="Arial"/>
          <w:bCs/>
          <w:iCs/>
        </w:rPr>
        <w:t>2004.</w:t>
      </w:r>
      <w:r w:rsidR="007B7640" w:rsidRPr="00CD59CC">
        <w:rPr>
          <w:rFonts w:ascii="Arial" w:hAnsi="Arial" w:cs="Arial"/>
          <w:bCs/>
          <w:iCs/>
        </w:rPr>
        <w:t xml:space="preserve"> </w:t>
      </w:r>
      <w:r w:rsidR="00E04499" w:rsidRPr="00CD59CC">
        <w:rPr>
          <w:rFonts w:ascii="Arial" w:hAnsi="Arial" w:cs="Arial"/>
          <w:bCs/>
          <w:iCs/>
        </w:rPr>
        <w:t>Article</w:t>
      </w:r>
      <w:r w:rsidR="007B7640" w:rsidRPr="00CD59CC">
        <w:rPr>
          <w:rFonts w:ascii="Arial" w:hAnsi="Arial" w:cs="Arial"/>
          <w:bCs/>
          <w:iCs/>
        </w:rPr>
        <w:t xml:space="preserve"> </w:t>
      </w:r>
      <w:r w:rsidR="00E04499" w:rsidRPr="00CD59CC">
        <w:rPr>
          <w:rFonts w:ascii="Arial" w:hAnsi="Arial" w:cs="Arial"/>
          <w:bCs/>
          <w:iCs/>
        </w:rPr>
        <w:t>13</w:t>
      </w:r>
      <w:r w:rsidR="007B7640" w:rsidRPr="00CD59CC">
        <w:rPr>
          <w:rFonts w:ascii="Arial" w:hAnsi="Arial" w:cs="Arial"/>
          <w:bCs/>
          <w:iCs/>
        </w:rPr>
        <w:t xml:space="preserve"> </w:t>
      </w:r>
      <w:r w:rsidR="00E04499" w:rsidRPr="00CD59CC">
        <w:rPr>
          <w:rFonts w:ascii="Arial" w:hAnsi="Arial" w:cs="Arial"/>
          <w:bCs/>
          <w:iCs/>
        </w:rPr>
        <w:t>(1)</w:t>
      </w:r>
      <w:r w:rsidR="007B7640" w:rsidRPr="00CD59CC">
        <w:rPr>
          <w:rFonts w:ascii="Arial" w:hAnsi="Arial" w:cs="Arial"/>
          <w:bCs/>
          <w:iCs/>
        </w:rPr>
        <w:t xml:space="preserve"> </w:t>
      </w:r>
      <w:r w:rsidR="00E04499" w:rsidRPr="00CD59CC">
        <w:rPr>
          <w:rFonts w:ascii="Arial" w:hAnsi="Arial" w:cs="Arial"/>
          <w:bCs/>
          <w:iCs/>
        </w:rPr>
        <w:t>of</w:t>
      </w:r>
      <w:r w:rsidR="007B7640" w:rsidRPr="00CD59CC">
        <w:rPr>
          <w:rFonts w:ascii="Arial" w:hAnsi="Arial" w:cs="Arial"/>
          <w:bCs/>
          <w:iCs/>
        </w:rPr>
        <w:t xml:space="preserve"> </w:t>
      </w:r>
      <w:r w:rsidR="00E04499" w:rsidRPr="00CD59CC">
        <w:rPr>
          <w:rFonts w:ascii="Arial" w:hAnsi="Arial" w:cs="Arial"/>
          <w:bCs/>
          <w:iCs/>
        </w:rPr>
        <w:t>the</w:t>
      </w:r>
      <w:r w:rsidR="007B7640" w:rsidRPr="00CD59CC">
        <w:rPr>
          <w:rFonts w:ascii="Arial" w:hAnsi="Arial" w:cs="Arial"/>
          <w:bCs/>
          <w:iCs/>
        </w:rPr>
        <w:t xml:space="preserve"> </w:t>
      </w:r>
      <w:r w:rsidR="00E04499" w:rsidRPr="00CD59CC">
        <w:rPr>
          <w:rFonts w:ascii="Arial" w:hAnsi="Arial" w:cs="Arial"/>
          <w:bCs/>
          <w:iCs/>
        </w:rPr>
        <w:t>ETAD</w:t>
      </w:r>
      <w:r w:rsidR="007B7640" w:rsidRPr="00CD59CC">
        <w:rPr>
          <w:rFonts w:ascii="Arial" w:hAnsi="Arial" w:cs="Arial"/>
          <w:bCs/>
          <w:iCs/>
        </w:rPr>
        <w:t xml:space="preserve"> </w:t>
      </w:r>
      <w:r w:rsidR="00E04499" w:rsidRPr="00CD59CC">
        <w:rPr>
          <w:rFonts w:ascii="Arial" w:hAnsi="Arial" w:cs="Arial"/>
          <w:bCs/>
          <w:iCs/>
        </w:rPr>
        <w:t>expressly</w:t>
      </w:r>
      <w:r w:rsidR="007B7640" w:rsidRPr="00CD59CC">
        <w:rPr>
          <w:rFonts w:ascii="Arial" w:hAnsi="Arial" w:cs="Arial"/>
          <w:bCs/>
          <w:iCs/>
        </w:rPr>
        <w:t xml:space="preserve"> </w:t>
      </w:r>
      <w:r w:rsidR="00E04499" w:rsidRPr="00CD59CC">
        <w:rPr>
          <w:rFonts w:ascii="Arial" w:hAnsi="Arial" w:cs="Arial"/>
          <w:bCs/>
          <w:iCs/>
        </w:rPr>
        <w:t>authorized</w:t>
      </w:r>
      <w:r w:rsidR="007B7640" w:rsidRPr="00CD59CC">
        <w:rPr>
          <w:rFonts w:ascii="Arial" w:hAnsi="Arial" w:cs="Arial"/>
          <w:bCs/>
          <w:iCs/>
        </w:rPr>
        <w:t xml:space="preserve"> </w:t>
      </w:r>
      <w:r w:rsidR="00E04499" w:rsidRPr="00CD59CC">
        <w:rPr>
          <w:rFonts w:ascii="Arial" w:hAnsi="Arial" w:cs="Arial"/>
          <w:bCs/>
          <w:iCs/>
        </w:rPr>
        <w:t>the</w:t>
      </w:r>
      <w:r w:rsidR="007B7640" w:rsidRPr="00CD59CC">
        <w:rPr>
          <w:rFonts w:ascii="Arial" w:hAnsi="Arial" w:cs="Arial"/>
          <w:bCs/>
          <w:iCs/>
        </w:rPr>
        <w:t xml:space="preserve"> </w:t>
      </w:r>
      <w:r w:rsidR="00E04499" w:rsidRPr="00CD59CC">
        <w:rPr>
          <w:rFonts w:ascii="Arial" w:hAnsi="Arial" w:cs="Arial"/>
          <w:bCs/>
          <w:iCs/>
        </w:rPr>
        <w:t>Equal</w:t>
      </w:r>
      <w:r w:rsidR="007B7640" w:rsidRPr="00CD59CC">
        <w:rPr>
          <w:rFonts w:ascii="Arial" w:hAnsi="Arial" w:cs="Arial"/>
          <w:bCs/>
          <w:iCs/>
        </w:rPr>
        <w:t xml:space="preserve"> </w:t>
      </w:r>
      <w:r w:rsidR="00E04499" w:rsidRPr="00CD59CC">
        <w:rPr>
          <w:rFonts w:ascii="Arial" w:hAnsi="Arial" w:cs="Arial"/>
          <w:bCs/>
          <w:iCs/>
        </w:rPr>
        <w:t>Treatment</w:t>
      </w:r>
      <w:r w:rsidR="007B7640" w:rsidRPr="00CD59CC">
        <w:rPr>
          <w:rFonts w:ascii="Arial" w:hAnsi="Arial" w:cs="Arial"/>
          <w:bCs/>
          <w:iCs/>
        </w:rPr>
        <w:t xml:space="preserve"> </w:t>
      </w:r>
      <w:r w:rsidR="00E04499" w:rsidRPr="00CD59CC">
        <w:rPr>
          <w:rFonts w:ascii="Arial" w:hAnsi="Arial" w:cs="Arial"/>
          <w:bCs/>
          <w:iCs/>
        </w:rPr>
        <w:t>Authority</w:t>
      </w:r>
      <w:r w:rsidR="007B7640" w:rsidRPr="00CD59CC">
        <w:rPr>
          <w:rFonts w:ascii="Arial" w:hAnsi="Arial" w:cs="Arial"/>
          <w:bCs/>
          <w:iCs/>
        </w:rPr>
        <w:t xml:space="preserve"> </w:t>
      </w:r>
      <w:r w:rsidR="00E04499" w:rsidRPr="00CD59CC">
        <w:rPr>
          <w:rFonts w:ascii="Arial" w:hAnsi="Arial" w:cs="Arial"/>
          <w:bCs/>
          <w:iCs/>
        </w:rPr>
        <w:t>to</w:t>
      </w:r>
      <w:r w:rsidR="007B7640" w:rsidRPr="00CD59CC">
        <w:rPr>
          <w:rFonts w:ascii="Arial" w:hAnsi="Arial" w:cs="Arial"/>
          <w:bCs/>
          <w:iCs/>
        </w:rPr>
        <w:t xml:space="preserve"> </w:t>
      </w:r>
      <w:r w:rsidR="00E04499" w:rsidRPr="00CD59CC">
        <w:rPr>
          <w:rFonts w:ascii="Arial" w:hAnsi="Arial" w:cs="Arial"/>
          <w:bCs/>
          <w:iCs/>
        </w:rPr>
        <w:t>apply</w:t>
      </w:r>
      <w:r w:rsidR="007B7640" w:rsidRPr="00CD59CC">
        <w:rPr>
          <w:rFonts w:ascii="Arial" w:hAnsi="Arial" w:cs="Arial"/>
          <w:bCs/>
          <w:iCs/>
        </w:rPr>
        <w:t xml:space="preserve"> </w:t>
      </w:r>
      <w:r w:rsidR="00E04499" w:rsidRPr="00CD59CC">
        <w:rPr>
          <w:rFonts w:ascii="Arial" w:hAnsi="Arial" w:cs="Arial"/>
          <w:bCs/>
          <w:iCs/>
        </w:rPr>
        <w:t>testing</w:t>
      </w:r>
      <w:r w:rsidR="007B7640" w:rsidRPr="00CD59CC">
        <w:rPr>
          <w:rFonts w:ascii="Arial" w:hAnsi="Arial" w:cs="Arial"/>
          <w:bCs/>
          <w:iCs/>
        </w:rPr>
        <w:t xml:space="preserve"> </w:t>
      </w:r>
      <w:r w:rsidR="00E04499" w:rsidRPr="00CD59CC">
        <w:rPr>
          <w:rFonts w:ascii="Arial" w:hAnsi="Arial" w:cs="Arial"/>
          <w:bCs/>
          <w:iCs/>
        </w:rPr>
        <w:t>in</w:t>
      </w:r>
      <w:r w:rsidR="007B7640" w:rsidRPr="00CD59CC">
        <w:rPr>
          <w:rFonts w:ascii="Arial" w:hAnsi="Arial" w:cs="Arial"/>
          <w:bCs/>
          <w:iCs/>
        </w:rPr>
        <w:t xml:space="preserve"> </w:t>
      </w:r>
      <w:r w:rsidR="00E04499" w:rsidRPr="00CD59CC">
        <w:rPr>
          <w:rFonts w:ascii="Arial" w:hAnsi="Arial" w:cs="Arial"/>
          <w:bCs/>
          <w:iCs/>
        </w:rPr>
        <w:t>the</w:t>
      </w:r>
      <w:r w:rsidR="007B7640" w:rsidRPr="00CD59CC">
        <w:rPr>
          <w:rFonts w:ascii="Arial" w:hAnsi="Arial" w:cs="Arial"/>
          <w:bCs/>
          <w:iCs/>
        </w:rPr>
        <w:t xml:space="preserve"> </w:t>
      </w:r>
      <w:r w:rsidR="00E04499" w:rsidRPr="00CD59CC">
        <w:rPr>
          <w:rFonts w:ascii="Arial" w:hAnsi="Arial" w:cs="Arial"/>
          <w:bCs/>
          <w:iCs/>
        </w:rPr>
        <w:t>course</w:t>
      </w:r>
      <w:r w:rsidR="007B7640" w:rsidRPr="00CD59CC">
        <w:rPr>
          <w:rFonts w:ascii="Arial" w:hAnsi="Arial" w:cs="Arial"/>
          <w:bCs/>
          <w:iCs/>
        </w:rPr>
        <w:t xml:space="preserve"> </w:t>
      </w:r>
      <w:r w:rsidR="00E04499" w:rsidRPr="00CD59CC">
        <w:rPr>
          <w:rFonts w:ascii="Arial" w:hAnsi="Arial" w:cs="Arial"/>
          <w:bCs/>
          <w:iCs/>
        </w:rPr>
        <w:t>of</w:t>
      </w:r>
      <w:r w:rsidR="007B7640" w:rsidRPr="00CD59CC">
        <w:rPr>
          <w:rFonts w:ascii="Arial" w:hAnsi="Arial" w:cs="Arial"/>
          <w:bCs/>
          <w:iCs/>
        </w:rPr>
        <w:t xml:space="preserve"> </w:t>
      </w:r>
      <w:r w:rsidR="00E04499" w:rsidRPr="00CD59CC">
        <w:rPr>
          <w:rFonts w:ascii="Arial" w:hAnsi="Arial" w:cs="Arial"/>
          <w:bCs/>
          <w:iCs/>
        </w:rPr>
        <w:t>its</w:t>
      </w:r>
      <w:r w:rsidR="007B7640" w:rsidRPr="00CD59CC">
        <w:rPr>
          <w:rFonts w:ascii="Arial" w:hAnsi="Arial" w:cs="Arial"/>
          <w:bCs/>
          <w:iCs/>
        </w:rPr>
        <w:t xml:space="preserve"> </w:t>
      </w:r>
      <w:r w:rsidR="00E04499" w:rsidRPr="00CD59CC">
        <w:rPr>
          <w:rFonts w:ascii="Arial" w:hAnsi="Arial" w:cs="Arial"/>
          <w:bCs/>
          <w:iCs/>
        </w:rPr>
        <w:t>investigations,</w:t>
      </w:r>
      <w:r w:rsidR="007B7640" w:rsidRPr="00CD59CC">
        <w:rPr>
          <w:rFonts w:ascii="Arial" w:hAnsi="Arial" w:cs="Arial"/>
          <w:bCs/>
          <w:iCs/>
        </w:rPr>
        <w:t xml:space="preserve"> </w:t>
      </w:r>
      <w:r w:rsidR="00E04499" w:rsidRPr="00CD59CC">
        <w:rPr>
          <w:rFonts w:ascii="Arial" w:hAnsi="Arial" w:cs="Arial"/>
          <w:bCs/>
          <w:iCs/>
        </w:rPr>
        <w:t>while</w:t>
      </w:r>
      <w:r w:rsidR="007B7640" w:rsidRPr="00CD59CC">
        <w:rPr>
          <w:rFonts w:ascii="Arial" w:hAnsi="Arial" w:cs="Arial"/>
          <w:bCs/>
          <w:iCs/>
        </w:rPr>
        <w:t xml:space="preserve"> </w:t>
      </w:r>
      <w:r w:rsidR="00E04499" w:rsidRPr="00CD59CC">
        <w:rPr>
          <w:rFonts w:ascii="Arial" w:hAnsi="Arial" w:cs="Arial"/>
          <w:bCs/>
          <w:iCs/>
        </w:rPr>
        <w:t>Article</w:t>
      </w:r>
      <w:r w:rsidR="007B7640" w:rsidRPr="00CD59CC">
        <w:rPr>
          <w:rFonts w:ascii="Arial" w:hAnsi="Arial" w:cs="Arial"/>
          <w:bCs/>
          <w:iCs/>
        </w:rPr>
        <w:t xml:space="preserve"> </w:t>
      </w:r>
      <w:r w:rsidR="00E04499" w:rsidRPr="00CD59CC">
        <w:rPr>
          <w:rFonts w:ascii="Arial" w:hAnsi="Arial" w:cs="Arial"/>
          <w:bCs/>
          <w:iCs/>
        </w:rPr>
        <w:t>13</w:t>
      </w:r>
      <w:r w:rsidR="007B7640" w:rsidRPr="00CD59CC">
        <w:rPr>
          <w:rFonts w:ascii="Arial" w:hAnsi="Arial" w:cs="Arial"/>
          <w:bCs/>
          <w:iCs/>
        </w:rPr>
        <w:t xml:space="preserve"> </w:t>
      </w:r>
      <w:r w:rsidR="00E04499" w:rsidRPr="00CD59CC">
        <w:rPr>
          <w:rFonts w:ascii="Arial" w:hAnsi="Arial" w:cs="Arial"/>
          <w:bCs/>
          <w:iCs/>
        </w:rPr>
        <w:t>(2)</w:t>
      </w:r>
      <w:r w:rsidR="007B7640" w:rsidRPr="00CD59CC">
        <w:rPr>
          <w:rFonts w:ascii="Arial" w:hAnsi="Arial" w:cs="Arial"/>
          <w:bCs/>
          <w:iCs/>
        </w:rPr>
        <w:t xml:space="preserve"> </w:t>
      </w:r>
      <w:r w:rsidR="00E04499" w:rsidRPr="00CD59CC">
        <w:rPr>
          <w:rFonts w:ascii="Arial" w:hAnsi="Arial" w:cs="Arial"/>
          <w:bCs/>
          <w:iCs/>
        </w:rPr>
        <w:t>of</w:t>
      </w:r>
      <w:r w:rsidR="007B7640" w:rsidRPr="00CD59CC">
        <w:rPr>
          <w:rFonts w:ascii="Arial" w:hAnsi="Arial" w:cs="Arial"/>
          <w:bCs/>
          <w:iCs/>
        </w:rPr>
        <w:t xml:space="preserve"> </w:t>
      </w:r>
      <w:r w:rsidR="00E04499" w:rsidRPr="00CD59CC">
        <w:rPr>
          <w:rFonts w:ascii="Arial" w:hAnsi="Arial" w:cs="Arial"/>
          <w:bCs/>
          <w:iCs/>
        </w:rPr>
        <w:t>the</w:t>
      </w:r>
      <w:r w:rsidR="007B7640" w:rsidRPr="00CD59CC">
        <w:rPr>
          <w:rFonts w:ascii="Arial" w:hAnsi="Arial" w:cs="Arial"/>
          <w:bCs/>
          <w:iCs/>
        </w:rPr>
        <w:t xml:space="preserve"> </w:t>
      </w:r>
      <w:r w:rsidR="00E04499" w:rsidRPr="00CD59CC">
        <w:rPr>
          <w:rFonts w:ascii="Arial" w:hAnsi="Arial" w:cs="Arial"/>
          <w:bCs/>
          <w:iCs/>
        </w:rPr>
        <w:t>ETAD</w:t>
      </w:r>
      <w:r w:rsidR="007B7640" w:rsidRPr="00CD59CC">
        <w:rPr>
          <w:rFonts w:ascii="Arial" w:hAnsi="Arial" w:cs="Arial"/>
          <w:bCs/>
          <w:iCs/>
        </w:rPr>
        <w:t xml:space="preserve"> </w:t>
      </w:r>
      <w:r w:rsidR="00E04499" w:rsidRPr="00CD59CC">
        <w:rPr>
          <w:rFonts w:ascii="Arial" w:hAnsi="Arial" w:cs="Arial"/>
          <w:bCs/>
          <w:iCs/>
        </w:rPr>
        <w:t>proclaimed</w:t>
      </w:r>
      <w:r w:rsidR="007B7640" w:rsidRPr="00CD59CC">
        <w:rPr>
          <w:rFonts w:ascii="Arial" w:hAnsi="Arial" w:cs="Arial"/>
          <w:bCs/>
          <w:iCs/>
        </w:rPr>
        <w:t xml:space="preserve"> </w:t>
      </w:r>
      <w:r w:rsidR="00E04499" w:rsidRPr="00CD59CC">
        <w:rPr>
          <w:rFonts w:ascii="Arial" w:hAnsi="Arial" w:cs="Arial"/>
          <w:bCs/>
          <w:iCs/>
        </w:rPr>
        <w:t>that</w:t>
      </w:r>
      <w:r w:rsidR="007B7640" w:rsidRPr="00CD59CC">
        <w:rPr>
          <w:rFonts w:ascii="Arial" w:hAnsi="Arial" w:cs="Arial"/>
          <w:bCs/>
          <w:iCs/>
        </w:rPr>
        <w:t xml:space="preserve"> </w:t>
      </w:r>
      <w:r w:rsidR="00E04499" w:rsidRPr="00CD59CC">
        <w:rPr>
          <w:rFonts w:ascii="Arial" w:hAnsi="Arial" w:cs="Arial"/>
          <w:bCs/>
          <w:iCs/>
        </w:rPr>
        <w:t>“the</w:t>
      </w:r>
      <w:r w:rsidR="007B7640" w:rsidRPr="00CD59CC">
        <w:rPr>
          <w:rFonts w:ascii="Arial" w:hAnsi="Arial" w:cs="Arial"/>
          <w:bCs/>
          <w:iCs/>
        </w:rPr>
        <w:t xml:space="preserve"> </w:t>
      </w:r>
      <w:r w:rsidR="00E04499" w:rsidRPr="00CD59CC">
        <w:rPr>
          <w:rFonts w:ascii="Arial" w:hAnsi="Arial" w:cs="Arial"/>
          <w:bCs/>
          <w:iCs/>
        </w:rPr>
        <w:t>result</w:t>
      </w:r>
      <w:r w:rsidR="007B7640" w:rsidRPr="00CD59CC">
        <w:rPr>
          <w:rFonts w:ascii="Arial" w:hAnsi="Arial" w:cs="Arial"/>
          <w:bCs/>
          <w:iCs/>
        </w:rPr>
        <w:t xml:space="preserve"> </w:t>
      </w:r>
      <w:r w:rsidR="00E04499" w:rsidRPr="00CD59CC">
        <w:rPr>
          <w:rFonts w:ascii="Arial" w:hAnsi="Arial" w:cs="Arial"/>
          <w:bCs/>
          <w:iCs/>
        </w:rPr>
        <w:t>of</w:t>
      </w:r>
      <w:r w:rsidR="007B7640" w:rsidRPr="00CD59CC">
        <w:rPr>
          <w:rFonts w:ascii="Arial" w:hAnsi="Arial" w:cs="Arial"/>
          <w:bCs/>
          <w:iCs/>
        </w:rPr>
        <w:t xml:space="preserve"> </w:t>
      </w:r>
      <w:r w:rsidR="00E04499" w:rsidRPr="00CD59CC">
        <w:rPr>
          <w:rFonts w:ascii="Arial" w:hAnsi="Arial" w:cs="Arial"/>
          <w:bCs/>
          <w:iCs/>
        </w:rPr>
        <w:t>testing</w:t>
      </w:r>
      <w:r w:rsidR="007B7640" w:rsidRPr="00CD59CC">
        <w:rPr>
          <w:rFonts w:ascii="Arial" w:hAnsi="Arial" w:cs="Arial"/>
          <w:bCs/>
          <w:iCs/>
        </w:rPr>
        <w:t xml:space="preserve"> </w:t>
      </w:r>
      <w:r w:rsidR="00E04499" w:rsidRPr="00CD59CC">
        <w:rPr>
          <w:rFonts w:ascii="Arial" w:hAnsi="Arial" w:cs="Arial"/>
          <w:bCs/>
          <w:iCs/>
        </w:rPr>
        <w:t>may</w:t>
      </w:r>
      <w:r w:rsidR="007B7640" w:rsidRPr="00CD59CC">
        <w:rPr>
          <w:rFonts w:ascii="Arial" w:hAnsi="Arial" w:cs="Arial"/>
          <w:bCs/>
          <w:iCs/>
        </w:rPr>
        <w:t xml:space="preserve"> </w:t>
      </w:r>
      <w:r w:rsidR="00E04499" w:rsidRPr="00CD59CC">
        <w:rPr>
          <w:rFonts w:ascii="Arial" w:hAnsi="Arial" w:cs="Arial"/>
          <w:bCs/>
          <w:iCs/>
        </w:rPr>
        <w:t>be</w:t>
      </w:r>
      <w:r w:rsidR="007B7640" w:rsidRPr="00CD59CC">
        <w:rPr>
          <w:rFonts w:ascii="Arial" w:hAnsi="Arial" w:cs="Arial"/>
          <w:bCs/>
          <w:iCs/>
        </w:rPr>
        <w:t xml:space="preserve"> </w:t>
      </w:r>
      <w:r w:rsidR="00E04499" w:rsidRPr="00CD59CC">
        <w:rPr>
          <w:rFonts w:ascii="Arial" w:hAnsi="Arial" w:cs="Arial"/>
          <w:bCs/>
          <w:iCs/>
        </w:rPr>
        <w:t>used</w:t>
      </w:r>
      <w:r w:rsidR="007B7640" w:rsidRPr="00CD59CC">
        <w:rPr>
          <w:rFonts w:ascii="Arial" w:hAnsi="Arial" w:cs="Arial"/>
          <w:bCs/>
          <w:iCs/>
        </w:rPr>
        <w:t xml:space="preserve"> </w:t>
      </w:r>
      <w:r w:rsidR="00E04499" w:rsidRPr="00CD59CC">
        <w:rPr>
          <w:rFonts w:ascii="Arial" w:hAnsi="Arial" w:cs="Arial"/>
          <w:bCs/>
          <w:iCs/>
        </w:rPr>
        <w:t>as</w:t>
      </w:r>
      <w:r w:rsidR="007B7640" w:rsidRPr="00CD59CC">
        <w:rPr>
          <w:rFonts w:ascii="Arial" w:hAnsi="Arial" w:cs="Arial"/>
          <w:bCs/>
          <w:iCs/>
        </w:rPr>
        <w:t xml:space="preserve"> </w:t>
      </w:r>
      <w:r w:rsidR="00E04499" w:rsidRPr="00CD59CC">
        <w:rPr>
          <w:rFonts w:ascii="Arial" w:hAnsi="Arial" w:cs="Arial"/>
          <w:bCs/>
          <w:iCs/>
        </w:rPr>
        <w:t>evidence</w:t>
      </w:r>
      <w:r w:rsidR="007B7640" w:rsidRPr="00CD59CC">
        <w:rPr>
          <w:rFonts w:ascii="Arial" w:hAnsi="Arial" w:cs="Arial"/>
          <w:bCs/>
          <w:iCs/>
        </w:rPr>
        <w:t xml:space="preserve"> </w:t>
      </w:r>
      <w:r w:rsidR="00E04499" w:rsidRPr="00CD59CC">
        <w:rPr>
          <w:rFonts w:ascii="Arial" w:hAnsi="Arial" w:cs="Arial"/>
          <w:bCs/>
          <w:iCs/>
        </w:rPr>
        <w:t>in</w:t>
      </w:r>
      <w:r w:rsidR="007B7640" w:rsidRPr="00CD59CC">
        <w:rPr>
          <w:rFonts w:ascii="Arial" w:hAnsi="Arial" w:cs="Arial"/>
          <w:bCs/>
          <w:iCs/>
        </w:rPr>
        <w:t xml:space="preserve"> </w:t>
      </w:r>
      <w:r w:rsidR="00E04499" w:rsidRPr="00CD59CC">
        <w:rPr>
          <w:rFonts w:ascii="Arial" w:hAnsi="Arial" w:cs="Arial"/>
          <w:bCs/>
          <w:iCs/>
        </w:rPr>
        <w:t>proceedings</w:t>
      </w:r>
      <w:r w:rsidR="007B7640" w:rsidRPr="00CD59CC">
        <w:rPr>
          <w:rFonts w:ascii="Arial" w:hAnsi="Arial" w:cs="Arial"/>
          <w:bCs/>
          <w:iCs/>
        </w:rPr>
        <w:t xml:space="preserve"> </w:t>
      </w:r>
      <w:r w:rsidR="00E04499" w:rsidRPr="00CD59CC">
        <w:rPr>
          <w:rFonts w:ascii="Arial" w:hAnsi="Arial" w:cs="Arial"/>
          <w:bCs/>
          <w:iCs/>
        </w:rPr>
        <w:t>launched</w:t>
      </w:r>
      <w:r w:rsidR="007B7640" w:rsidRPr="00CD59CC">
        <w:rPr>
          <w:rFonts w:ascii="Arial" w:hAnsi="Arial" w:cs="Arial"/>
          <w:bCs/>
          <w:iCs/>
        </w:rPr>
        <w:t xml:space="preserve"> </w:t>
      </w:r>
      <w:r w:rsidR="00E04499" w:rsidRPr="00CD59CC">
        <w:rPr>
          <w:rFonts w:ascii="Arial" w:hAnsi="Arial" w:cs="Arial"/>
          <w:bCs/>
          <w:iCs/>
        </w:rPr>
        <w:t>due</w:t>
      </w:r>
      <w:r w:rsidR="007B7640" w:rsidRPr="00CD59CC">
        <w:rPr>
          <w:rFonts w:ascii="Arial" w:hAnsi="Arial" w:cs="Arial"/>
          <w:bCs/>
          <w:iCs/>
        </w:rPr>
        <w:t xml:space="preserve"> </w:t>
      </w:r>
      <w:r w:rsidR="00E04499" w:rsidRPr="00CD59CC">
        <w:rPr>
          <w:rFonts w:ascii="Arial" w:hAnsi="Arial" w:cs="Arial"/>
          <w:bCs/>
          <w:iCs/>
        </w:rPr>
        <w:t>to</w:t>
      </w:r>
      <w:r w:rsidR="007B7640" w:rsidRPr="00CD59CC">
        <w:rPr>
          <w:rFonts w:ascii="Arial" w:hAnsi="Arial" w:cs="Arial"/>
          <w:bCs/>
          <w:iCs/>
        </w:rPr>
        <w:t xml:space="preserve"> </w:t>
      </w:r>
      <w:r w:rsidR="00E04499" w:rsidRPr="00CD59CC">
        <w:rPr>
          <w:rFonts w:ascii="Arial" w:hAnsi="Arial" w:cs="Arial"/>
          <w:bCs/>
          <w:iCs/>
        </w:rPr>
        <w:t>the</w:t>
      </w:r>
      <w:r w:rsidR="007B7640" w:rsidRPr="00CD59CC">
        <w:rPr>
          <w:rFonts w:ascii="Arial" w:hAnsi="Arial" w:cs="Arial"/>
          <w:bCs/>
          <w:iCs/>
        </w:rPr>
        <w:t xml:space="preserve"> </w:t>
      </w:r>
      <w:r w:rsidR="00E04499" w:rsidRPr="00CD59CC">
        <w:rPr>
          <w:rFonts w:ascii="Arial" w:hAnsi="Arial" w:cs="Arial"/>
          <w:bCs/>
          <w:iCs/>
        </w:rPr>
        <w:t>breach</w:t>
      </w:r>
      <w:r w:rsidR="007B7640" w:rsidRPr="00CD59CC">
        <w:rPr>
          <w:rFonts w:ascii="Arial" w:hAnsi="Arial" w:cs="Arial"/>
          <w:bCs/>
          <w:iCs/>
        </w:rPr>
        <w:t xml:space="preserve"> </w:t>
      </w:r>
      <w:r w:rsidR="00E04499" w:rsidRPr="00CD59CC">
        <w:rPr>
          <w:rFonts w:ascii="Arial" w:hAnsi="Arial" w:cs="Arial"/>
          <w:bCs/>
          <w:iCs/>
        </w:rPr>
        <w:t>of</w:t>
      </w:r>
      <w:r w:rsidR="007B7640" w:rsidRPr="00CD59CC">
        <w:rPr>
          <w:rFonts w:ascii="Arial" w:hAnsi="Arial" w:cs="Arial"/>
          <w:bCs/>
          <w:iCs/>
        </w:rPr>
        <w:t xml:space="preserve"> </w:t>
      </w:r>
      <w:r w:rsidR="00E04499" w:rsidRPr="00CD59CC">
        <w:rPr>
          <w:rFonts w:ascii="Arial" w:hAnsi="Arial" w:cs="Arial"/>
          <w:bCs/>
          <w:iCs/>
        </w:rPr>
        <w:t>equal</w:t>
      </w:r>
      <w:r w:rsidR="007B7640" w:rsidRPr="00CD59CC">
        <w:rPr>
          <w:rFonts w:ascii="Arial" w:hAnsi="Arial" w:cs="Arial"/>
          <w:bCs/>
          <w:iCs/>
        </w:rPr>
        <w:t xml:space="preserve"> </w:t>
      </w:r>
      <w:r w:rsidR="00E04499" w:rsidRPr="00CD59CC">
        <w:rPr>
          <w:rFonts w:ascii="Arial" w:hAnsi="Arial" w:cs="Arial"/>
          <w:bCs/>
          <w:iCs/>
        </w:rPr>
        <w:t>treatment”.</w:t>
      </w:r>
    </w:p>
    <w:p w14:paraId="43B982B4" w14:textId="77777777" w:rsidR="00532AB1" w:rsidRPr="00CD59CC" w:rsidRDefault="00532AB1" w:rsidP="00CD59CC">
      <w:pPr>
        <w:rPr>
          <w:rFonts w:ascii="Arial" w:hAnsi="Arial" w:cs="Arial"/>
          <w:bCs/>
          <w:iCs/>
        </w:rPr>
      </w:pPr>
    </w:p>
    <w:p w14:paraId="078ED530" w14:textId="1505719E" w:rsidR="00D0654C" w:rsidRPr="00CD59CC" w:rsidRDefault="00E04499" w:rsidP="00CD59CC">
      <w:pPr>
        <w:rPr>
          <w:rFonts w:ascii="Arial" w:hAnsi="Arial" w:cs="Arial"/>
          <w:bCs/>
          <w:iCs/>
        </w:rPr>
      </w:pP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31</w:t>
      </w:r>
      <w:r w:rsidR="007B7640" w:rsidRPr="00CD59CC">
        <w:rPr>
          <w:rFonts w:ascii="Arial" w:hAnsi="Arial" w:cs="Arial"/>
          <w:bCs/>
          <w:iCs/>
        </w:rPr>
        <w:t xml:space="preserve"> </w:t>
      </w:r>
      <w:r w:rsidRPr="00CD59CC">
        <w:rPr>
          <w:rFonts w:ascii="Arial" w:hAnsi="Arial" w:cs="Arial"/>
          <w:bCs/>
          <w:iCs/>
        </w:rPr>
        <w:t>August</w:t>
      </w:r>
      <w:r w:rsidR="007B7640" w:rsidRPr="00CD59CC">
        <w:rPr>
          <w:rFonts w:ascii="Arial" w:hAnsi="Arial" w:cs="Arial"/>
          <w:bCs/>
          <w:iCs/>
        </w:rPr>
        <w:t xml:space="preserve"> </w:t>
      </w:r>
      <w:r w:rsidRPr="00CD59CC">
        <w:rPr>
          <w:rFonts w:ascii="Arial" w:hAnsi="Arial" w:cs="Arial"/>
          <w:bCs/>
          <w:iCs/>
        </w:rPr>
        <w:t>2013,</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rules</w:t>
      </w:r>
      <w:r w:rsidR="007B7640" w:rsidRPr="00CD59CC">
        <w:rPr>
          <w:rFonts w:ascii="Arial" w:hAnsi="Arial" w:cs="Arial"/>
          <w:bCs/>
          <w:iCs/>
        </w:rPr>
        <w:t xml:space="preserve"> </w:t>
      </w:r>
      <w:r w:rsidRPr="00CD59CC">
        <w:rPr>
          <w:rFonts w:ascii="Arial" w:hAnsi="Arial" w:cs="Arial"/>
          <w:bCs/>
          <w:iCs/>
        </w:rPr>
        <w:t>pertaining</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testing</w:t>
      </w:r>
      <w:r w:rsidR="007B7640" w:rsidRPr="00CD59CC">
        <w:rPr>
          <w:rFonts w:ascii="Arial" w:hAnsi="Arial" w:cs="Arial"/>
          <w:bCs/>
          <w:iCs/>
        </w:rPr>
        <w:t xml:space="preserve"> </w:t>
      </w:r>
      <w:r w:rsidRPr="00CD59CC">
        <w:rPr>
          <w:rFonts w:ascii="Arial" w:hAnsi="Arial" w:cs="Arial"/>
          <w:bCs/>
          <w:iCs/>
        </w:rPr>
        <w:t>were</w:t>
      </w:r>
      <w:r w:rsidR="007B7640" w:rsidRPr="00CD59CC">
        <w:rPr>
          <w:rFonts w:ascii="Arial" w:hAnsi="Arial" w:cs="Arial"/>
          <w:bCs/>
          <w:iCs/>
        </w:rPr>
        <w:t xml:space="preserve"> </w:t>
      </w:r>
      <w:r w:rsidRPr="00CD59CC">
        <w:rPr>
          <w:rFonts w:ascii="Arial" w:hAnsi="Arial" w:cs="Arial"/>
          <w:bCs/>
          <w:iCs/>
        </w:rPr>
        <w:t>moved</w:t>
      </w:r>
      <w:r w:rsidR="007B7640" w:rsidRPr="00CD59CC">
        <w:rPr>
          <w:rFonts w:ascii="Arial" w:hAnsi="Arial" w:cs="Arial"/>
          <w:bCs/>
          <w:iCs/>
        </w:rPr>
        <w:t xml:space="preserve"> </w:t>
      </w:r>
      <w:r w:rsidRPr="00CD59CC">
        <w:rPr>
          <w:rFonts w:ascii="Arial" w:hAnsi="Arial" w:cs="Arial"/>
          <w:bCs/>
          <w:iCs/>
        </w:rPr>
        <w:t>into</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ETA,</w:t>
      </w:r>
      <w:r w:rsidR="007B7640" w:rsidRPr="00CD59CC">
        <w:rPr>
          <w:rFonts w:ascii="Arial" w:hAnsi="Arial" w:cs="Arial"/>
          <w:bCs/>
          <w:iCs/>
        </w:rPr>
        <w:t xml:space="preserve"> </w:t>
      </w:r>
      <w:r w:rsidRPr="00CD59CC">
        <w:rPr>
          <w:rFonts w:ascii="Arial" w:hAnsi="Arial" w:cs="Arial"/>
          <w:bCs/>
          <w:iCs/>
        </w:rPr>
        <w:t>but</w:t>
      </w:r>
      <w:r w:rsidR="007B7640" w:rsidRPr="00CD59CC">
        <w:rPr>
          <w:rFonts w:ascii="Arial" w:hAnsi="Arial" w:cs="Arial"/>
          <w:bCs/>
          <w:iCs/>
        </w:rPr>
        <w:t xml:space="preserve"> </w:t>
      </w:r>
      <w:r w:rsidRPr="00CD59CC">
        <w:rPr>
          <w:rFonts w:ascii="Arial" w:hAnsi="Arial" w:cs="Arial"/>
          <w:bCs/>
          <w:iCs/>
        </w:rPr>
        <w:t>have</w:t>
      </w:r>
      <w:r w:rsidR="007B7640" w:rsidRPr="00CD59CC">
        <w:rPr>
          <w:rFonts w:ascii="Arial" w:hAnsi="Arial" w:cs="Arial"/>
          <w:bCs/>
          <w:iCs/>
        </w:rPr>
        <w:t xml:space="preserve"> </w:t>
      </w:r>
      <w:r w:rsidRPr="00CD59CC">
        <w:rPr>
          <w:rFonts w:ascii="Arial" w:hAnsi="Arial" w:cs="Arial"/>
          <w:bCs/>
          <w:iCs/>
        </w:rPr>
        <w:t>remained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same</w:t>
      </w:r>
      <w:r w:rsidR="007B7640" w:rsidRPr="00CD59CC">
        <w:rPr>
          <w:rFonts w:ascii="Arial" w:hAnsi="Arial" w:cs="Arial"/>
          <w:bCs/>
          <w:iCs/>
        </w:rPr>
        <w:t xml:space="preserve"> </w:t>
      </w: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far</w:t>
      </w:r>
      <w:r w:rsidR="007B7640" w:rsidRPr="00CD59CC">
        <w:rPr>
          <w:rFonts w:ascii="Arial" w:hAnsi="Arial" w:cs="Arial"/>
          <w:bCs/>
          <w:iCs/>
        </w:rPr>
        <w:t xml:space="preserve"> </w:t>
      </w: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their</w:t>
      </w:r>
      <w:r w:rsidR="007B7640" w:rsidRPr="00CD59CC">
        <w:rPr>
          <w:rFonts w:ascii="Arial" w:hAnsi="Arial" w:cs="Arial"/>
          <w:bCs/>
          <w:iCs/>
        </w:rPr>
        <w:t xml:space="preserve"> </w:t>
      </w:r>
      <w:r w:rsidRPr="00CD59CC">
        <w:rPr>
          <w:rFonts w:ascii="Arial" w:hAnsi="Arial" w:cs="Arial"/>
          <w:bCs/>
          <w:iCs/>
        </w:rPr>
        <w:t>substance</w:t>
      </w:r>
      <w:r w:rsidR="007B7640" w:rsidRPr="00CD59CC">
        <w:rPr>
          <w:rFonts w:ascii="Arial" w:hAnsi="Arial" w:cs="Arial"/>
          <w:bCs/>
          <w:iCs/>
        </w:rPr>
        <w:t xml:space="preserve"> </w:t>
      </w:r>
      <w:r w:rsidRPr="00CD59CC">
        <w:rPr>
          <w:rFonts w:ascii="Arial" w:hAnsi="Arial" w:cs="Arial"/>
          <w:bCs/>
          <w:iCs/>
        </w:rPr>
        <w:t>is</w:t>
      </w:r>
      <w:r w:rsidR="007B7640" w:rsidRPr="00CD59CC">
        <w:rPr>
          <w:rFonts w:ascii="Arial" w:hAnsi="Arial" w:cs="Arial"/>
          <w:bCs/>
          <w:iCs/>
        </w:rPr>
        <w:t xml:space="preserve"> </w:t>
      </w:r>
      <w:r w:rsidRPr="00CD59CC">
        <w:rPr>
          <w:rFonts w:ascii="Arial" w:hAnsi="Arial" w:cs="Arial"/>
          <w:bCs/>
          <w:iCs/>
        </w:rPr>
        <w:t>concerned.</w:t>
      </w:r>
    </w:p>
    <w:p w14:paraId="0D953F2C" w14:textId="77777777" w:rsidR="00E04499" w:rsidRPr="00CD59CC" w:rsidRDefault="00E04499" w:rsidP="00CD59CC">
      <w:pPr>
        <w:rPr>
          <w:rFonts w:ascii="Arial" w:hAnsi="Arial" w:cs="Arial"/>
          <w:bCs/>
          <w:iCs/>
        </w:rPr>
      </w:pPr>
    </w:p>
    <w:p w14:paraId="27C036EC" w14:textId="4A9BB646" w:rsidR="00B528C5" w:rsidRDefault="00E04499" w:rsidP="00CD59CC">
      <w:pPr>
        <w:rPr>
          <w:rFonts w:ascii="Arial" w:hAnsi="Arial" w:cs="Arial"/>
          <w:bCs/>
          <w:iCs/>
        </w:rPr>
      </w:pPr>
      <w:r w:rsidRPr="00CD59CC">
        <w:rPr>
          <w:rFonts w:ascii="Arial" w:hAnsi="Arial" w:cs="Arial"/>
          <w:bCs/>
          <w:iCs/>
        </w:rPr>
        <w:t>Article</w:t>
      </w:r>
      <w:r w:rsidR="007B7640" w:rsidRPr="00CD59CC">
        <w:rPr>
          <w:rFonts w:ascii="Arial" w:hAnsi="Arial" w:cs="Arial"/>
          <w:bCs/>
          <w:iCs/>
        </w:rPr>
        <w:t xml:space="preserve"> </w:t>
      </w:r>
      <w:r w:rsidRPr="00CD59CC">
        <w:rPr>
          <w:rFonts w:ascii="Arial" w:hAnsi="Arial" w:cs="Arial"/>
          <w:bCs/>
          <w:iCs/>
        </w:rPr>
        <w:t>15/A</w:t>
      </w:r>
      <w:r w:rsidR="007B7640" w:rsidRPr="00CD59CC">
        <w:rPr>
          <w:rFonts w:ascii="Arial" w:hAnsi="Arial" w:cs="Arial"/>
          <w:bCs/>
          <w:iCs/>
        </w:rPr>
        <w:t xml:space="preserve"> </w:t>
      </w:r>
      <w:r w:rsidRPr="00CD59CC">
        <w:rPr>
          <w:rFonts w:ascii="Arial" w:hAnsi="Arial" w:cs="Arial"/>
          <w:bCs/>
          <w:iCs/>
        </w:rPr>
        <w:t>(1)</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ETA</w:t>
      </w:r>
      <w:r w:rsidR="007B7640" w:rsidRPr="00CD59CC">
        <w:rPr>
          <w:rFonts w:ascii="Arial" w:hAnsi="Arial" w:cs="Arial"/>
          <w:bCs/>
          <w:iCs/>
        </w:rPr>
        <w:t xml:space="preserve"> </w:t>
      </w:r>
      <w:r w:rsidRPr="00CD59CC">
        <w:rPr>
          <w:rFonts w:ascii="Arial" w:hAnsi="Arial" w:cs="Arial"/>
          <w:bCs/>
          <w:iCs/>
        </w:rPr>
        <w:t>runs</w:t>
      </w:r>
      <w:r w:rsidR="007B7640" w:rsidRPr="00CD59CC">
        <w:rPr>
          <w:rFonts w:ascii="Arial" w:hAnsi="Arial" w:cs="Arial"/>
          <w:bCs/>
          <w:iCs/>
        </w:rPr>
        <w:t xml:space="preserve"> </w:t>
      </w: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follows:</w:t>
      </w:r>
      <w:r w:rsidR="007B7640" w:rsidRPr="00CD59CC">
        <w:rPr>
          <w:rFonts w:ascii="Arial" w:hAnsi="Arial" w:cs="Arial"/>
          <w:bCs/>
          <w:iCs/>
        </w:rPr>
        <w:t xml:space="preserve"> </w:t>
      </w:r>
      <w:r w:rsidR="00D0654C" w:rsidRPr="00CD59CC">
        <w:rPr>
          <w:rFonts w:ascii="Arial" w:hAnsi="Arial" w:cs="Arial"/>
          <w:bCs/>
          <w:iCs/>
        </w:rPr>
        <w:t>“in</w:t>
      </w:r>
      <w:r w:rsidR="007B7640" w:rsidRPr="00CD59CC">
        <w:rPr>
          <w:rFonts w:ascii="Arial" w:hAnsi="Arial" w:cs="Arial"/>
          <w:bCs/>
          <w:iCs/>
        </w:rPr>
        <w:t xml:space="preserve"> </w:t>
      </w:r>
      <w:r w:rsidR="00D0654C" w:rsidRPr="00CD59CC">
        <w:rPr>
          <w:rFonts w:ascii="Arial" w:hAnsi="Arial" w:cs="Arial"/>
          <w:bCs/>
          <w:iCs/>
        </w:rPr>
        <w:t>relation</w:t>
      </w:r>
      <w:r w:rsidR="007B7640" w:rsidRPr="00CD59CC">
        <w:rPr>
          <w:rFonts w:ascii="Arial" w:hAnsi="Arial" w:cs="Arial"/>
          <w:bCs/>
          <w:iCs/>
        </w:rPr>
        <w:t xml:space="preserve"> </w:t>
      </w:r>
      <w:r w:rsidR="00D0654C" w:rsidRPr="00CD59CC">
        <w:rPr>
          <w:rFonts w:ascii="Arial" w:hAnsi="Arial" w:cs="Arial"/>
          <w:bCs/>
          <w:iCs/>
        </w:rPr>
        <w:t>to</w:t>
      </w:r>
      <w:r w:rsidR="007B7640" w:rsidRPr="00CD59CC">
        <w:rPr>
          <w:rFonts w:ascii="Arial" w:hAnsi="Arial" w:cs="Arial"/>
          <w:bCs/>
          <w:iCs/>
        </w:rPr>
        <w:t xml:space="preserve"> </w:t>
      </w:r>
      <w:r w:rsidR="00D0654C" w:rsidRPr="00CD59CC">
        <w:rPr>
          <w:rFonts w:ascii="Arial" w:hAnsi="Arial" w:cs="Arial"/>
          <w:bCs/>
          <w:iCs/>
        </w:rPr>
        <w:t>the</w:t>
      </w:r>
      <w:r w:rsidR="007B7640" w:rsidRPr="00CD59CC">
        <w:rPr>
          <w:rFonts w:ascii="Arial" w:hAnsi="Arial" w:cs="Arial"/>
          <w:bCs/>
          <w:iCs/>
        </w:rPr>
        <w:t xml:space="preserve"> </w:t>
      </w:r>
      <w:r w:rsidR="00D0654C" w:rsidRPr="00CD59CC">
        <w:rPr>
          <w:rFonts w:ascii="Arial" w:hAnsi="Arial" w:cs="Arial"/>
          <w:bCs/>
          <w:iCs/>
        </w:rPr>
        <w:t>behaviour,</w:t>
      </w:r>
      <w:r w:rsidR="007B7640" w:rsidRPr="00CD59CC">
        <w:rPr>
          <w:rFonts w:ascii="Arial" w:hAnsi="Arial" w:cs="Arial"/>
          <w:bCs/>
          <w:iCs/>
        </w:rPr>
        <w:t xml:space="preserve"> </w:t>
      </w:r>
      <w:r w:rsidR="00D0654C" w:rsidRPr="00CD59CC">
        <w:rPr>
          <w:rFonts w:ascii="Arial" w:hAnsi="Arial" w:cs="Arial"/>
          <w:bCs/>
          <w:iCs/>
        </w:rPr>
        <w:t>measure,</w:t>
      </w:r>
      <w:r w:rsidR="007B7640" w:rsidRPr="00CD59CC">
        <w:rPr>
          <w:rFonts w:ascii="Arial" w:hAnsi="Arial" w:cs="Arial"/>
          <w:bCs/>
          <w:iCs/>
        </w:rPr>
        <w:t xml:space="preserve"> </w:t>
      </w:r>
      <w:r w:rsidR="00D0654C" w:rsidRPr="00CD59CC">
        <w:rPr>
          <w:rFonts w:ascii="Arial" w:hAnsi="Arial" w:cs="Arial"/>
          <w:bCs/>
          <w:iCs/>
        </w:rPr>
        <w:t>condition,</w:t>
      </w:r>
      <w:r w:rsidR="007B7640" w:rsidRPr="00CD59CC">
        <w:rPr>
          <w:rFonts w:ascii="Arial" w:hAnsi="Arial" w:cs="Arial"/>
          <w:bCs/>
          <w:iCs/>
        </w:rPr>
        <w:t xml:space="preserve"> </w:t>
      </w:r>
      <w:r w:rsidR="00D0654C" w:rsidRPr="00CD59CC">
        <w:rPr>
          <w:rFonts w:ascii="Arial" w:hAnsi="Arial" w:cs="Arial"/>
          <w:bCs/>
          <w:iCs/>
        </w:rPr>
        <w:t>omission,</w:t>
      </w:r>
      <w:r w:rsidR="007B7640" w:rsidRPr="00CD59CC">
        <w:rPr>
          <w:rFonts w:ascii="Arial" w:hAnsi="Arial" w:cs="Arial"/>
          <w:bCs/>
          <w:iCs/>
        </w:rPr>
        <w:t xml:space="preserve"> </w:t>
      </w:r>
      <w:r w:rsidR="00D0654C" w:rsidRPr="00CD59CC">
        <w:rPr>
          <w:rFonts w:ascii="Arial" w:hAnsi="Arial" w:cs="Arial"/>
          <w:bCs/>
          <w:iCs/>
        </w:rPr>
        <w:t>instruction</w:t>
      </w:r>
      <w:r w:rsidR="007B7640" w:rsidRPr="00CD59CC">
        <w:rPr>
          <w:rFonts w:ascii="Arial" w:hAnsi="Arial" w:cs="Arial"/>
          <w:bCs/>
          <w:iCs/>
        </w:rPr>
        <w:t xml:space="preserve"> </w:t>
      </w:r>
      <w:r w:rsidR="00D0654C" w:rsidRPr="00CD59CC">
        <w:rPr>
          <w:rFonts w:ascii="Arial" w:hAnsi="Arial" w:cs="Arial"/>
          <w:bCs/>
          <w:iCs/>
        </w:rPr>
        <w:t>or</w:t>
      </w:r>
      <w:r w:rsidR="007B7640" w:rsidRPr="00CD59CC">
        <w:rPr>
          <w:rFonts w:ascii="Arial" w:hAnsi="Arial" w:cs="Arial"/>
          <w:bCs/>
          <w:iCs/>
        </w:rPr>
        <w:t xml:space="preserve"> </w:t>
      </w:r>
      <w:r w:rsidR="00D0654C" w:rsidRPr="00CD59CC">
        <w:rPr>
          <w:rFonts w:ascii="Arial" w:hAnsi="Arial" w:cs="Arial"/>
          <w:bCs/>
          <w:iCs/>
        </w:rPr>
        <w:t>practice</w:t>
      </w:r>
      <w:r w:rsidR="007B7640" w:rsidRPr="00CD59CC">
        <w:rPr>
          <w:rFonts w:ascii="Arial" w:hAnsi="Arial" w:cs="Arial"/>
          <w:bCs/>
          <w:iCs/>
        </w:rPr>
        <w:t xml:space="preserve"> </w:t>
      </w:r>
      <w:r w:rsidR="00D0654C" w:rsidRPr="00CD59CC">
        <w:rPr>
          <w:rFonts w:ascii="Arial" w:hAnsi="Arial" w:cs="Arial"/>
          <w:bCs/>
          <w:iCs/>
        </w:rPr>
        <w:t>(hereinafter</w:t>
      </w:r>
      <w:r w:rsidR="007B7640" w:rsidRPr="00CD59CC">
        <w:rPr>
          <w:rFonts w:ascii="Arial" w:hAnsi="Arial" w:cs="Arial"/>
          <w:bCs/>
          <w:iCs/>
        </w:rPr>
        <w:t xml:space="preserve"> </w:t>
      </w:r>
      <w:r w:rsidR="00D0654C" w:rsidRPr="00CD59CC">
        <w:rPr>
          <w:rFonts w:ascii="Arial" w:hAnsi="Arial" w:cs="Arial"/>
          <w:bCs/>
          <w:iCs/>
        </w:rPr>
        <w:t>jointly:</w:t>
      </w:r>
      <w:r w:rsidR="007B7640" w:rsidRPr="00CD59CC">
        <w:rPr>
          <w:rFonts w:ascii="Arial" w:hAnsi="Arial" w:cs="Arial"/>
          <w:bCs/>
          <w:iCs/>
        </w:rPr>
        <w:t xml:space="preserve"> </w:t>
      </w:r>
      <w:r w:rsidR="00D0654C" w:rsidRPr="00CD59CC">
        <w:rPr>
          <w:rFonts w:ascii="Arial" w:hAnsi="Arial" w:cs="Arial"/>
          <w:bCs/>
          <w:iCs/>
        </w:rPr>
        <w:t>action)</w:t>
      </w:r>
      <w:r w:rsidR="007B7640" w:rsidRPr="00CD59CC">
        <w:rPr>
          <w:rFonts w:ascii="Arial" w:hAnsi="Arial" w:cs="Arial"/>
          <w:bCs/>
          <w:iCs/>
        </w:rPr>
        <w:t xml:space="preserve"> </w:t>
      </w:r>
      <w:r w:rsidR="00D0654C" w:rsidRPr="00CD59CC">
        <w:rPr>
          <w:rFonts w:ascii="Arial" w:hAnsi="Arial" w:cs="Arial"/>
          <w:bCs/>
          <w:iCs/>
        </w:rPr>
        <w:t>of</w:t>
      </w:r>
      <w:r w:rsidR="007B7640" w:rsidRPr="00CD59CC">
        <w:rPr>
          <w:rFonts w:ascii="Arial" w:hAnsi="Arial" w:cs="Arial"/>
          <w:bCs/>
          <w:iCs/>
        </w:rPr>
        <w:t xml:space="preserve"> </w:t>
      </w:r>
      <w:r w:rsidR="00D0654C" w:rsidRPr="00CD59CC">
        <w:rPr>
          <w:rFonts w:ascii="Arial" w:hAnsi="Arial" w:cs="Arial"/>
          <w:bCs/>
          <w:iCs/>
        </w:rPr>
        <w:t>the</w:t>
      </w:r>
      <w:r w:rsidR="007B7640" w:rsidRPr="00CD59CC">
        <w:rPr>
          <w:rFonts w:ascii="Arial" w:hAnsi="Arial" w:cs="Arial"/>
          <w:bCs/>
          <w:iCs/>
        </w:rPr>
        <w:t xml:space="preserve"> </w:t>
      </w:r>
      <w:r w:rsidR="00D0654C" w:rsidRPr="00CD59CC">
        <w:rPr>
          <w:rFonts w:ascii="Arial" w:hAnsi="Arial" w:cs="Arial"/>
          <w:bCs/>
          <w:iCs/>
        </w:rPr>
        <w:t>alleged</w:t>
      </w:r>
      <w:r w:rsidR="007B7640" w:rsidRPr="00CD59CC">
        <w:rPr>
          <w:rFonts w:ascii="Arial" w:hAnsi="Arial" w:cs="Arial"/>
          <w:bCs/>
          <w:iCs/>
        </w:rPr>
        <w:t xml:space="preserve"> </w:t>
      </w:r>
      <w:r w:rsidR="00D0654C" w:rsidRPr="00CD59CC">
        <w:rPr>
          <w:rFonts w:ascii="Arial" w:hAnsi="Arial" w:cs="Arial"/>
          <w:bCs/>
          <w:iCs/>
        </w:rPr>
        <w:t>discriminator</w:t>
      </w:r>
      <w:r w:rsidR="007B7640" w:rsidRPr="00CD59CC">
        <w:rPr>
          <w:rFonts w:ascii="Arial" w:hAnsi="Arial" w:cs="Arial"/>
          <w:bCs/>
          <w:iCs/>
        </w:rPr>
        <w:t xml:space="preserve"> </w:t>
      </w:r>
      <w:r w:rsidR="00D0654C" w:rsidRPr="00CD59CC">
        <w:rPr>
          <w:rFonts w:ascii="Arial" w:hAnsi="Arial" w:cs="Arial"/>
          <w:bCs/>
          <w:iCs/>
        </w:rPr>
        <w:t>the</w:t>
      </w:r>
      <w:r w:rsidR="007B7640" w:rsidRPr="00CD59CC">
        <w:rPr>
          <w:rFonts w:ascii="Arial" w:hAnsi="Arial" w:cs="Arial"/>
          <w:bCs/>
          <w:iCs/>
        </w:rPr>
        <w:t xml:space="preserve"> </w:t>
      </w:r>
      <w:r w:rsidR="00D0654C" w:rsidRPr="00CD59CC">
        <w:rPr>
          <w:rFonts w:ascii="Arial" w:hAnsi="Arial" w:cs="Arial"/>
          <w:bCs/>
          <w:iCs/>
        </w:rPr>
        <w:t>Authority</w:t>
      </w:r>
      <w:r w:rsidR="007B7640" w:rsidRPr="00CD59CC">
        <w:rPr>
          <w:rFonts w:ascii="Arial" w:hAnsi="Arial" w:cs="Arial"/>
          <w:bCs/>
          <w:iCs/>
        </w:rPr>
        <w:t xml:space="preserve"> </w:t>
      </w:r>
      <w:r w:rsidR="00D0654C" w:rsidRPr="00CD59CC">
        <w:rPr>
          <w:rFonts w:ascii="Arial" w:hAnsi="Arial" w:cs="Arial"/>
          <w:bCs/>
          <w:iCs/>
        </w:rPr>
        <w:t>puts</w:t>
      </w:r>
      <w:r w:rsidR="007B7640" w:rsidRPr="00CD59CC">
        <w:rPr>
          <w:rFonts w:ascii="Arial" w:hAnsi="Arial" w:cs="Arial"/>
          <w:bCs/>
          <w:iCs/>
        </w:rPr>
        <w:t xml:space="preserve"> </w:t>
      </w:r>
      <w:r w:rsidR="00D0654C" w:rsidRPr="00CD59CC">
        <w:rPr>
          <w:rFonts w:ascii="Arial" w:hAnsi="Arial" w:cs="Arial"/>
          <w:bCs/>
          <w:iCs/>
        </w:rPr>
        <w:t>into</w:t>
      </w:r>
      <w:r w:rsidR="007B7640" w:rsidRPr="00CD59CC">
        <w:rPr>
          <w:rFonts w:ascii="Arial" w:hAnsi="Arial" w:cs="Arial"/>
          <w:bCs/>
          <w:iCs/>
        </w:rPr>
        <w:t xml:space="preserve"> </w:t>
      </w:r>
      <w:r w:rsidR="00D0654C" w:rsidRPr="00CD59CC">
        <w:rPr>
          <w:rFonts w:ascii="Arial" w:hAnsi="Arial" w:cs="Arial"/>
          <w:bCs/>
          <w:iCs/>
        </w:rPr>
        <w:t>an</w:t>
      </w:r>
      <w:r w:rsidR="007B7640" w:rsidRPr="00CD59CC">
        <w:rPr>
          <w:rFonts w:ascii="Arial" w:hAnsi="Arial" w:cs="Arial"/>
          <w:bCs/>
          <w:iCs/>
        </w:rPr>
        <w:t xml:space="preserve"> </w:t>
      </w:r>
      <w:r w:rsidR="00D0654C" w:rsidRPr="00CD59CC">
        <w:rPr>
          <w:rFonts w:ascii="Arial" w:hAnsi="Arial" w:cs="Arial"/>
          <w:bCs/>
          <w:iCs/>
        </w:rPr>
        <w:t>identical</w:t>
      </w:r>
      <w:r w:rsidR="007B7640" w:rsidRPr="00CD59CC">
        <w:rPr>
          <w:rFonts w:ascii="Arial" w:hAnsi="Arial" w:cs="Arial"/>
          <w:bCs/>
          <w:iCs/>
        </w:rPr>
        <w:t xml:space="preserve"> </w:t>
      </w:r>
      <w:r w:rsidR="00D0654C" w:rsidRPr="00CD59CC">
        <w:rPr>
          <w:rFonts w:ascii="Arial" w:hAnsi="Arial" w:cs="Arial"/>
          <w:bCs/>
          <w:iCs/>
        </w:rPr>
        <w:t>situation</w:t>
      </w:r>
      <w:r w:rsidR="007B7640" w:rsidRPr="00CD59CC">
        <w:rPr>
          <w:rFonts w:ascii="Arial" w:hAnsi="Arial" w:cs="Arial"/>
          <w:bCs/>
          <w:iCs/>
        </w:rPr>
        <w:t xml:space="preserve"> </w:t>
      </w:r>
      <w:r w:rsidR="00D0654C" w:rsidRPr="00CD59CC">
        <w:rPr>
          <w:rFonts w:ascii="Arial" w:hAnsi="Arial" w:cs="Arial"/>
          <w:bCs/>
          <w:iCs/>
        </w:rPr>
        <w:t>persons</w:t>
      </w:r>
      <w:r w:rsidR="007B7640" w:rsidRPr="00CD59CC">
        <w:rPr>
          <w:rFonts w:ascii="Arial" w:hAnsi="Arial" w:cs="Arial"/>
          <w:bCs/>
          <w:iCs/>
        </w:rPr>
        <w:t xml:space="preserve"> </w:t>
      </w:r>
      <w:r w:rsidR="00D0654C" w:rsidRPr="00CD59CC">
        <w:rPr>
          <w:rFonts w:ascii="Arial" w:hAnsi="Arial" w:cs="Arial"/>
          <w:bCs/>
          <w:iCs/>
        </w:rPr>
        <w:t>who</w:t>
      </w:r>
      <w:r w:rsidR="007B7640" w:rsidRPr="00CD59CC">
        <w:rPr>
          <w:rFonts w:ascii="Arial" w:hAnsi="Arial" w:cs="Arial"/>
          <w:bCs/>
          <w:iCs/>
        </w:rPr>
        <w:t xml:space="preserve"> </w:t>
      </w:r>
      <w:r w:rsidR="00D0654C" w:rsidRPr="00CD59CC">
        <w:rPr>
          <w:rFonts w:ascii="Arial" w:hAnsi="Arial" w:cs="Arial"/>
          <w:bCs/>
          <w:iCs/>
        </w:rPr>
        <w:t>are</w:t>
      </w:r>
      <w:r w:rsidR="007B7640" w:rsidRPr="00CD59CC">
        <w:rPr>
          <w:rFonts w:ascii="Arial" w:hAnsi="Arial" w:cs="Arial"/>
          <w:bCs/>
          <w:iCs/>
        </w:rPr>
        <w:t xml:space="preserve"> </w:t>
      </w:r>
      <w:r w:rsidR="00D0654C" w:rsidRPr="00CD59CC">
        <w:rPr>
          <w:rFonts w:ascii="Arial" w:hAnsi="Arial" w:cs="Arial"/>
          <w:bCs/>
          <w:iCs/>
        </w:rPr>
        <w:t>different</w:t>
      </w:r>
      <w:r w:rsidR="007B7640" w:rsidRPr="00CD59CC">
        <w:rPr>
          <w:rFonts w:ascii="Arial" w:hAnsi="Arial" w:cs="Arial"/>
          <w:bCs/>
          <w:iCs/>
        </w:rPr>
        <w:t xml:space="preserve"> </w:t>
      </w:r>
      <w:r w:rsidR="00D0654C" w:rsidRPr="00CD59CC">
        <w:rPr>
          <w:rFonts w:ascii="Arial" w:hAnsi="Arial" w:cs="Arial"/>
          <w:bCs/>
          <w:iCs/>
        </w:rPr>
        <w:t>from</w:t>
      </w:r>
      <w:r w:rsidR="007B7640" w:rsidRPr="00CD59CC">
        <w:rPr>
          <w:rFonts w:ascii="Arial" w:hAnsi="Arial" w:cs="Arial"/>
          <w:bCs/>
          <w:iCs/>
        </w:rPr>
        <w:t xml:space="preserve"> </w:t>
      </w:r>
      <w:r w:rsidR="00D0654C" w:rsidRPr="00CD59CC">
        <w:rPr>
          <w:rFonts w:ascii="Arial" w:hAnsi="Arial" w:cs="Arial"/>
          <w:bCs/>
          <w:iCs/>
        </w:rPr>
        <w:t>the</w:t>
      </w:r>
      <w:r w:rsidR="007B7640" w:rsidRPr="00CD59CC">
        <w:rPr>
          <w:rFonts w:ascii="Arial" w:hAnsi="Arial" w:cs="Arial"/>
          <w:bCs/>
          <w:iCs/>
        </w:rPr>
        <w:t xml:space="preserve"> </w:t>
      </w:r>
      <w:r w:rsidR="00D0654C" w:rsidRPr="00CD59CC">
        <w:rPr>
          <w:rFonts w:ascii="Arial" w:hAnsi="Arial" w:cs="Arial"/>
          <w:bCs/>
          <w:iCs/>
        </w:rPr>
        <w:t>point</w:t>
      </w:r>
      <w:r w:rsidR="007B7640" w:rsidRPr="00CD59CC">
        <w:rPr>
          <w:rFonts w:ascii="Arial" w:hAnsi="Arial" w:cs="Arial"/>
          <w:bCs/>
          <w:iCs/>
        </w:rPr>
        <w:t xml:space="preserve"> </w:t>
      </w:r>
      <w:r w:rsidR="00D0654C" w:rsidRPr="00CD59CC">
        <w:rPr>
          <w:rFonts w:ascii="Arial" w:hAnsi="Arial" w:cs="Arial"/>
          <w:bCs/>
          <w:iCs/>
        </w:rPr>
        <w:t>of</w:t>
      </w:r>
      <w:r w:rsidR="007B7640" w:rsidRPr="00CD59CC">
        <w:rPr>
          <w:rFonts w:ascii="Arial" w:hAnsi="Arial" w:cs="Arial"/>
          <w:bCs/>
          <w:iCs/>
        </w:rPr>
        <w:t xml:space="preserve"> </w:t>
      </w:r>
      <w:r w:rsidR="00D0654C" w:rsidRPr="00CD59CC">
        <w:rPr>
          <w:rFonts w:ascii="Arial" w:hAnsi="Arial" w:cs="Arial"/>
          <w:bCs/>
          <w:iCs/>
        </w:rPr>
        <w:t>view</w:t>
      </w:r>
      <w:r w:rsidR="007B7640" w:rsidRPr="00CD59CC">
        <w:rPr>
          <w:rFonts w:ascii="Arial" w:hAnsi="Arial" w:cs="Arial"/>
          <w:bCs/>
          <w:iCs/>
        </w:rPr>
        <w:t xml:space="preserve"> </w:t>
      </w:r>
      <w:r w:rsidR="00D0654C" w:rsidRPr="00CD59CC">
        <w:rPr>
          <w:rFonts w:ascii="Arial" w:hAnsi="Arial" w:cs="Arial"/>
          <w:bCs/>
          <w:iCs/>
        </w:rPr>
        <w:t>of</w:t>
      </w:r>
      <w:r w:rsidR="007B7640" w:rsidRPr="00CD59CC">
        <w:rPr>
          <w:rFonts w:ascii="Arial" w:hAnsi="Arial" w:cs="Arial"/>
          <w:bCs/>
          <w:iCs/>
        </w:rPr>
        <w:t xml:space="preserve"> </w:t>
      </w:r>
      <w:r w:rsidR="00D0654C" w:rsidRPr="00CD59CC">
        <w:rPr>
          <w:rFonts w:ascii="Arial" w:hAnsi="Arial" w:cs="Arial"/>
          <w:bCs/>
          <w:iCs/>
        </w:rPr>
        <w:t>a</w:t>
      </w:r>
      <w:r w:rsidR="007B7640" w:rsidRPr="00CD59CC">
        <w:rPr>
          <w:rFonts w:ascii="Arial" w:hAnsi="Arial" w:cs="Arial"/>
          <w:bCs/>
          <w:iCs/>
        </w:rPr>
        <w:t xml:space="preserve"> </w:t>
      </w:r>
      <w:r w:rsidR="00D0654C" w:rsidRPr="00CD59CC">
        <w:rPr>
          <w:rFonts w:ascii="Arial" w:hAnsi="Arial" w:cs="Arial"/>
          <w:bCs/>
          <w:iCs/>
        </w:rPr>
        <w:t>characteristic,</w:t>
      </w:r>
      <w:r w:rsidR="007B7640" w:rsidRPr="00CD59CC">
        <w:rPr>
          <w:rFonts w:ascii="Arial" w:hAnsi="Arial" w:cs="Arial"/>
          <w:bCs/>
          <w:iCs/>
        </w:rPr>
        <w:t xml:space="preserve"> </w:t>
      </w:r>
      <w:r w:rsidR="00D0654C" w:rsidRPr="00CD59CC">
        <w:rPr>
          <w:rFonts w:ascii="Arial" w:hAnsi="Arial" w:cs="Arial"/>
          <w:bCs/>
          <w:iCs/>
        </w:rPr>
        <w:t>feature</w:t>
      </w:r>
      <w:r w:rsidR="007B7640" w:rsidRPr="00CD59CC">
        <w:rPr>
          <w:rFonts w:ascii="Arial" w:hAnsi="Arial" w:cs="Arial"/>
          <w:bCs/>
          <w:iCs/>
        </w:rPr>
        <w:t xml:space="preserve"> </w:t>
      </w:r>
      <w:r w:rsidR="00D0654C" w:rsidRPr="00CD59CC">
        <w:rPr>
          <w:rFonts w:ascii="Arial" w:hAnsi="Arial" w:cs="Arial"/>
          <w:bCs/>
          <w:iCs/>
        </w:rPr>
        <w:t>or</w:t>
      </w:r>
      <w:r w:rsidR="007B7640" w:rsidRPr="00CD59CC">
        <w:rPr>
          <w:rFonts w:ascii="Arial" w:hAnsi="Arial" w:cs="Arial"/>
          <w:bCs/>
          <w:iCs/>
        </w:rPr>
        <w:t xml:space="preserve"> </w:t>
      </w:r>
      <w:r w:rsidR="00D0654C" w:rsidRPr="00CD59CC">
        <w:rPr>
          <w:rFonts w:ascii="Arial" w:hAnsi="Arial" w:cs="Arial"/>
          <w:bCs/>
          <w:iCs/>
        </w:rPr>
        <w:t>status</w:t>
      </w:r>
      <w:r w:rsidR="007B7640" w:rsidRPr="00CD59CC">
        <w:rPr>
          <w:rFonts w:ascii="Arial" w:hAnsi="Arial" w:cs="Arial"/>
          <w:bCs/>
          <w:iCs/>
        </w:rPr>
        <w:t xml:space="preserve"> </w:t>
      </w:r>
      <w:r w:rsidR="00D0654C" w:rsidRPr="00CD59CC">
        <w:rPr>
          <w:rFonts w:ascii="Arial" w:hAnsi="Arial" w:cs="Arial"/>
          <w:bCs/>
          <w:iCs/>
        </w:rPr>
        <w:t>(hereinafter</w:t>
      </w:r>
      <w:r w:rsidR="007B7640" w:rsidRPr="00CD59CC">
        <w:rPr>
          <w:rFonts w:ascii="Arial" w:hAnsi="Arial" w:cs="Arial"/>
          <w:bCs/>
          <w:iCs/>
        </w:rPr>
        <w:t xml:space="preserve"> </w:t>
      </w:r>
      <w:r w:rsidR="00D0654C" w:rsidRPr="00CD59CC">
        <w:rPr>
          <w:rFonts w:ascii="Arial" w:hAnsi="Arial" w:cs="Arial"/>
          <w:bCs/>
          <w:iCs/>
        </w:rPr>
        <w:t>jointly:</w:t>
      </w:r>
      <w:r w:rsidR="007B7640" w:rsidRPr="00CD59CC">
        <w:rPr>
          <w:rFonts w:ascii="Arial" w:hAnsi="Arial" w:cs="Arial"/>
          <w:bCs/>
          <w:iCs/>
        </w:rPr>
        <w:t xml:space="preserve"> </w:t>
      </w:r>
      <w:r w:rsidR="00D0654C" w:rsidRPr="00CD59CC">
        <w:rPr>
          <w:rFonts w:ascii="Arial" w:hAnsi="Arial" w:cs="Arial"/>
          <w:bCs/>
          <w:iCs/>
        </w:rPr>
        <w:t>characteristic)</w:t>
      </w:r>
      <w:r w:rsidR="007B7640" w:rsidRPr="00CD59CC">
        <w:rPr>
          <w:rFonts w:ascii="Arial" w:hAnsi="Arial" w:cs="Arial"/>
          <w:bCs/>
          <w:iCs/>
        </w:rPr>
        <w:t xml:space="preserve"> </w:t>
      </w:r>
      <w:r w:rsidR="00D0654C" w:rsidRPr="00CD59CC">
        <w:rPr>
          <w:rFonts w:ascii="Arial" w:hAnsi="Arial" w:cs="Arial"/>
          <w:bCs/>
          <w:iCs/>
        </w:rPr>
        <w:t>defined</w:t>
      </w:r>
      <w:r w:rsidR="007B7640" w:rsidRPr="00CD59CC">
        <w:rPr>
          <w:rFonts w:ascii="Arial" w:hAnsi="Arial" w:cs="Arial"/>
          <w:bCs/>
          <w:iCs/>
        </w:rPr>
        <w:t xml:space="preserve"> </w:t>
      </w:r>
      <w:r w:rsidR="00D0654C" w:rsidRPr="00CD59CC">
        <w:rPr>
          <w:rFonts w:ascii="Arial" w:hAnsi="Arial" w:cs="Arial"/>
          <w:bCs/>
          <w:iCs/>
        </w:rPr>
        <w:t>in</w:t>
      </w:r>
      <w:r w:rsidR="007B7640" w:rsidRPr="00CD59CC">
        <w:rPr>
          <w:rFonts w:ascii="Arial" w:hAnsi="Arial" w:cs="Arial"/>
          <w:bCs/>
          <w:iCs/>
        </w:rPr>
        <w:t xml:space="preserve"> </w:t>
      </w:r>
      <w:r w:rsidR="00D0654C" w:rsidRPr="00CD59CC">
        <w:rPr>
          <w:rFonts w:ascii="Arial" w:hAnsi="Arial" w:cs="Arial"/>
          <w:bCs/>
          <w:iCs/>
        </w:rPr>
        <w:t>Article</w:t>
      </w:r>
      <w:r w:rsidR="007B7640" w:rsidRPr="00CD59CC">
        <w:rPr>
          <w:rFonts w:ascii="Arial" w:hAnsi="Arial" w:cs="Arial"/>
          <w:bCs/>
          <w:iCs/>
        </w:rPr>
        <w:t xml:space="preserve"> </w:t>
      </w:r>
      <w:r w:rsidR="00D0654C" w:rsidRPr="00CD59CC">
        <w:rPr>
          <w:rFonts w:ascii="Arial" w:hAnsi="Arial" w:cs="Arial"/>
          <w:bCs/>
          <w:iCs/>
        </w:rPr>
        <w:t>8</w:t>
      </w:r>
      <w:r w:rsidR="007B7640" w:rsidRPr="00CD59CC">
        <w:rPr>
          <w:rFonts w:ascii="Arial" w:hAnsi="Arial" w:cs="Arial"/>
          <w:bCs/>
          <w:iCs/>
        </w:rPr>
        <w:t xml:space="preserve"> </w:t>
      </w:r>
      <w:r w:rsidR="00D0654C" w:rsidRPr="00CD59CC">
        <w:rPr>
          <w:rFonts w:ascii="Arial" w:hAnsi="Arial" w:cs="Arial"/>
          <w:bCs/>
          <w:iCs/>
        </w:rPr>
        <w:t>of</w:t>
      </w:r>
      <w:r w:rsidR="007B7640" w:rsidRPr="00CD59CC">
        <w:rPr>
          <w:rFonts w:ascii="Arial" w:hAnsi="Arial" w:cs="Arial"/>
          <w:bCs/>
          <w:iCs/>
        </w:rPr>
        <w:t xml:space="preserve"> </w:t>
      </w:r>
      <w:r w:rsidR="00D0654C" w:rsidRPr="00CD59CC">
        <w:rPr>
          <w:rFonts w:ascii="Arial" w:hAnsi="Arial" w:cs="Arial"/>
          <w:bCs/>
          <w:iCs/>
        </w:rPr>
        <w:t>the</w:t>
      </w:r>
      <w:r w:rsidR="007B7640" w:rsidRPr="00CD59CC">
        <w:rPr>
          <w:rFonts w:ascii="Arial" w:hAnsi="Arial" w:cs="Arial"/>
          <w:bCs/>
          <w:iCs/>
        </w:rPr>
        <w:t xml:space="preserve"> </w:t>
      </w:r>
      <w:r w:rsidR="00D0654C" w:rsidRPr="00CD59CC">
        <w:rPr>
          <w:rFonts w:ascii="Arial" w:hAnsi="Arial" w:cs="Arial"/>
          <w:bCs/>
          <w:iCs/>
        </w:rPr>
        <w:t>ETA</w:t>
      </w:r>
      <w:r w:rsidR="007B7640" w:rsidRPr="00CD59CC">
        <w:rPr>
          <w:rFonts w:ascii="Arial" w:hAnsi="Arial" w:cs="Arial"/>
          <w:bCs/>
          <w:iCs/>
        </w:rPr>
        <w:t xml:space="preserve"> </w:t>
      </w:r>
      <w:r w:rsidR="00D0654C" w:rsidRPr="00CD59CC">
        <w:rPr>
          <w:rFonts w:ascii="Arial" w:hAnsi="Arial" w:cs="Arial"/>
          <w:bCs/>
          <w:iCs/>
        </w:rPr>
        <w:t>but</w:t>
      </w:r>
      <w:r w:rsidR="007B7640" w:rsidRPr="00CD59CC">
        <w:rPr>
          <w:rFonts w:ascii="Arial" w:hAnsi="Arial" w:cs="Arial"/>
          <w:bCs/>
          <w:iCs/>
        </w:rPr>
        <w:t xml:space="preserve"> </w:t>
      </w:r>
      <w:r w:rsidR="00D0654C" w:rsidRPr="00CD59CC">
        <w:rPr>
          <w:rFonts w:ascii="Arial" w:hAnsi="Arial" w:cs="Arial"/>
          <w:bCs/>
          <w:iCs/>
        </w:rPr>
        <w:t>are</w:t>
      </w:r>
      <w:r w:rsidR="007B7640" w:rsidRPr="00CD59CC">
        <w:rPr>
          <w:rFonts w:ascii="Arial" w:hAnsi="Arial" w:cs="Arial"/>
          <w:bCs/>
          <w:iCs/>
        </w:rPr>
        <w:t xml:space="preserve"> </w:t>
      </w:r>
      <w:r w:rsidR="00D0654C" w:rsidRPr="00CD59CC">
        <w:rPr>
          <w:rFonts w:ascii="Arial" w:hAnsi="Arial" w:cs="Arial"/>
          <w:bCs/>
          <w:iCs/>
        </w:rPr>
        <w:t>similar</w:t>
      </w:r>
      <w:r w:rsidR="007B7640" w:rsidRPr="00CD59CC">
        <w:rPr>
          <w:rFonts w:ascii="Arial" w:hAnsi="Arial" w:cs="Arial"/>
          <w:bCs/>
          <w:iCs/>
        </w:rPr>
        <w:t xml:space="preserve"> </w:t>
      </w:r>
      <w:r w:rsidR="00D0654C" w:rsidRPr="00CD59CC">
        <w:rPr>
          <w:rFonts w:ascii="Arial" w:hAnsi="Arial" w:cs="Arial"/>
          <w:bCs/>
          <w:iCs/>
        </w:rPr>
        <w:t>from</w:t>
      </w:r>
      <w:r w:rsidR="007B7640" w:rsidRPr="00CD59CC">
        <w:rPr>
          <w:rFonts w:ascii="Arial" w:hAnsi="Arial" w:cs="Arial"/>
          <w:bCs/>
          <w:iCs/>
        </w:rPr>
        <w:t xml:space="preserve"> </w:t>
      </w:r>
      <w:r w:rsidR="00D0654C" w:rsidRPr="00CD59CC">
        <w:rPr>
          <w:rFonts w:ascii="Arial" w:hAnsi="Arial" w:cs="Arial"/>
          <w:bCs/>
          <w:iCs/>
        </w:rPr>
        <w:t>the</w:t>
      </w:r>
      <w:r w:rsidR="007B7640" w:rsidRPr="00CD59CC">
        <w:rPr>
          <w:rFonts w:ascii="Arial" w:hAnsi="Arial" w:cs="Arial"/>
          <w:bCs/>
          <w:iCs/>
        </w:rPr>
        <w:t xml:space="preserve"> </w:t>
      </w:r>
      <w:r w:rsidR="00D0654C" w:rsidRPr="00CD59CC">
        <w:rPr>
          <w:rFonts w:ascii="Arial" w:hAnsi="Arial" w:cs="Arial"/>
          <w:bCs/>
          <w:iCs/>
        </w:rPr>
        <w:t>point</w:t>
      </w:r>
      <w:r w:rsidR="007B7640" w:rsidRPr="00CD59CC">
        <w:rPr>
          <w:rFonts w:ascii="Arial" w:hAnsi="Arial" w:cs="Arial"/>
          <w:bCs/>
          <w:iCs/>
        </w:rPr>
        <w:t xml:space="preserve"> </w:t>
      </w:r>
      <w:r w:rsidR="00D0654C" w:rsidRPr="00CD59CC">
        <w:rPr>
          <w:rFonts w:ascii="Arial" w:hAnsi="Arial" w:cs="Arial"/>
          <w:bCs/>
          <w:iCs/>
        </w:rPr>
        <w:t>of</w:t>
      </w:r>
      <w:r w:rsidR="007B7640" w:rsidRPr="00CD59CC">
        <w:rPr>
          <w:rFonts w:ascii="Arial" w:hAnsi="Arial" w:cs="Arial"/>
          <w:bCs/>
          <w:iCs/>
        </w:rPr>
        <w:t xml:space="preserve"> </w:t>
      </w:r>
      <w:r w:rsidR="00D0654C" w:rsidRPr="00CD59CC">
        <w:rPr>
          <w:rFonts w:ascii="Arial" w:hAnsi="Arial" w:cs="Arial"/>
          <w:bCs/>
          <w:iCs/>
        </w:rPr>
        <w:t>view</w:t>
      </w:r>
      <w:r w:rsidR="007B7640" w:rsidRPr="00CD59CC">
        <w:rPr>
          <w:rFonts w:ascii="Arial" w:hAnsi="Arial" w:cs="Arial"/>
          <w:bCs/>
          <w:iCs/>
        </w:rPr>
        <w:t xml:space="preserve"> </w:t>
      </w:r>
      <w:r w:rsidR="00D0654C" w:rsidRPr="00CD59CC">
        <w:rPr>
          <w:rFonts w:ascii="Arial" w:hAnsi="Arial" w:cs="Arial"/>
          <w:bCs/>
          <w:iCs/>
        </w:rPr>
        <w:t>of</w:t>
      </w:r>
      <w:r w:rsidR="007B7640" w:rsidRPr="00CD59CC">
        <w:rPr>
          <w:rFonts w:ascii="Arial" w:hAnsi="Arial" w:cs="Arial"/>
          <w:bCs/>
          <w:iCs/>
        </w:rPr>
        <w:t xml:space="preserve"> </w:t>
      </w:r>
      <w:r w:rsidR="00D0654C" w:rsidRPr="00CD59CC">
        <w:rPr>
          <w:rFonts w:ascii="Arial" w:hAnsi="Arial" w:cs="Arial"/>
          <w:bCs/>
          <w:iCs/>
        </w:rPr>
        <w:t>other</w:t>
      </w:r>
      <w:r w:rsidR="007B7640" w:rsidRPr="00CD59CC">
        <w:rPr>
          <w:rFonts w:ascii="Arial" w:hAnsi="Arial" w:cs="Arial"/>
          <w:bCs/>
          <w:iCs/>
        </w:rPr>
        <w:t xml:space="preserve"> </w:t>
      </w:r>
      <w:r w:rsidR="00D0654C" w:rsidRPr="00CD59CC">
        <w:rPr>
          <w:rFonts w:ascii="Arial" w:hAnsi="Arial" w:cs="Arial"/>
          <w:bCs/>
          <w:iCs/>
        </w:rPr>
        <w:t>characteristics,</w:t>
      </w:r>
      <w:r w:rsidR="007B7640" w:rsidRPr="00CD59CC">
        <w:rPr>
          <w:rFonts w:ascii="Arial" w:hAnsi="Arial" w:cs="Arial"/>
          <w:bCs/>
          <w:iCs/>
        </w:rPr>
        <w:t xml:space="preserve"> </w:t>
      </w:r>
      <w:r w:rsidR="00D0654C" w:rsidRPr="00CD59CC">
        <w:rPr>
          <w:rFonts w:ascii="Arial" w:hAnsi="Arial" w:cs="Arial"/>
          <w:bCs/>
          <w:iCs/>
        </w:rPr>
        <w:t>and</w:t>
      </w:r>
      <w:r w:rsidR="007B7640" w:rsidRPr="00CD59CC">
        <w:rPr>
          <w:rFonts w:ascii="Arial" w:hAnsi="Arial" w:cs="Arial"/>
          <w:bCs/>
          <w:iCs/>
        </w:rPr>
        <w:t xml:space="preserve"> </w:t>
      </w:r>
      <w:r w:rsidR="00D0654C" w:rsidRPr="00CD59CC">
        <w:rPr>
          <w:rFonts w:ascii="Arial" w:hAnsi="Arial" w:cs="Arial"/>
          <w:bCs/>
          <w:iCs/>
        </w:rPr>
        <w:t>it</w:t>
      </w:r>
      <w:r w:rsidR="007B7640" w:rsidRPr="00CD59CC">
        <w:rPr>
          <w:rFonts w:ascii="Arial" w:hAnsi="Arial" w:cs="Arial"/>
          <w:bCs/>
          <w:iCs/>
        </w:rPr>
        <w:t xml:space="preserve"> </w:t>
      </w:r>
      <w:r w:rsidR="00D0654C" w:rsidRPr="00CD59CC">
        <w:rPr>
          <w:rFonts w:ascii="Arial" w:hAnsi="Arial" w:cs="Arial"/>
          <w:bCs/>
          <w:iCs/>
        </w:rPr>
        <w:t>examines</w:t>
      </w:r>
      <w:r w:rsidR="007B7640" w:rsidRPr="00CD59CC">
        <w:rPr>
          <w:rFonts w:ascii="Arial" w:hAnsi="Arial" w:cs="Arial"/>
          <w:bCs/>
          <w:iCs/>
        </w:rPr>
        <w:t xml:space="preserve"> </w:t>
      </w:r>
      <w:r w:rsidR="00D0654C" w:rsidRPr="00CD59CC">
        <w:rPr>
          <w:rFonts w:ascii="Arial" w:hAnsi="Arial" w:cs="Arial"/>
          <w:bCs/>
          <w:iCs/>
        </w:rPr>
        <w:t>the</w:t>
      </w:r>
      <w:r w:rsidR="007B7640" w:rsidRPr="00CD59CC">
        <w:rPr>
          <w:rFonts w:ascii="Arial" w:hAnsi="Arial" w:cs="Arial"/>
          <w:bCs/>
          <w:iCs/>
        </w:rPr>
        <w:t xml:space="preserve"> </w:t>
      </w:r>
      <w:r w:rsidR="00D0654C" w:rsidRPr="00CD59CC">
        <w:rPr>
          <w:rFonts w:ascii="Arial" w:hAnsi="Arial" w:cs="Arial"/>
          <w:bCs/>
          <w:iCs/>
        </w:rPr>
        <w:t>action</w:t>
      </w:r>
      <w:r w:rsidR="007B7640" w:rsidRPr="00CD59CC">
        <w:rPr>
          <w:rFonts w:ascii="Arial" w:hAnsi="Arial" w:cs="Arial"/>
          <w:bCs/>
          <w:iCs/>
        </w:rPr>
        <w:t xml:space="preserve"> </w:t>
      </w:r>
      <w:r w:rsidR="00D0654C" w:rsidRPr="00CD59CC">
        <w:rPr>
          <w:rFonts w:ascii="Arial" w:hAnsi="Arial" w:cs="Arial"/>
          <w:bCs/>
          <w:iCs/>
        </w:rPr>
        <w:t>of</w:t>
      </w:r>
      <w:r w:rsidR="007B7640" w:rsidRPr="00CD59CC">
        <w:rPr>
          <w:rFonts w:ascii="Arial" w:hAnsi="Arial" w:cs="Arial"/>
          <w:bCs/>
          <w:iCs/>
        </w:rPr>
        <w:t xml:space="preserve"> </w:t>
      </w:r>
      <w:r w:rsidR="00D0654C" w:rsidRPr="00CD59CC">
        <w:rPr>
          <w:rFonts w:ascii="Arial" w:hAnsi="Arial" w:cs="Arial"/>
          <w:bCs/>
          <w:iCs/>
        </w:rPr>
        <w:t>the</w:t>
      </w:r>
      <w:r w:rsidR="007B7640" w:rsidRPr="00CD59CC">
        <w:rPr>
          <w:rFonts w:ascii="Arial" w:hAnsi="Arial" w:cs="Arial"/>
          <w:bCs/>
          <w:iCs/>
        </w:rPr>
        <w:t xml:space="preserve"> </w:t>
      </w:r>
      <w:r w:rsidR="00D0654C" w:rsidRPr="00CD59CC">
        <w:rPr>
          <w:rFonts w:ascii="Arial" w:hAnsi="Arial" w:cs="Arial"/>
          <w:bCs/>
          <w:iCs/>
        </w:rPr>
        <w:t>alleged</w:t>
      </w:r>
      <w:r w:rsidR="007B7640" w:rsidRPr="00CD59CC">
        <w:rPr>
          <w:rFonts w:ascii="Arial" w:hAnsi="Arial" w:cs="Arial"/>
          <w:bCs/>
          <w:iCs/>
        </w:rPr>
        <w:t xml:space="preserve"> </w:t>
      </w:r>
      <w:r w:rsidR="00D0654C" w:rsidRPr="00CD59CC">
        <w:rPr>
          <w:rFonts w:ascii="Arial" w:hAnsi="Arial" w:cs="Arial"/>
          <w:bCs/>
          <w:iCs/>
        </w:rPr>
        <w:t>discriminator</w:t>
      </w:r>
      <w:r w:rsidR="007B7640" w:rsidRPr="00CD59CC">
        <w:rPr>
          <w:rFonts w:ascii="Arial" w:hAnsi="Arial" w:cs="Arial"/>
          <w:bCs/>
          <w:iCs/>
        </w:rPr>
        <w:t xml:space="preserve"> </w:t>
      </w:r>
      <w:r w:rsidR="00D0654C" w:rsidRPr="00CD59CC">
        <w:rPr>
          <w:rFonts w:ascii="Arial" w:hAnsi="Arial" w:cs="Arial"/>
          <w:bCs/>
          <w:iCs/>
        </w:rPr>
        <w:t>in</w:t>
      </w:r>
      <w:r w:rsidR="007B7640" w:rsidRPr="00CD59CC">
        <w:rPr>
          <w:rFonts w:ascii="Arial" w:hAnsi="Arial" w:cs="Arial"/>
          <w:bCs/>
          <w:iCs/>
        </w:rPr>
        <w:t xml:space="preserve"> </w:t>
      </w:r>
      <w:r w:rsidR="00D0654C" w:rsidRPr="00CD59CC">
        <w:rPr>
          <w:rFonts w:ascii="Arial" w:hAnsi="Arial" w:cs="Arial"/>
          <w:bCs/>
          <w:iCs/>
        </w:rPr>
        <w:t>respect</w:t>
      </w:r>
      <w:r w:rsidR="007B7640" w:rsidRPr="00CD59CC">
        <w:rPr>
          <w:rFonts w:ascii="Arial" w:hAnsi="Arial" w:cs="Arial"/>
          <w:bCs/>
          <w:iCs/>
        </w:rPr>
        <w:t xml:space="preserve"> </w:t>
      </w:r>
      <w:r w:rsidR="00D0654C" w:rsidRPr="00CD59CC">
        <w:rPr>
          <w:rFonts w:ascii="Arial" w:hAnsi="Arial" w:cs="Arial"/>
          <w:bCs/>
          <w:iCs/>
        </w:rPr>
        <w:t>of</w:t>
      </w:r>
      <w:r w:rsidR="007B7640" w:rsidRPr="00CD59CC">
        <w:rPr>
          <w:rFonts w:ascii="Arial" w:hAnsi="Arial" w:cs="Arial"/>
          <w:bCs/>
          <w:iCs/>
        </w:rPr>
        <w:t xml:space="preserve"> </w:t>
      </w:r>
      <w:r w:rsidR="00D0654C" w:rsidRPr="00CD59CC">
        <w:rPr>
          <w:rFonts w:ascii="Arial" w:hAnsi="Arial" w:cs="Arial"/>
          <w:bCs/>
          <w:iCs/>
        </w:rPr>
        <w:t>these</w:t>
      </w:r>
      <w:r w:rsidR="007B7640" w:rsidRPr="00CD59CC">
        <w:rPr>
          <w:rFonts w:ascii="Arial" w:hAnsi="Arial" w:cs="Arial"/>
          <w:bCs/>
          <w:iCs/>
        </w:rPr>
        <w:t xml:space="preserve"> </w:t>
      </w:r>
      <w:r w:rsidR="00D0654C" w:rsidRPr="00CD59CC">
        <w:rPr>
          <w:rFonts w:ascii="Arial" w:hAnsi="Arial" w:cs="Arial"/>
          <w:bCs/>
          <w:iCs/>
        </w:rPr>
        <w:t>persons</w:t>
      </w:r>
      <w:r w:rsidR="007B7640" w:rsidRPr="00CD59CC">
        <w:rPr>
          <w:rFonts w:ascii="Arial" w:hAnsi="Arial" w:cs="Arial"/>
          <w:bCs/>
          <w:iCs/>
        </w:rPr>
        <w:t xml:space="preserve"> </w:t>
      </w:r>
      <w:r w:rsidR="00D0654C" w:rsidRPr="00CD59CC">
        <w:rPr>
          <w:rFonts w:ascii="Arial" w:hAnsi="Arial" w:cs="Arial"/>
          <w:bCs/>
          <w:iCs/>
        </w:rPr>
        <w:t>form</w:t>
      </w:r>
      <w:r w:rsidR="007B7640" w:rsidRPr="00CD59CC">
        <w:rPr>
          <w:rFonts w:ascii="Arial" w:hAnsi="Arial" w:cs="Arial"/>
          <w:bCs/>
          <w:iCs/>
        </w:rPr>
        <w:t xml:space="preserve"> </w:t>
      </w:r>
      <w:r w:rsidR="00D0654C" w:rsidRPr="00CD59CC">
        <w:rPr>
          <w:rFonts w:ascii="Arial" w:hAnsi="Arial" w:cs="Arial"/>
          <w:bCs/>
          <w:iCs/>
        </w:rPr>
        <w:t>the</w:t>
      </w:r>
      <w:r w:rsidR="007B7640" w:rsidRPr="00CD59CC">
        <w:rPr>
          <w:rFonts w:ascii="Arial" w:hAnsi="Arial" w:cs="Arial"/>
          <w:bCs/>
          <w:iCs/>
        </w:rPr>
        <w:t xml:space="preserve"> </w:t>
      </w:r>
      <w:r w:rsidR="00D0654C" w:rsidRPr="00CD59CC">
        <w:rPr>
          <w:rFonts w:ascii="Arial" w:hAnsi="Arial" w:cs="Arial"/>
          <w:bCs/>
          <w:iCs/>
        </w:rPr>
        <w:t>point</w:t>
      </w:r>
      <w:r w:rsidR="007B7640" w:rsidRPr="00CD59CC">
        <w:rPr>
          <w:rFonts w:ascii="Arial" w:hAnsi="Arial" w:cs="Arial"/>
          <w:bCs/>
          <w:iCs/>
        </w:rPr>
        <w:t xml:space="preserve"> </w:t>
      </w:r>
      <w:r w:rsidR="00D0654C" w:rsidRPr="00CD59CC">
        <w:rPr>
          <w:rFonts w:ascii="Arial" w:hAnsi="Arial" w:cs="Arial"/>
          <w:bCs/>
          <w:iCs/>
        </w:rPr>
        <w:t>of</w:t>
      </w:r>
      <w:r w:rsidR="007B7640" w:rsidRPr="00CD59CC">
        <w:rPr>
          <w:rFonts w:ascii="Arial" w:hAnsi="Arial" w:cs="Arial"/>
          <w:bCs/>
          <w:iCs/>
        </w:rPr>
        <w:t xml:space="preserve"> </w:t>
      </w:r>
      <w:r w:rsidR="00D0654C" w:rsidRPr="00CD59CC">
        <w:rPr>
          <w:rFonts w:ascii="Arial" w:hAnsi="Arial" w:cs="Arial"/>
          <w:bCs/>
          <w:iCs/>
        </w:rPr>
        <w:t>view</w:t>
      </w:r>
      <w:r w:rsidR="007B7640" w:rsidRPr="00CD59CC">
        <w:rPr>
          <w:rFonts w:ascii="Arial" w:hAnsi="Arial" w:cs="Arial"/>
          <w:bCs/>
          <w:iCs/>
        </w:rPr>
        <w:t xml:space="preserve"> </w:t>
      </w:r>
      <w:r w:rsidR="00D0654C" w:rsidRPr="00CD59CC">
        <w:rPr>
          <w:rFonts w:ascii="Arial" w:hAnsi="Arial" w:cs="Arial"/>
          <w:bCs/>
          <w:iCs/>
        </w:rPr>
        <w:t>of</w:t>
      </w:r>
      <w:r w:rsidR="007B7640" w:rsidRPr="00CD59CC">
        <w:rPr>
          <w:rFonts w:ascii="Arial" w:hAnsi="Arial" w:cs="Arial"/>
          <w:bCs/>
          <w:iCs/>
        </w:rPr>
        <w:t xml:space="preserve"> </w:t>
      </w:r>
      <w:r w:rsidR="00D0654C" w:rsidRPr="00CD59CC">
        <w:rPr>
          <w:rFonts w:ascii="Arial" w:hAnsi="Arial" w:cs="Arial"/>
          <w:bCs/>
          <w:iCs/>
        </w:rPr>
        <w:t>the</w:t>
      </w:r>
      <w:r w:rsidR="007B7640" w:rsidRPr="00CD59CC">
        <w:rPr>
          <w:rFonts w:ascii="Arial" w:hAnsi="Arial" w:cs="Arial"/>
          <w:bCs/>
          <w:iCs/>
        </w:rPr>
        <w:t xml:space="preserve"> </w:t>
      </w:r>
      <w:r w:rsidR="00D0654C" w:rsidRPr="00CD59CC">
        <w:rPr>
          <w:rFonts w:ascii="Arial" w:hAnsi="Arial" w:cs="Arial"/>
          <w:bCs/>
          <w:iCs/>
        </w:rPr>
        <w:t>respect</w:t>
      </w:r>
      <w:r w:rsidR="007B7640" w:rsidRPr="00CD59CC">
        <w:rPr>
          <w:rFonts w:ascii="Arial" w:hAnsi="Arial" w:cs="Arial"/>
          <w:bCs/>
          <w:iCs/>
        </w:rPr>
        <w:t xml:space="preserve"> </w:t>
      </w:r>
      <w:r w:rsidR="00D0654C" w:rsidRPr="00CD59CC">
        <w:rPr>
          <w:rFonts w:ascii="Arial" w:hAnsi="Arial" w:cs="Arial"/>
          <w:bCs/>
          <w:iCs/>
        </w:rPr>
        <w:t>for</w:t>
      </w:r>
      <w:r w:rsidR="007B7640" w:rsidRPr="00CD59CC">
        <w:rPr>
          <w:rFonts w:ascii="Arial" w:hAnsi="Arial" w:cs="Arial"/>
          <w:bCs/>
          <w:iCs/>
        </w:rPr>
        <w:t xml:space="preserve"> </w:t>
      </w:r>
      <w:r w:rsidR="00D0654C" w:rsidRPr="00CD59CC">
        <w:rPr>
          <w:rFonts w:ascii="Arial" w:hAnsi="Arial" w:cs="Arial"/>
          <w:bCs/>
          <w:iCs/>
        </w:rPr>
        <w:t>equal</w:t>
      </w:r>
      <w:r w:rsidR="007B7640" w:rsidRPr="00CD59CC">
        <w:rPr>
          <w:rFonts w:ascii="Arial" w:hAnsi="Arial" w:cs="Arial"/>
          <w:bCs/>
          <w:iCs/>
        </w:rPr>
        <w:t xml:space="preserve"> </w:t>
      </w:r>
      <w:r w:rsidR="00D0654C" w:rsidRPr="00CD59CC">
        <w:rPr>
          <w:rFonts w:ascii="Arial" w:hAnsi="Arial" w:cs="Arial"/>
          <w:bCs/>
          <w:iCs/>
        </w:rPr>
        <w:t>treatment.”</w:t>
      </w:r>
      <w:r w:rsidR="007B7640" w:rsidRPr="00CD59CC">
        <w:rPr>
          <w:rFonts w:ascii="Arial" w:hAnsi="Arial" w:cs="Arial"/>
          <w:bCs/>
          <w:iCs/>
        </w:rPr>
        <w:t xml:space="preserve"> </w:t>
      </w:r>
    </w:p>
    <w:p w14:paraId="1407D188" w14:textId="77777777" w:rsidR="00B97ED3" w:rsidRPr="00CD59CC" w:rsidRDefault="00B97ED3" w:rsidP="00CD59CC">
      <w:pPr>
        <w:rPr>
          <w:rFonts w:ascii="Arial" w:hAnsi="Arial" w:cs="Arial"/>
          <w:bCs/>
          <w:iCs/>
        </w:rPr>
      </w:pPr>
    </w:p>
    <w:p w14:paraId="0AFE0110" w14:textId="77777777" w:rsidR="00D0654C" w:rsidRPr="00CD59CC" w:rsidRDefault="00D0654C" w:rsidP="00CD59CC">
      <w:pPr>
        <w:pStyle w:val="f3fsz3fveg"/>
        <w:ind w:firstLine="0"/>
        <w:rPr>
          <w:rFonts w:ascii="Arial" w:hAnsi="Arial" w:cs="Arial"/>
          <w:bCs/>
          <w:iCs/>
          <w:sz w:val="24"/>
          <w:szCs w:val="24"/>
          <w:lang w:val="en-GB" w:eastAsia="en-US"/>
        </w:rPr>
      </w:pPr>
      <w:r w:rsidRPr="00CD59CC">
        <w:rPr>
          <w:rFonts w:ascii="Arial" w:hAnsi="Arial" w:cs="Arial"/>
          <w:bCs/>
          <w:iCs/>
          <w:sz w:val="24"/>
          <w:szCs w:val="24"/>
          <w:lang w:val="en-GB" w:eastAsia="en-US"/>
        </w:rPr>
        <w:t>Situation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testing</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may</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be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applied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relation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to</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all</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discrimination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grounds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and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all</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sectors,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but</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most</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publicised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cases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of</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situation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testing</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have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been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applied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relation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to</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discrimination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based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on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ethnicity.</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There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one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publicly</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available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case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which</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testing</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was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applied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to</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prove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discrimination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based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on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disability,</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however</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this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case,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testing</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was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unsuccessful.</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2006,</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visually</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impaired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complainant</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claimed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that</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when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he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had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applied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for</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advertised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job</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at</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employment</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agency</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bureau</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he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had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been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informed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that</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company</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only</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employed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people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who</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had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no</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visual</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impairment.</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testing</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did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not</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prove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discrimination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visually</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impaired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tester’s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application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was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recorded,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and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he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was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informed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that</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he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was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registered</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in</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the</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bureau’s</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data</w:t>
      </w:r>
      <w:r w:rsidR="007B7640" w:rsidRPr="00CD59CC">
        <w:rPr>
          <w:rFonts w:ascii="Arial" w:hAnsi="Arial" w:cs="Arial"/>
          <w:bCs/>
          <w:iCs/>
          <w:sz w:val="24"/>
          <w:szCs w:val="24"/>
          <w:lang w:val="en-GB" w:eastAsia="en-US"/>
        </w:rPr>
        <w:t xml:space="preserve"> </w:t>
      </w:r>
      <w:r w:rsidRPr="00CD59CC">
        <w:rPr>
          <w:rFonts w:ascii="Arial" w:hAnsi="Arial" w:cs="Arial"/>
          <w:bCs/>
          <w:iCs/>
          <w:sz w:val="24"/>
          <w:szCs w:val="24"/>
          <w:lang w:val="en-GB" w:eastAsia="en-US"/>
        </w:rPr>
        <w:t>base.</w:t>
      </w:r>
      <w:r w:rsidRPr="00CD59CC">
        <w:rPr>
          <w:rStyle w:val="FootnoteReference"/>
          <w:rFonts w:ascii="Arial" w:hAnsi="Arial" w:cs="Arial"/>
          <w:sz w:val="24"/>
          <w:szCs w:val="24"/>
          <w:lang w:val="en-GB"/>
        </w:rPr>
        <w:footnoteReference w:id="31"/>
      </w:r>
    </w:p>
    <w:p w14:paraId="4D7B6E32" w14:textId="77777777" w:rsidR="00D0654C" w:rsidRPr="00BB4E9F" w:rsidRDefault="00D0654C" w:rsidP="00CD59CC">
      <w:pPr>
        <w:ind w:left="567" w:hanging="567"/>
        <w:rPr>
          <w:rFonts w:ascii="Arial" w:hAnsi="Arial"/>
        </w:rPr>
      </w:pPr>
    </w:p>
    <w:p w14:paraId="133F5486" w14:textId="1A6C510A" w:rsidR="00D0654C" w:rsidRPr="00CD59CC" w:rsidRDefault="00D0654C" w:rsidP="00CD59CC">
      <w:pPr>
        <w:rPr>
          <w:rFonts w:ascii="Arial" w:hAnsi="Arial" w:cs="Arial"/>
          <w:iCs/>
        </w:rPr>
      </w:pPr>
      <w:r w:rsidRPr="00CD59CC">
        <w:rPr>
          <w:rFonts w:ascii="Arial" w:hAnsi="Arial" w:cs="Arial"/>
        </w:rPr>
        <w:t>Act</w:t>
      </w:r>
      <w:r w:rsidR="007B7640" w:rsidRPr="00CD59CC">
        <w:rPr>
          <w:rFonts w:ascii="Arial" w:hAnsi="Arial" w:cs="Arial"/>
        </w:rPr>
        <w:t xml:space="preserve"> </w:t>
      </w:r>
      <w:r w:rsidRPr="00CD59CC">
        <w:rPr>
          <w:rFonts w:ascii="Arial" w:hAnsi="Arial" w:cs="Arial"/>
        </w:rPr>
        <w:t>III</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1952</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Proc</w:t>
      </w:r>
      <w:r w:rsidR="00E04499" w:rsidRPr="00CD59CC">
        <w:rPr>
          <w:rFonts w:ascii="Arial" w:hAnsi="Arial" w:cs="Arial"/>
        </w:rPr>
        <w:t>edure</w:t>
      </w:r>
      <w:r w:rsidR="007B7640" w:rsidRPr="00CD59CC">
        <w:rPr>
          <w:rFonts w:ascii="Arial" w:hAnsi="Arial" w:cs="Arial"/>
        </w:rPr>
        <w:t xml:space="preserve"> </w:t>
      </w:r>
      <w:r w:rsidR="00E04499" w:rsidRPr="00CD59CC">
        <w:rPr>
          <w:rFonts w:ascii="Arial" w:hAnsi="Arial" w:cs="Arial"/>
        </w:rPr>
        <w:t>(Code</w:t>
      </w:r>
      <w:r w:rsidR="007B7640" w:rsidRPr="00CD59CC">
        <w:rPr>
          <w:rFonts w:ascii="Arial" w:hAnsi="Arial" w:cs="Arial"/>
        </w:rPr>
        <w:t xml:space="preserve"> </w:t>
      </w:r>
      <w:r w:rsidR="00E04499" w:rsidRPr="00CD59CC">
        <w:rPr>
          <w:rFonts w:ascii="Arial" w:hAnsi="Arial" w:cs="Arial"/>
        </w:rPr>
        <w:t>of</w:t>
      </w:r>
      <w:r w:rsidR="007B7640" w:rsidRPr="00CD59CC">
        <w:rPr>
          <w:rFonts w:ascii="Arial" w:hAnsi="Arial" w:cs="Arial"/>
        </w:rPr>
        <w:t xml:space="preserve"> </w:t>
      </w:r>
      <w:r w:rsidR="00E04499" w:rsidRPr="00CD59CC">
        <w:rPr>
          <w:rFonts w:ascii="Arial" w:hAnsi="Arial" w:cs="Arial"/>
        </w:rPr>
        <w:t>Civil</w:t>
      </w:r>
      <w:r w:rsidR="007B7640" w:rsidRPr="00CD59CC">
        <w:rPr>
          <w:rFonts w:ascii="Arial" w:hAnsi="Arial" w:cs="Arial"/>
        </w:rPr>
        <w:t xml:space="preserve"> </w:t>
      </w:r>
      <w:r w:rsidR="00E04499" w:rsidRPr="00CD59CC">
        <w:rPr>
          <w:rFonts w:ascii="Arial" w:hAnsi="Arial" w:cs="Arial"/>
        </w:rPr>
        <w:t>Procedure)</w:t>
      </w:r>
      <w:r w:rsidR="007B7640" w:rsidRPr="00CD59CC">
        <w:rPr>
          <w:rFonts w:ascii="Arial" w:hAnsi="Arial" w:cs="Arial"/>
        </w:rPr>
        <w:t xml:space="preserve"> </w:t>
      </w:r>
      <w:r w:rsidR="00E04499" w:rsidRPr="00CD59CC">
        <w:rPr>
          <w:rFonts w:ascii="Arial" w:hAnsi="Arial" w:cs="Arial"/>
        </w:rPr>
        <w:t>regulating</w:t>
      </w:r>
      <w:r w:rsidR="007B7640" w:rsidRPr="00CD59CC">
        <w:rPr>
          <w:rFonts w:ascii="Arial" w:hAnsi="Arial" w:cs="Arial"/>
        </w:rPr>
        <w:t xml:space="preserve"> </w:t>
      </w:r>
      <w:r w:rsidR="00E04499" w:rsidRPr="00CD59CC">
        <w:rPr>
          <w:rFonts w:ascii="Arial" w:hAnsi="Arial" w:cs="Arial"/>
        </w:rPr>
        <w:t>the</w:t>
      </w:r>
      <w:r w:rsidR="007B7640" w:rsidRPr="00CD59CC">
        <w:rPr>
          <w:rFonts w:ascii="Arial" w:hAnsi="Arial" w:cs="Arial"/>
        </w:rPr>
        <w:t xml:space="preserve"> </w:t>
      </w:r>
      <w:r w:rsidR="00E04499" w:rsidRPr="00CD59CC">
        <w:rPr>
          <w:rFonts w:ascii="Arial" w:hAnsi="Arial" w:cs="Arial"/>
        </w:rPr>
        <w:t>procedural</w:t>
      </w:r>
      <w:r w:rsidR="007B7640" w:rsidRPr="00CD59CC">
        <w:rPr>
          <w:rFonts w:ascii="Arial" w:hAnsi="Arial" w:cs="Arial"/>
        </w:rPr>
        <w:t xml:space="preserve"> </w:t>
      </w:r>
      <w:r w:rsidR="00E04499" w:rsidRPr="00CD59CC">
        <w:rPr>
          <w:rFonts w:ascii="Arial" w:hAnsi="Arial" w:cs="Arial"/>
        </w:rPr>
        <w:t>rules</w:t>
      </w:r>
      <w:r w:rsidR="007B7640" w:rsidRPr="00CD59CC">
        <w:rPr>
          <w:rFonts w:ascii="Arial" w:hAnsi="Arial" w:cs="Arial"/>
        </w:rPr>
        <w:t xml:space="preserve"> </w:t>
      </w:r>
      <w:r w:rsidR="00E04499" w:rsidRPr="00CD59CC">
        <w:rPr>
          <w:rFonts w:ascii="Arial" w:hAnsi="Arial" w:cs="Arial"/>
        </w:rPr>
        <w:t>regulating</w:t>
      </w:r>
      <w:r w:rsidR="007B7640" w:rsidRPr="00CD59CC">
        <w:rPr>
          <w:rFonts w:ascii="Arial" w:hAnsi="Arial" w:cs="Arial"/>
        </w:rPr>
        <w:t xml:space="preserve"> </w:t>
      </w:r>
      <w:r w:rsidR="00E04499" w:rsidRPr="00CD59CC">
        <w:rPr>
          <w:rFonts w:ascii="Arial" w:hAnsi="Arial" w:cs="Arial"/>
        </w:rPr>
        <w:t>civil</w:t>
      </w:r>
      <w:r w:rsidR="007B7640" w:rsidRPr="00CD59CC">
        <w:rPr>
          <w:rFonts w:ascii="Arial" w:hAnsi="Arial" w:cs="Arial"/>
        </w:rPr>
        <w:t xml:space="preserve"> </w:t>
      </w:r>
      <w:r w:rsidR="00E04499" w:rsidRPr="00CD59CC">
        <w:rPr>
          <w:rFonts w:ascii="Arial" w:hAnsi="Arial" w:cs="Arial"/>
        </w:rPr>
        <w:t>lawsuits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silent</w:t>
      </w:r>
      <w:r w:rsidR="007B7640" w:rsidRPr="00CD59CC">
        <w:rPr>
          <w:rFonts w:ascii="Arial" w:hAnsi="Arial" w:cs="Arial"/>
        </w:rPr>
        <w:t xml:space="preserve"> </w:t>
      </w:r>
      <w:r w:rsidRPr="00CD59CC">
        <w:rPr>
          <w:rFonts w:ascii="Arial" w:hAnsi="Arial" w:cs="Arial"/>
        </w:rPr>
        <w:t>about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issue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testing,</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w:t>
      </w:r>
      <w:r w:rsidR="007B7640" w:rsidRPr="00CD59CC">
        <w:rPr>
          <w:rFonts w:ascii="Arial" w:hAnsi="Arial" w:cs="Arial"/>
        </w:rPr>
        <w:t xml:space="preserve"> </w:t>
      </w:r>
      <w:r w:rsidRPr="00CD59CC">
        <w:rPr>
          <w:rFonts w:ascii="Arial" w:hAnsi="Arial" w:cs="Arial"/>
        </w:rPr>
        <w:t>(5)</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claims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freely</w:t>
      </w:r>
      <w:r w:rsidR="007B7640" w:rsidRPr="00CD59CC">
        <w:rPr>
          <w:rFonts w:ascii="Arial" w:hAnsi="Arial" w:cs="Arial"/>
        </w:rPr>
        <w:t xml:space="preserve"> </w:t>
      </w:r>
      <w:r w:rsidRPr="00CD59CC">
        <w:rPr>
          <w:rFonts w:ascii="Arial" w:hAnsi="Arial" w:cs="Arial"/>
        </w:rPr>
        <w:t>rely</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type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useful</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establishing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courts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prevented</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accepting</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form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outlined</w:t>
      </w:r>
      <w:r w:rsidR="007B7640" w:rsidRPr="00CD59CC">
        <w:rPr>
          <w:rFonts w:ascii="Arial" w:hAnsi="Arial" w:cs="Arial"/>
        </w:rPr>
        <w:t xml:space="preserve"> </w:t>
      </w:r>
      <w:r w:rsidRPr="00CD59CC">
        <w:rPr>
          <w:rFonts w:ascii="Arial" w:hAnsi="Arial" w:cs="Arial"/>
        </w:rPr>
        <w:t>below</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c)</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indeed</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originating</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testing.</w:t>
      </w:r>
    </w:p>
    <w:p w14:paraId="60CC8525" w14:textId="77777777" w:rsidR="002B5BCD" w:rsidRPr="00CD59CC" w:rsidRDefault="002B5BCD" w:rsidP="00CD59CC">
      <w:pPr>
        <w:numPr>
          <w:ilvl w:val="0"/>
          <w:numId w:val="5"/>
        </w:numPr>
        <w:ind w:left="567" w:hanging="567"/>
        <w:rPr>
          <w:rFonts w:ascii="Arial" w:hAnsi="Arial" w:cs="Arial"/>
          <w:bCs/>
          <w:i/>
          <w:iCs/>
        </w:rPr>
      </w:pPr>
      <w:r w:rsidRPr="00CD59CC">
        <w:rPr>
          <w:rFonts w:ascii="Arial" w:hAnsi="Arial" w:cs="Arial"/>
          <w:bCs/>
          <w:i/>
          <w:iCs/>
        </w:rPr>
        <w:lastRenderedPageBreak/>
        <w:t>Outline</w:t>
      </w:r>
      <w:r w:rsidR="007B7640" w:rsidRPr="00CD59CC">
        <w:rPr>
          <w:rFonts w:ascii="Arial" w:hAnsi="Arial" w:cs="Arial"/>
          <w:bCs/>
          <w:i/>
          <w:iCs/>
        </w:rPr>
        <w:t xml:space="preserve"> </w:t>
      </w:r>
      <w:r w:rsidRPr="00CD59CC">
        <w:rPr>
          <w:rFonts w:ascii="Arial" w:hAnsi="Arial" w:cs="Arial"/>
          <w:bCs/>
          <w:i/>
          <w:iCs/>
        </w:rPr>
        <w:t>how</w:t>
      </w:r>
      <w:r w:rsidR="007B7640" w:rsidRPr="00CD59CC">
        <w:rPr>
          <w:rFonts w:ascii="Arial" w:hAnsi="Arial" w:cs="Arial"/>
          <w:bCs/>
          <w:i/>
          <w:iCs/>
        </w:rPr>
        <w:t xml:space="preserve"> </w:t>
      </w:r>
      <w:r w:rsidRPr="00CD59CC">
        <w:rPr>
          <w:rFonts w:ascii="Arial" w:hAnsi="Arial" w:cs="Arial"/>
          <w:bCs/>
          <w:i/>
          <w:iCs/>
        </w:rPr>
        <w:t>situation</w:t>
      </w:r>
      <w:r w:rsidR="007B7640" w:rsidRPr="00CD59CC">
        <w:rPr>
          <w:rFonts w:ascii="Arial" w:hAnsi="Arial" w:cs="Arial"/>
          <w:bCs/>
          <w:i/>
          <w:iCs/>
        </w:rPr>
        <w:t xml:space="preserve"> </w:t>
      </w:r>
      <w:r w:rsidRPr="00CD59CC">
        <w:rPr>
          <w:rFonts w:ascii="Arial" w:hAnsi="Arial" w:cs="Arial"/>
          <w:bCs/>
          <w:i/>
          <w:iCs/>
        </w:rPr>
        <w:t>testing</w:t>
      </w:r>
      <w:r w:rsidR="007B7640" w:rsidRPr="00CD59CC">
        <w:rPr>
          <w:rFonts w:ascii="Arial" w:hAnsi="Arial" w:cs="Arial"/>
          <w:bCs/>
          <w:i/>
          <w:iCs/>
        </w:rPr>
        <w:t xml:space="preserve"> </w:t>
      </w:r>
      <w:r w:rsidRPr="00CD59CC">
        <w:rPr>
          <w:rFonts w:ascii="Arial" w:hAnsi="Arial" w:cs="Arial"/>
          <w:bCs/>
          <w:i/>
          <w:iCs/>
        </w:rPr>
        <w:t>is</w:t>
      </w:r>
      <w:r w:rsidR="007B7640" w:rsidRPr="00CD59CC">
        <w:rPr>
          <w:rFonts w:ascii="Arial" w:hAnsi="Arial" w:cs="Arial"/>
          <w:bCs/>
          <w:i/>
          <w:iCs/>
        </w:rPr>
        <w:t xml:space="preserve"> </w:t>
      </w:r>
      <w:r w:rsidRPr="00CD59CC">
        <w:rPr>
          <w:rFonts w:ascii="Arial" w:hAnsi="Arial" w:cs="Arial"/>
          <w:bCs/>
          <w:i/>
          <w:iCs/>
        </w:rPr>
        <w:t>used</w:t>
      </w:r>
      <w:r w:rsidR="007B7640" w:rsidRPr="00CD59CC">
        <w:rPr>
          <w:rFonts w:ascii="Arial" w:hAnsi="Arial" w:cs="Arial"/>
          <w:bCs/>
          <w:i/>
          <w:iCs/>
        </w:rPr>
        <w:t xml:space="preserve"> </w:t>
      </w:r>
      <w:r w:rsidRPr="00CD59CC">
        <w:rPr>
          <w:rFonts w:ascii="Arial" w:hAnsi="Arial" w:cs="Arial"/>
          <w:bCs/>
          <w:i/>
          <w:iCs/>
        </w:rPr>
        <w:t>in</w:t>
      </w:r>
      <w:r w:rsidR="007B7640" w:rsidRPr="00CD59CC">
        <w:rPr>
          <w:rFonts w:ascii="Arial" w:hAnsi="Arial" w:cs="Arial"/>
          <w:bCs/>
          <w:i/>
          <w:iCs/>
        </w:rPr>
        <w:t xml:space="preserve"> </w:t>
      </w:r>
      <w:r w:rsidRPr="00CD59CC">
        <w:rPr>
          <w:rFonts w:ascii="Arial" w:hAnsi="Arial" w:cs="Arial"/>
          <w:bCs/>
          <w:i/>
          <w:iCs/>
        </w:rPr>
        <w:t>practice</w:t>
      </w:r>
      <w:r w:rsidR="007B7640" w:rsidRPr="00CD59CC">
        <w:rPr>
          <w:rFonts w:ascii="Arial" w:hAnsi="Arial" w:cs="Arial"/>
          <w:bCs/>
          <w:i/>
          <w:iCs/>
        </w:rPr>
        <w:t xml:space="preserve"> </w:t>
      </w:r>
      <w:r w:rsidRPr="00CD59CC">
        <w:rPr>
          <w:rFonts w:ascii="Arial" w:hAnsi="Arial" w:cs="Arial"/>
          <w:bCs/>
          <w:i/>
          <w:iCs/>
        </w:rPr>
        <w:t>and</w:t>
      </w:r>
      <w:r w:rsidR="007B7640" w:rsidRPr="00CD59CC">
        <w:rPr>
          <w:rFonts w:ascii="Arial" w:hAnsi="Arial" w:cs="Arial"/>
          <w:bCs/>
          <w:i/>
          <w:iCs/>
        </w:rPr>
        <w:t xml:space="preserve"> </w:t>
      </w:r>
      <w:r w:rsidRPr="00CD59CC">
        <w:rPr>
          <w:rFonts w:ascii="Arial" w:hAnsi="Arial" w:cs="Arial"/>
          <w:bCs/>
          <w:i/>
          <w:iCs/>
        </w:rPr>
        <w:t>by</w:t>
      </w:r>
      <w:r w:rsidR="007B7640" w:rsidRPr="00CD59CC">
        <w:rPr>
          <w:rFonts w:ascii="Arial" w:hAnsi="Arial" w:cs="Arial"/>
          <w:bCs/>
          <w:i/>
          <w:iCs/>
        </w:rPr>
        <w:t xml:space="preserve"> </w:t>
      </w:r>
      <w:r w:rsidRPr="00CD59CC">
        <w:rPr>
          <w:rFonts w:ascii="Arial" w:hAnsi="Arial" w:cs="Arial"/>
          <w:bCs/>
          <w:i/>
          <w:iCs/>
        </w:rPr>
        <w:t>whom</w:t>
      </w:r>
      <w:r w:rsidR="007B7640" w:rsidRPr="00CD59CC">
        <w:rPr>
          <w:rFonts w:ascii="Arial" w:hAnsi="Arial" w:cs="Arial"/>
          <w:bCs/>
          <w:i/>
          <w:iCs/>
        </w:rPr>
        <w:t xml:space="preserve"> </w:t>
      </w:r>
      <w:r w:rsidRPr="00CD59CC">
        <w:rPr>
          <w:rFonts w:ascii="Arial" w:hAnsi="Arial" w:cs="Arial"/>
          <w:bCs/>
          <w:i/>
          <w:iCs/>
        </w:rPr>
        <w:t>(e.g.</w:t>
      </w:r>
      <w:r w:rsidR="007B7640" w:rsidRPr="00CD59CC">
        <w:rPr>
          <w:rFonts w:ascii="Arial" w:hAnsi="Arial" w:cs="Arial"/>
          <w:bCs/>
          <w:i/>
          <w:iCs/>
        </w:rPr>
        <w:t xml:space="preserve"> </w:t>
      </w:r>
      <w:r w:rsidRPr="00CD59CC">
        <w:rPr>
          <w:rFonts w:ascii="Arial" w:hAnsi="Arial" w:cs="Arial"/>
          <w:bCs/>
          <w:i/>
          <w:iCs/>
        </w:rPr>
        <w:t>NGOs,</w:t>
      </w:r>
      <w:r w:rsidR="007B7640" w:rsidRPr="00CD59CC">
        <w:rPr>
          <w:rFonts w:ascii="Arial" w:hAnsi="Arial" w:cs="Arial"/>
          <w:bCs/>
          <w:i/>
          <w:iCs/>
        </w:rPr>
        <w:t xml:space="preserve"> </w:t>
      </w:r>
      <w:r w:rsidRPr="00CD59CC">
        <w:rPr>
          <w:rFonts w:ascii="Arial" w:hAnsi="Arial" w:cs="Arial"/>
          <w:bCs/>
          <w:i/>
          <w:iCs/>
        </w:rPr>
        <w:t>equality</w:t>
      </w:r>
      <w:r w:rsidR="007B7640" w:rsidRPr="00CD59CC">
        <w:rPr>
          <w:rFonts w:ascii="Arial" w:hAnsi="Arial" w:cs="Arial"/>
          <w:bCs/>
          <w:i/>
          <w:iCs/>
        </w:rPr>
        <w:t xml:space="preserve"> </w:t>
      </w:r>
      <w:r w:rsidRPr="00CD59CC">
        <w:rPr>
          <w:rFonts w:ascii="Arial" w:hAnsi="Arial" w:cs="Arial"/>
          <w:bCs/>
          <w:i/>
          <w:iCs/>
        </w:rPr>
        <w:t>body,</w:t>
      </w:r>
      <w:r w:rsidR="007B7640" w:rsidRPr="00CD59CC">
        <w:rPr>
          <w:rFonts w:ascii="Arial" w:hAnsi="Arial" w:cs="Arial"/>
          <w:bCs/>
          <w:i/>
          <w:iCs/>
        </w:rPr>
        <w:t xml:space="preserve"> </w:t>
      </w:r>
      <w:r w:rsidRPr="00CD59CC">
        <w:rPr>
          <w:rFonts w:ascii="Arial" w:hAnsi="Arial" w:cs="Arial"/>
          <w:bCs/>
          <w:i/>
          <w:iCs/>
        </w:rPr>
        <w:t>etc.).</w:t>
      </w:r>
      <w:r w:rsidR="007B7640" w:rsidRPr="00CD59CC">
        <w:rPr>
          <w:rFonts w:ascii="Arial" w:hAnsi="Arial" w:cs="Arial"/>
          <w:bCs/>
          <w:i/>
          <w:iCs/>
        </w:rPr>
        <w:t xml:space="preserve"> </w:t>
      </w:r>
    </w:p>
    <w:p w14:paraId="211CCB43" w14:textId="77777777" w:rsidR="002B5BCD" w:rsidRPr="00CD59CC" w:rsidRDefault="002B5BCD" w:rsidP="00CD59CC">
      <w:pPr>
        <w:ind w:left="567" w:hanging="567"/>
        <w:rPr>
          <w:rFonts w:ascii="Arial" w:hAnsi="Arial" w:cs="Arial"/>
          <w:i/>
          <w:iCs/>
        </w:rPr>
      </w:pPr>
    </w:p>
    <w:p w14:paraId="68AE959D" w14:textId="77777777" w:rsidR="00E04499" w:rsidRPr="00CD59CC" w:rsidRDefault="00E04499" w:rsidP="00CD59CC">
      <w:pPr>
        <w:rPr>
          <w:rFonts w:ascii="Arial" w:hAnsi="Arial" w:cs="Arial"/>
          <w:iCs/>
        </w:rPr>
      </w:pPr>
      <w:r w:rsidRPr="00CD59CC">
        <w:rPr>
          <w:rFonts w:ascii="Arial" w:hAnsi="Arial" w:cs="Arial"/>
          <w:iCs/>
        </w:rPr>
        <w:t>Situation</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primarily</w:t>
      </w:r>
      <w:r w:rsidR="007B7640" w:rsidRPr="00CD59CC">
        <w:rPr>
          <w:rFonts w:ascii="Arial" w:hAnsi="Arial" w:cs="Arial"/>
          <w:iCs/>
        </w:rPr>
        <w:t xml:space="preserve"> </w:t>
      </w:r>
      <w:r w:rsidRPr="00CD59CC">
        <w:rPr>
          <w:rFonts w:ascii="Arial" w:hAnsi="Arial" w:cs="Arial"/>
          <w:iCs/>
        </w:rPr>
        <w:t>done</w:t>
      </w:r>
      <w:r w:rsidR="007B7640" w:rsidRPr="00CD59CC">
        <w:rPr>
          <w:rFonts w:ascii="Arial" w:hAnsi="Arial" w:cs="Arial"/>
          <w:iCs/>
        </w:rPr>
        <w:t xml:space="preserve"> </w:t>
      </w:r>
      <w:r w:rsidRPr="00CD59CC">
        <w:rPr>
          <w:rFonts w:ascii="Arial" w:hAnsi="Arial" w:cs="Arial"/>
          <w:iCs/>
        </w:rPr>
        <w:t>by</w:t>
      </w:r>
      <w:r w:rsidR="007B7640" w:rsidRPr="00CD59CC">
        <w:rPr>
          <w:rFonts w:ascii="Arial" w:hAnsi="Arial" w:cs="Arial"/>
          <w:iCs/>
        </w:rPr>
        <w:t xml:space="preserve"> </w:t>
      </w:r>
      <w:r w:rsidRPr="00CD59CC">
        <w:rPr>
          <w:rFonts w:ascii="Arial" w:hAnsi="Arial" w:cs="Arial"/>
          <w:iCs/>
        </w:rPr>
        <w:t>NGO’s</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Hungary,</w:t>
      </w:r>
      <w:r w:rsidR="007B7640" w:rsidRPr="00CD59CC">
        <w:rPr>
          <w:rFonts w:ascii="Arial" w:hAnsi="Arial" w:cs="Arial"/>
          <w:iCs/>
        </w:rPr>
        <w:t xml:space="preserve"> </w:t>
      </w:r>
      <w:r w:rsidRPr="00CD59CC">
        <w:rPr>
          <w:rFonts w:ascii="Arial" w:hAnsi="Arial" w:cs="Arial"/>
          <w:iCs/>
        </w:rPr>
        <w:t>especially</w:t>
      </w:r>
      <w:r w:rsidR="007B7640" w:rsidRPr="00CD59CC">
        <w:rPr>
          <w:rFonts w:ascii="Arial" w:hAnsi="Arial" w:cs="Arial"/>
          <w:iCs/>
        </w:rPr>
        <w:t xml:space="preserve"> </w:t>
      </w:r>
      <w:r w:rsidRPr="00CD59CC">
        <w:rPr>
          <w:rFonts w:ascii="Arial" w:hAnsi="Arial" w:cs="Arial"/>
          <w:iCs/>
        </w:rPr>
        <w:t>NEKI.</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some</w:t>
      </w:r>
      <w:r w:rsidR="007B7640" w:rsidRPr="00CD59CC">
        <w:rPr>
          <w:rFonts w:ascii="Arial" w:hAnsi="Arial" w:cs="Arial"/>
          <w:iCs/>
        </w:rPr>
        <w:t xml:space="preserve"> </w:t>
      </w:r>
      <w:r w:rsidRPr="00CD59CC">
        <w:rPr>
          <w:rFonts w:ascii="Arial" w:hAnsi="Arial" w:cs="Arial"/>
          <w:iCs/>
        </w:rPr>
        <w:t>cases</w:t>
      </w:r>
      <w:r w:rsidR="007B7640" w:rsidRPr="00CD59CC">
        <w:rPr>
          <w:rFonts w:ascii="Arial" w:hAnsi="Arial" w:cs="Arial"/>
          <w:iCs/>
        </w:rPr>
        <w:t xml:space="preserve"> </w:t>
      </w:r>
      <w:r w:rsidRPr="00CD59CC">
        <w:rPr>
          <w:rFonts w:ascii="Arial" w:hAnsi="Arial" w:cs="Arial"/>
          <w:iCs/>
        </w:rPr>
        <w:t>even</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Equal</w:t>
      </w:r>
      <w:r w:rsidR="007B7640" w:rsidRPr="00CD59CC">
        <w:rPr>
          <w:rFonts w:ascii="Arial" w:hAnsi="Arial" w:cs="Arial"/>
          <w:iCs/>
        </w:rPr>
        <w:t xml:space="preserve"> </w:t>
      </w:r>
      <w:r w:rsidRPr="00CD59CC">
        <w:rPr>
          <w:rFonts w:ascii="Arial" w:hAnsi="Arial" w:cs="Arial"/>
          <w:iCs/>
        </w:rPr>
        <w:t>Treatment</w:t>
      </w:r>
      <w:r w:rsidR="007B7640" w:rsidRPr="00CD59CC">
        <w:rPr>
          <w:rFonts w:ascii="Arial" w:hAnsi="Arial" w:cs="Arial"/>
          <w:iCs/>
        </w:rPr>
        <w:t xml:space="preserve"> </w:t>
      </w:r>
      <w:r w:rsidRPr="00CD59CC">
        <w:rPr>
          <w:rFonts w:ascii="Arial" w:hAnsi="Arial" w:cs="Arial"/>
          <w:iCs/>
        </w:rPr>
        <w:t>Authority</w:t>
      </w:r>
      <w:r w:rsidR="007B7640" w:rsidRPr="00CD59CC">
        <w:rPr>
          <w:rFonts w:ascii="Arial" w:hAnsi="Arial" w:cs="Arial"/>
          <w:iCs/>
        </w:rPr>
        <w:t xml:space="preserve"> </w:t>
      </w:r>
      <w:r w:rsidRPr="00CD59CC">
        <w:rPr>
          <w:rFonts w:ascii="Arial" w:hAnsi="Arial" w:cs="Arial"/>
          <w:iCs/>
        </w:rPr>
        <w:t>relied</w:t>
      </w:r>
      <w:r w:rsidR="007B7640" w:rsidRPr="00CD59CC">
        <w:rPr>
          <w:rFonts w:ascii="Arial" w:hAnsi="Arial" w:cs="Arial"/>
          <w:iCs/>
        </w:rPr>
        <w:t xml:space="preserve"> </w:t>
      </w:r>
      <w:r w:rsidRPr="00CD59CC">
        <w:rPr>
          <w:rFonts w:ascii="Arial" w:hAnsi="Arial" w:cs="Arial"/>
          <w:iCs/>
        </w:rPr>
        <w:t>on</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expertise</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NEKI.</w:t>
      </w:r>
      <w:r w:rsidR="007B7640" w:rsidRPr="00CD59CC">
        <w:rPr>
          <w:rFonts w:ascii="Arial" w:hAnsi="Arial" w:cs="Arial"/>
          <w:iCs/>
        </w:rPr>
        <w:t xml:space="preserve"> </w:t>
      </w:r>
    </w:p>
    <w:p w14:paraId="0CAEA4CB" w14:textId="77777777" w:rsidR="00E04499" w:rsidRPr="00CD59CC" w:rsidRDefault="00E04499" w:rsidP="00CD59CC">
      <w:pPr>
        <w:rPr>
          <w:rFonts w:ascii="Arial" w:hAnsi="Arial" w:cs="Arial"/>
          <w:iCs/>
        </w:rPr>
      </w:pPr>
    </w:p>
    <w:p w14:paraId="22F4C3C8" w14:textId="77777777" w:rsidR="00E04499" w:rsidRPr="00CD59CC" w:rsidRDefault="00E04499" w:rsidP="00CD59CC">
      <w:pPr>
        <w:rPr>
          <w:rFonts w:ascii="Arial" w:hAnsi="Arial" w:cs="Arial"/>
          <w:iCs/>
        </w:rPr>
      </w:pPr>
      <w:r w:rsidRPr="00CD59CC">
        <w:rPr>
          <w:rFonts w:ascii="Arial" w:hAnsi="Arial" w:cs="Arial"/>
          <w:iCs/>
        </w:rPr>
        <w:t>NEKI</w:t>
      </w:r>
      <w:r w:rsidR="007B7640" w:rsidRPr="00CD59CC">
        <w:rPr>
          <w:rFonts w:ascii="Arial" w:hAnsi="Arial" w:cs="Arial"/>
          <w:iCs/>
        </w:rPr>
        <w:t xml:space="preserve"> </w:t>
      </w:r>
      <w:r w:rsidRPr="00CD59CC">
        <w:rPr>
          <w:rFonts w:ascii="Arial" w:hAnsi="Arial" w:cs="Arial"/>
          <w:iCs/>
        </w:rPr>
        <w:t>has</w:t>
      </w:r>
      <w:r w:rsidR="007B7640" w:rsidRPr="00CD59CC">
        <w:rPr>
          <w:rFonts w:ascii="Arial" w:hAnsi="Arial" w:cs="Arial"/>
          <w:iCs/>
        </w:rPr>
        <w:t xml:space="preserve"> </w:t>
      </w:r>
      <w:r w:rsidRPr="00CD59CC">
        <w:rPr>
          <w:rFonts w:ascii="Arial" w:hAnsi="Arial" w:cs="Arial"/>
          <w:iCs/>
        </w:rPr>
        <w:t>issued</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very</w:t>
      </w:r>
      <w:r w:rsidR="007B7640" w:rsidRPr="00CD59CC">
        <w:rPr>
          <w:rFonts w:ascii="Arial" w:hAnsi="Arial" w:cs="Arial"/>
          <w:iCs/>
        </w:rPr>
        <w:t xml:space="preserve"> </w:t>
      </w:r>
      <w:r w:rsidRPr="00CD59CC">
        <w:rPr>
          <w:rFonts w:ascii="Arial" w:hAnsi="Arial" w:cs="Arial"/>
          <w:iCs/>
        </w:rPr>
        <w:t>detailed</w:t>
      </w:r>
      <w:r w:rsidR="007B7640" w:rsidRPr="00CD59CC">
        <w:rPr>
          <w:rFonts w:ascii="Arial" w:hAnsi="Arial" w:cs="Arial"/>
          <w:iCs/>
        </w:rPr>
        <w:t xml:space="preserve"> </w:t>
      </w:r>
      <w:r w:rsidRPr="00CD59CC">
        <w:rPr>
          <w:rFonts w:ascii="Arial" w:hAnsi="Arial" w:cs="Arial"/>
          <w:iCs/>
        </w:rPr>
        <w:t>methodological</w:t>
      </w:r>
      <w:r w:rsidR="007B7640" w:rsidRPr="00CD59CC">
        <w:rPr>
          <w:rFonts w:ascii="Arial" w:hAnsi="Arial" w:cs="Arial"/>
          <w:iCs/>
        </w:rPr>
        <w:t xml:space="preserve"> </w:t>
      </w:r>
      <w:r w:rsidRPr="00CD59CC">
        <w:rPr>
          <w:rFonts w:ascii="Arial" w:hAnsi="Arial" w:cs="Arial"/>
          <w:iCs/>
        </w:rPr>
        <w:t>guide</w:t>
      </w:r>
      <w:r w:rsidR="007B7640" w:rsidRPr="00CD59CC">
        <w:rPr>
          <w:rFonts w:ascii="Arial" w:hAnsi="Arial" w:cs="Arial"/>
          <w:iCs/>
        </w:rPr>
        <w:t xml:space="preserve"> </w:t>
      </w:r>
      <w:r w:rsidRPr="00CD59CC">
        <w:rPr>
          <w:rFonts w:ascii="Arial" w:hAnsi="Arial" w:cs="Arial"/>
          <w:iCs/>
        </w:rPr>
        <w:t>on</w:t>
      </w:r>
      <w:r w:rsidR="007B7640" w:rsidRPr="00CD59CC">
        <w:rPr>
          <w:rFonts w:ascii="Arial" w:hAnsi="Arial" w:cs="Arial"/>
          <w:iCs/>
        </w:rPr>
        <w:t xml:space="preserve"> </w:t>
      </w:r>
      <w:r w:rsidRPr="00CD59CC">
        <w:rPr>
          <w:rFonts w:ascii="Arial" w:hAnsi="Arial" w:cs="Arial"/>
          <w:iCs/>
        </w:rPr>
        <w:t>situation</w:t>
      </w:r>
      <w:r w:rsidR="007B7640" w:rsidRPr="00CD59CC">
        <w:rPr>
          <w:rFonts w:ascii="Arial" w:hAnsi="Arial" w:cs="Arial"/>
          <w:iCs/>
        </w:rPr>
        <w:t xml:space="preserve"> </w:t>
      </w:r>
      <w:r w:rsidRPr="00CD59CC">
        <w:rPr>
          <w:rFonts w:ascii="Arial" w:hAnsi="Arial" w:cs="Arial"/>
          <w:iCs/>
        </w:rPr>
        <w:t>testing.</w:t>
      </w:r>
      <w:r w:rsidRPr="00CD59CC">
        <w:rPr>
          <w:rStyle w:val="FootnoteReference"/>
          <w:rFonts w:ascii="Arial" w:hAnsi="Arial" w:cs="Arial"/>
          <w:iCs/>
        </w:rPr>
        <w:footnoteReference w:id="32"/>
      </w:r>
    </w:p>
    <w:p w14:paraId="2307A6CD" w14:textId="77777777" w:rsidR="00E04499" w:rsidRPr="00CD59CC" w:rsidRDefault="00E04499" w:rsidP="00CD59CC">
      <w:pPr>
        <w:rPr>
          <w:rFonts w:ascii="Arial" w:hAnsi="Arial" w:cs="Arial"/>
          <w:iCs/>
        </w:rPr>
      </w:pPr>
    </w:p>
    <w:p w14:paraId="7796C376" w14:textId="77777777" w:rsidR="00E04499" w:rsidRPr="00CD59CC" w:rsidRDefault="00E04499" w:rsidP="00CD59CC">
      <w:pPr>
        <w:rPr>
          <w:rFonts w:ascii="Arial" w:hAnsi="Arial" w:cs="Arial"/>
          <w:iCs/>
        </w:rPr>
      </w:pP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prepared</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coordinated</w:t>
      </w:r>
      <w:r w:rsidR="007B7640" w:rsidRPr="00CD59CC">
        <w:rPr>
          <w:rFonts w:ascii="Arial" w:hAnsi="Arial" w:cs="Arial"/>
          <w:iCs/>
        </w:rPr>
        <w:t xml:space="preserve"> </w:t>
      </w:r>
      <w:r w:rsidRPr="00CD59CC">
        <w:rPr>
          <w:rFonts w:ascii="Arial" w:hAnsi="Arial" w:cs="Arial"/>
          <w:iCs/>
        </w:rPr>
        <w:t>by</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coordinator.</w:t>
      </w:r>
      <w:r w:rsidR="007B7640" w:rsidRPr="00CD59CC">
        <w:rPr>
          <w:rFonts w:ascii="Arial" w:hAnsi="Arial" w:cs="Arial"/>
          <w:iCs/>
        </w:rPr>
        <w:t xml:space="preserve"> </w:t>
      </w:r>
      <w:r w:rsidRPr="00CD59CC">
        <w:rPr>
          <w:rFonts w:ascii="Arial" w:hAnsi="Arial" w:cs="Arial"/>
          <w:iCs/>
        </w:rPr>
        <w:t>After</w:t>
      </w:r>
      <w:r w:rsidR="007B7640" w:rsidRPr="00CD59CC">
        <w:rPr>
          <w:rFonts w:ascii="Arial" w:hAnsi="Arial" w:cs="Arial"/>
          <w:iCs/>
        </w:rPr>
        <w:t xml:space="preserve"> </w:t>
      </w:r>
      <w:r w:rsidRPr="00CD59CC">
        <w:rPr>
          <w:rFonts w:ascii="Arial" w:hAnsi="Arial" w:cs="Arial"/>
          <w:iCs/>
        </w:rPr>
        <w:t>carefully</w:t>
      </w:r>
      <w:r w:rsidR="007B7640" w:rsidRPr="00CD59CC">
        <w:rPr>
          <w:rFonts w:ascii="Arial" w:hAnsi="Arial" w:cs="Arial"/>
          <w:iCs/>
        </w:rPr>
        <w:t xml:space="preserve"> </w:t>
      </w:r>
      <w:r w:rsidRPr="00CD59CC">
        <w:rPr>
          <w:rFonts w:ascii="Arial" w:hAnsi="Arial" w:cs="Arial"/>
          <w:iCs/>
        </w:rPr>
        <w:t>interviewing</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complainant</w:t>
      </w:r>
      <w:r w:rsidR="007B7640" w:rsidRPr="00CD59CC">
        <w:rPr>
          <w:rFonts w:ascii="Arial" w:hAnsi="Arial" w:cs="Arial"/>
          <w:iCs/>
        </w:rPr>
        <w:t xml:space="preserve"> </w:t>
      </w:r>
      <w:r w:rsidRPr="00CD59CC">
        <w:rPr>
          <w:rFonts w:ascii="Arial" w:hAnsi="Arial" w:cs="Arial"/>
          <w:iCs/>
        </w:rPr>
        <w:t>about</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details</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case,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coordinator</w:t>
      </w:r>
      <w:r w:rsidR="007B7640" w:rsidRPr="00CD59CC">
        <w:rPr>
          <w:rFonts w:ascii="Arial" w:hAnsi="Arial" w:cs="Arial"/>
          <w:iCs/>
        </w:rPr>
        <w:t xml:space="preserve">  </w:t>
      </w:r>
      <w:r w:rsidRPr="00CD59CC">
        <w:rPr>
          <w:rFonts w:ascii="Arial" w:hAnsi="Arial" w:cs="Arial"/>
          <w:iCs/>
        </w:rPr>
        <w:t>prepares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case:</w:t>
      </w:r>
      <w:r w:rsidR="007B7640" w:rsidRPr="00CD59CC">
        <w:rPr>
          <w:rFonts w:ascii="Arial" w:hAnsi="Arial" w:cs="Arial"/>
          <w:iCs/>
        </w:rPr>
        <w:t xml:space="preserve"> </w:t>
      </w:r>
      <w:r w:rsidRPr="00CD59CC">
        <w:rPr>
          <w:rFonts w:ascii="Arial" w:hAnsi="Arial" w:cs="Arial"/>
          <w:iCs/>
        </w:rPr>
        <w:t>visits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scene</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obtains</w:t>
      </w:r>
      <w:r w:rsidR="007B7640" w:rsidRPr="00CD59CC">
        <w:rPr>
          <w:rFonts w:ascii="Arial" w:hAnsi="Arial" w:cs="Arial"/>
          <w:iCs/>
        </w:rPr>
        <w:t xml:space="preserve"> </w:t>
      </w:r>
      <w:r w:rsidRPr="00CD59CC">
        <w:rPr>
          <w:rFonts w:ascii="Arial" w:hAnsi="Arial" w:cs="Arial"/>
          <w:iCs/>
        </w:rPr>
        <w:t>additional</w:t>
      </w:r>
      <w:r w:rsidR="007B7640" w:rsidRPr="00CD59CC">
        <w:rPr>
          <w:rFonts w:ascii="Arial" w:hAnsi="Arial" w:cs="Arial"/>
          <w:iCs/>
        </w:rPr>
        <w:t xml:space="preserve"> </w:t>
      </w:r>
      <w:r w:rsidRPr="00CD59CC">
        <w:rPr>
          <w:rFonts w:ascii="Arial" w:hAnsi="Arial" w:cs="Arial"/>
          <w:iCs/>
        </w:rPr>
        <w:t>information</w:t>
      </w:r>
      <w:r w:rsidR="007B7640" w:rsidRPr="00CD59CC">
        <w:rPr>
          <w:rFonts w:ascii="Arial" w:hAnsi="Arial" w:cs="Arial"/>
          <w:iCs/>
        </w:rPr>
        <w:t xml:space="preserve"> </w:t>
      </w:r>
      <w:r w:rsidRPr="00CD59CC">
        <w:rPr>
          <w:rFonts w:ascii="Arial" w:hAnsi="Arial" w:cs="Arial"/>
          <w:iCs/>
        </w:rPr>
        <w:t>if</w:t>
      </w:r>
      <w:r w:rsidR="007B7640" w:rsidRPr="00CD59CC">
        <w:rPr>
          <w:rFonts w:ascii="Arial" w:hAnsi="Arial" w:cs="Arial"/>
          <w:iCs/>
        </w:rPr>
        <w:t xml:space="preserve"> </w:t>
      </w:r>
      <w:r w:rsidRPr="00CD59CC">
        <w:rPr>
          <w:rFonts w:ascii="Arial" w:hAnsi="Arial" w:cs="Arial"/>
          <w:iCs/>
        </w:rPr>
        <w:t>necessary,</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chooses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He/she</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also</w:t>
      </w:r>
      <w:r w:rsidR="007B7640" w:rsidRPr="00CD59CC">
        <w:rPr>
          <w:rFonts w:ascii="Arial" w:hAnsi="Arial" w:cs="Arial"/>
          <w:iCs/>
        </w:rPr>
        <w:t xml:space="preserve"> </w:t>
      </w:r>
      <w:r w:rsidRPr="00CD59CC">
        <w:rPr>
          <w:rFonts w:ascii="Arial" w:hAnsi="Arial" w:cs="Arial"/>
          <w:iCs/>
        </w:rPr>
        <w:t>responsible</w:t>
      </w:r>
      <w:r w:rsidR="007B7640" w:rsidRPr="00CD59CC">
        <w:rPr>
          <w:rFonts w:ascii="Arial" w:hAnsi="Arial" w:cs="Arial"/>
          <w:iCs/>
        </w:rPr>
        <w:t xml:space="preserve"> </w:t>
      </w:r>
      <w:r w:rsidRPr="00CD59CC">
        <w:rPr>
          <w:rFonts w:ascii="Arial" w:hAnsi="Arial" w:cs="Arial"/>
          <w:iCs/>
        </w:rPr>
        <w:t>for</w:t>
      </w:r>
      <w:r w:rsidR="007B7640" w:rsidRPr="00CD59CC">
        <w:rPr>
          <w:rFonts w:ascii="Arial" w:hAnsi="Arial" w:cs="Arial"/>
          <w:iCs/>
        </w:rPr>
        <w:t xml:space="preserve"> </w:t>
      </w:r>
      <w:r w:rsidRPr="00CD59CC">
        <w:rPr>
          <w:rFonts w:ascii="Arial" w:hAnsi="Arial" w:cs="Arial"/>
          <w:iCs/>
        </w:rPr>
        <w:t>logistical</w:t>
      </w:r>
      <w:r w:rsidR="007B7640" w:rsidRPr="00CD59CC">
        <w:rPr>
          <w:rFonts w:ascii="Arial" w:hAnsi="Arial" w:cs="Arial"/>
          <w:iCs/>
        </w:rPr>
        <w:t xml:space="preserve"> </w:t>
      </w:r>
      <w:r w:rsidRPr="00CD59CC">
        <w:rPr>
          <w:rFonts w:ascii="Arial" w:hAnsi="Arial" w:cs="Arial"/>
          <w:iCs/>
        </w:rPr>
        <w:t>matters</w:t>
      </w:r>
      <w:r w:rsidR="007B7640" w:rsidRPr="00CD59CC">
        <w:rPr>
          <w:rFonts w:ascii="Arial" w:hAnsi="Arial" w:cs="Arial"/>
          <w:iCs/>
        </w:rPr>
        <w:t xml:space="preserve"> </w:t>
      </w:r>
      <w:r w:rsidRPr="00CD59CC">
        <w:rPr>
          <w:rFonts w:ascii="Arial" w:hAnsi="Arial" w:cs="Arial"/>
          <w:iCs/>
        </w:rPr>
        <w:t>(if</w:t>
      </w:r>
      <w:r w:rsidR="007B7640" w:rsidRPr="00CD59CC">
        <w:rPr>
          <w:rFonts w:ascii="Arial" w:hAnsi="Arial" w:cs="Arial"/>
          <w:iCs/>
        </w:rPr>
        <w:t xml:space="preserve"> </w:t>
      </w:r>
      <w:r w:rsidRPr="00CD59CC">
        <w:rPr>
          <w:rFonts w:ascii="Arial" w:hAnsi="Arial" w:cs="Arial"/>
          <w:iCs/>
        </w:rPr>
        <w:t>for</w:t>
      </w:r>
      <w:r w:rsidR="007B7640" w:rsidRPr="00CD59CC">
        <w:rPr>
          <w:rFonts w:ascii="Arial" w:hAnsi="Arial" w:cs="Arial"/>
          <w:iCs/>
        </w:rPr>
        <w:t xml:space="preserve"> </w:t>
      </w:r>
      <w:r w:rsidRPr="00CD59CC">
        <w:rPr>
          <w:rFonts w:ascii="Arial" w:hAnsi="Arial" w:cs="Arial"/>
          <w:iCs/>
        </w:rPr>
        <w:t>instance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needs</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travel</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scene</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p>
    <w:p w14:paraId="6DD58086" w14:textId="77777777" w:rsidR="00E04499" w:rsidRPr="00CD59CC" w:rsidRDefault="00E04499" w:rsidP="00CD59CC">
      <w:pPr>
        <w:rPr>
          <w:rFonts w:ascii="Arial" w:hAnsi="Arial" w:cs="Arial"/>
          <w:iCs/>
        </w:rPr>
      </w:pPr>
    </w:p>
    <w:p w14:paraId="32B07BDB" w14:textId="77777777" w:rsidR="00E04499" w:rsidRPr="00CD59CC" w:rsidRDefault="00E04499" w:rsidP="00CD59CC">
      <w:pPr>
        <w:rPr>
          <w:rFonts w:ascii="Arial" w:hAnsi="Arial" w:cs="Arial"/>
          <w:iCs/>
        </w:rPr>
      </w:pP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contract</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concluded</w:t>
      </w:r>
      <w:r w:rsidR="007B7640" w:rsidRPr="00CD59CC">
        <w:rPr>
          <w:rFonts w:ascii="Arial" w:hAnsi="Arial" w:cs="Arial"/>
          <w:iCs/>
        </w:rPr>
        <w:t xml:space="preserve"> </w:t>
      </w:r>
      <w:r w:rsidRPr="00CD59CC">
        <w:rPr>
          <w:rFonts w:ascii="Arial" w:hAnsi="Arial" w:cs="Arial"/>
          <w:iCs/>
        </w:rPr>
        <w:t>with</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this</w:t>
      </w:r>
      <w:r w:rsidR="007B7640" w:rsidRPr="00CD59CC">
        <w:rPr>
          <w:rFonts w:ascii="Arial" w:hAnsi="Arial" w:cs="Arial"/>
          <w:iCs/>
        </w:rPr>
        <w:t xml:space="preserve"> </w:t>
      </w:r>
      <w:r w:rsidRPr="00CD59CC">
        <w:rPr>
          <w:rFonts w:ascii="Arial" w:hAnsi="Arial" w:cs="Arial"/>
          <w:iCs/>
        </w:rPr>
        <w:t>contains</w:t>
      </w:r>
      <w:r w:rsidR="007B7640" w:rsidRPr="00CD59CC">
        <w:rPr>
          <w:rFonts w:ascii="Arial" w:hAnsi="Arial" w:cs="Arial"/>
          <w:iCs/>
        </w:rPr>
        <w:t xml:space="preserve"> </w:t>
      </w:r>
      <w:r w:rsidRPr="00CD59CC">
        <w:rPr>
          <w:rFonts w:ascii="Arial" w:hAnsi="Arial" w:cs="Arial"/>
          <w:iCs/>
        </w:rPr>
        <w:t>–</w:t>
      </w:r>
      <w:r w:rsidR="007B7640" w:rsidRPr="00CD59CC">
        <w:rPr>
          <w:rFonts w:ascii="Arial" w:hAnsi="Arial" w:cs="Arial"/>
          <w:iCs/>
        </w:rPr>
        <w:t xml:space="preserve"> </w:t>
      </w:r>
      <w:r w:rsidRPr="00CD59CC">
        <w:rPr>
          <w:rFonts w:ascii="Arial" w:hAnsi="Arial" w:cs="Arial"/>
          <w:iCs/>
        </w:rPr>
        <w:t>among</w:t>
      </w:r>
      <w:r w:rsidR="007B7640" w:rsidRPr="00CD59CC">
        <w:rPr>
          <w:rFonts w:ascii="Arial" w:hAnsi="Arial" w:cs="Arial"/>
          <w:iCs/>
        </w:rPr>
        <w:t xml:space="preserve"> </w:t>
      </w:r>
      <w:r w:rsidRPr="00CD59CC">
        <w:rPr>
          <w:rFonts w:ascii="Arial" w:hAnsi="Arial" w:cs="Arial"/>
          <w:iCs/>
        </w:rPr>
        <w:t>others</w:t>
      </w:r>
      <w:r w:rsidR="007B7640" w:rsidRPr="00CD59CC">
        <w:rPr>
          <w:rFonts w:ascii="Arial" w:hAnsi="Arial" w:cs="Arial"/>
          <w:iCs/>
        </w:rPr>
        <w:t xml:space="preserve"> </w:t>
      </w:r>
      <w:r w:rsidRPr="00CD59CC">
        <w:rPr>
          <w:rFonts w:ascii="Arial" w:hAnsi="Arial" w:cs="Arial"/>
          <w:iCs/>
        </w:rPr>
        <w:t>–</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undertakes</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testify</w:t>
      </w:r>
      <w:r w:rsidR="007B7640" w:rsidRPr="00CD59CC">
        <w:rPr>
          <w:rFonts w:ascii="Arial" w:hAnsi="Arial" w:cs="Arial"/>
          <w:iCs/>
        </w:rPr>
        <w:t xml:space="preserve"> </w:t>
      </w:r>
      <w:r w:rsidRPr="00CD59CC">
        <w:rPr>
          <w:rFonts w:ascii="Arial" w:hAnsi="Arial" w:cs="Arial"/>
          <w:iCs/>
        </w:rPr>
        <w:t>as</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witness</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proceedings</w:t>
      </w:r>
      <w:r w:rsidR="007B7640" w:rsidRPr="00CD59CC">
        <w:rPr>
          <w:rFonts w:ascii="Arial" w:hAnsi="Arial" w:cs="Arial"/>
          <w:iCs/>
        </w:rPr>
        <w:t xml:space="preserve"> </w:t>
      </w:r>
      <w:r w:rsidRPr="00CD59CC">
        <w:rPr>
          <w:rFonts w:ascii="Arial" w:hAnsi="Arial" w:cs="Arial"/>
          <w:iCs/>
        </w:rPr>
        <w:t>launched</w:t>
      </w:r>
      <w:r w:rsidR="007B7640" w:rsidRPr="00CD59CC">
        <w:rPr>
          <w:rFonts w:ascii="Arial" w:hAnsi="Arial" w:cs="Arial"/>
          <w:iCs/>
        </w:rPr>
        <w:t xml:space="preserve"> </w:t>
      </w:r>
      <w:r w:rsidRPr="00CD59CC">
        <w:rPr>
          <w:rFonts w:ascii="Arial" w:hAnsi="Arial" w:cs="Arial"/>
          <w:iCs/>
        </w:rPr>
        <w:t>on</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basis</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result</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he/she</w:t>
      </w:r>
      <w:r w:rsidR="007B7640" w:rsidRPr="00CD59CC">
        <w:rPr>
          <w:rFonts w:ascii="Arial" w:hAnsi="Arial" w:cs="Arial"/>
          <w:iCs/>
        </w:rPr>
        <w:t xml:space="preserve"> </w:t>
      </w:r>
      <w:r w:rsidRPr="00CD59CC">
        <w:rPr>
          <w:rFonts w:ascii="Arial" w:hAnsi="Arial" w:cs="Arial"/>
          <w:iCs/>
        </w:rPr>
        <w:t>consents</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his/her</w:t>
      </w:r>
      <w:r w:rsidR="007B7640" w:rsidRPr="00CD59CC">
        <w:rPr>
          <w:rFonts w:ascii="Arial" w:hAnsi="Arial" w:cs="Arial"/>
          <w:iCs/>
        </w:rPr>
        <w:t xml:space="preserve"> </w:t>
      </w:r>
      <w:r w:rsidRPr="00CD59CC">
        <w:rPr>
          <w:rFonts w:ascii="Arial" w:hAnsi="Arial" w:cs="Arial"/>
          <w:iCs/>
        </w:rPr>
        <w:t>sensitive</w:t>
      </w:r>
      <w:r w:rsidR="007B7640" w:rsidRPr="00CD59CC">
        <w:rPr>
          <w:rFonts w:ascii="Arial" w:hAnsi="Arial" w:cs="Arial"/>
          <w:iCs/>
        </w:rPr>
        <w:t xml:space="preserve"> </w:t>
      </w:r>
      <w:r w:rsidRPr="00CD59CC">
        <w:rPr>
          <w:rFonts w:ascii="Arial" w:hAnsi="Arial" w:cs="Arial"/>
          <w:iCs/>
        </w:rPr>
        <w:t>data</w:t>
      </w:r>
      <w:r w:rsidR="007B7640" w:rsidRPr="00CD59CC">
        <w:rPr>
          <w:rFonts w:ascii="Arial" w:hAnsi="Arial" w:cs="Arial"/>
          <w:iCs/>
        </w:rPr>
        <w:t xml:space="preserve"> </w:t>
      </w:r>
      <w:r w:rsidRPr="00CD59CC">
        <w:rPr>
          <w:rFonts w:ascii="Arial" w:hAnsi="Arial" w:cs="Arial"/>
          <w:iCs/>
        </w:rPr>
        <w:t>(such</w:t>
      </w:r>
      <w:r w:rsidR="007B7640" w:rsidRPr="00CD59CC">
        <w:rPr>
          <w:rFonts w:ascii="Arial" w:hAnsi="Arial" w:cs="Arial"/>
          <w:iCs/>
        </w:rPr>
        <w:t xml:space="preserve"> </w:t>
      </w:r>
      <w:r w:rsidRPr="00CD59CC">
        <w:rPr>
          <w:rFonts w:ascii="Arial" w:hAnsi="Arial" w:cs="Arial"/>
          <w:iCs/>
        </w:rPr>
        <w:t>as</w:t>
      </w:r>
      <w:r w:rsidR="007B7640" w:rsidRPr="00CD59CC">
        <w:rPr>
          <w:rFonts w:ascii="Arial" w:hAnsi="Arial" w:cs="Arial"/>
          <w:iCs/>
        </w:rPr>
        <w:t xml:space="preserve"> </w:t>
      </w:r>
      <w:r w:rsidRPr="00CD59CC">
        <w:rPr>
          <w:rFonts w:ascii="Arial" w:hAnsi="Arial" w:cs="Arial"/>
          <w:iCs/>
        </w:rPr>
        <w:t>ethnic</w:t>
      </w:r>
      <w:r w:rsidR="007B7640" w:rsidRPr="00CD59CC">
        <w:rPr>
          <w:rFonts w:ascii="Arial" w:hAnsi="Arial" w:cs="Arial"/>
          <w:iCs/>
        </w:rPr>
        <w:t xml:space="preserve"> </w:t>
      </w:r>
      <w:r w:rsidRPr="00CD59CC">
        <w:rPr>
          <w:rFonts w:ascii="Arial" w:hAnsi="Arial" w:cs="Arial"/>
          <w:iCs/>
        </w:rPr>
        <w:t>affiliation,</w:t>
      </w:r>
      <w:r w:rsidR="007B7640" w:rsidRPr="00CD59CC">
        <w:rPr>
          <w:rFonts w:ascii="Arial" w:hAnsi="Arial" w:cs="Arial"/>
          <w:iCs/>
        </w:rPr>
        <w:t xml:space="preserve"> </w:t>
      </w:r>
      <w:r w:rsidRPr="00CD59CC">
        <w:rPr>
          <w:rFonts w:ascii="Arial" w:hAnsi="Arial" w:cs="Arial"/>
          <w:iCs/>
        </w:rPr>
        <w:t>sexual</w:t>
      </w:r>
      <w:r w:rsidR="007B7640" w:rsidRPr="00CD59CC">
        <w:rPr>
          <w:rFonts w:ascii="Arial" w:hAnsi="Arial" w:cs="Arial"/>
          <w:iCs/>
        </w:rPr>
        <w:t xml:space="preserve"> </w:t>
      </w:r>
      <w:r w:rsidRPr="00CD59CC">
        <w:rPr>
          <w:rFonts w:ascii="Arial" w:hAnsi="Arial" w:cs="Arial"/>
          <w:iCs/>
        </w:rPr>
        <w:t>orientation,</w:t>
      </w:r>
      <w:r w:rsidR="007B7640" w:rsidRPr="00CD59CC">
        <w:rPr>
          <w:rFonts w:ascii="Arial" w:hAnsi="Arial" w:cs="Arial"/>
          <w:iCs/>
        </w:rPr>
        <w:t xml:space="preserve"> </w:t>
      </w:r>
      <w:r w:rsidRPr="00CD59CC">
        <w:rPr>
          <w:rFonts w:ascii="Arial" w:hAnsi="Arial" w:cs="Arial"/>
          <w:iCs/>
        </w:rPr>
        <w:t>health</w:t>
      </w:r>
      <w:r w:rsidR="007B7640" w:rsidRPr="00CD59CC">
        <w:rPr>
          <w:rFonts w:ascii="Arial" w:hAnsi="Arial" w:cs="Arial"/>
          <w:iCs/>
        </w:rPr>
        <w:t xml:space="preserve"> </w:t>
      </w:r>
      <w:r w:rsidRPr="00CD59CC">
        <w:rPr>
          <w:rFonts w:ascii="Arial" w:hAnsi="Arial" w:cs="Arial"/>
          <w:iCs/>
        </w:rPr>
        <w:t>status)</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disclosed</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authorities</w:t>
      </w:r>
      <w:r w:rsidR="007B7640" w:rsidRPr="00CD59CC">
        <w:rPr>
          <w:rFonts w:ascii="Arial" w:hAnsi="Arial" w:cs="Arial"/>
          <w:iCs/>
        </w:rPr>
        <w:t xml:space="preserve"> </w:t>
      </w:r>
      <w:r w:rsidRPr="00CD59CC">
        <w:rPr>
          <w:rFonts w:ascii="Arial" w:hAnsi="Arial" w:cs="Arial"/>
          <w:iCs/>
        </w:rPr>
        <w:t>before</w:t>
      </w:r>
      <w:r w:rsidR="007B7640" w:rsidRPr="00CD59CC">
        <w:rPr>
          <w:rFonts w:ascii="Arial" w:hAnsi="Arial" w:cs="Arial"/>
          <w:iCs/>
        </w:rPr>
        <w:t xml:space="preserve"> </w:t>
      </w:r>
      <w:r w:rsidRPr="00CD59CC">
        <w:rPr>
          <w:rFonts w:ascii="Arial" w:hAnsi="Arial" w:cs="Arial"/>
          <w:iCs/>
        </w:rPr>
        <w:t>which</w:t>
      </w:r>
      <w:r w:rsidR="007B7640" w:rsidRPr="00CD59CC">
        <w:rPr>
          <w:rFonts w:ascii="Arial" w:hAnsi="Arial" w:cs="Arial"/>
          <w:iCs/>
        </w:rPr>
        <w:t xml:space="preserve"> </w:t>
      </w:r>
      <w:r w:rsidRPr="00CD59CC">
        <w:rPr>
          <w:rFonts w:ascii="Arial" w:hAnsi="Arial" w:cs="Arial"/>
          <w:iCs/>
        </w:rPr>
        <w:t>such</w:t>
      </w:r>
      <w:r w:rsidR="007B7640" w:rsidRPr="00CD59CC">
        <w:rPr>
          <w:rFonts w:ascii="Arial" w:hAnsi="Arial" w:cs="Arial"/>
          <w:iCs/>
        </w:rPr>
        <w:t xml:space="preserve"> </w:t>
      </w:r>
      <w:r w:rsidRPr="00CD59CC">
        <w:rPr>
          <w:rFonts w:ascii="Arial" w:hAnsi="Arial" w:cs="Arial"/>
          <w:iCs/>
        </w:rPr>
        <w:t>proceedings</w:t>
      </w:r>
      <w:r w:rsidR="007B7640" w:rsidRPr="00CD59CC">
        <w:rPr>
          <w:rFonts w:ascii="Arial" w:hAnsi="Arial" w:cs="Arial"/>
          <w:iCs/>
        </w:rPr>
        <w:t xml:space="preserve"> </w:t>
      </w:r>
      <w:r w:rsidRPr="00CD59CC">
        <w:rPr>
          <w:rFonts w:ascii="Arial" w:hAnsi="Arial" w:cs="Arial"/>
          <w:iCs/>
        </w:rPr>
        <w:t>are</w:t>
      </w:r>
      <w:r w:rsidR="007B7640" w:rsidRPr="00CD59CC">
        <w:rPr>
          <w:rFonts w:ascii="Arial" w:hAnsi="Arial" w:cs="Arial"/>
          <w:iCs/>
        </w:rPr>
        <w:t xml:space="preserve"> </w:t>
      </w:r>
      <w:r w:rsidRPr="00CD59CC">
        <w:rPr>
          <w:rFonts w:ascii="Arial" w:hAnsi="Arial" w:cs="Arial"/>
          <w:iCs/>
        </w:rPr>
        <w:t>launched.</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contract</w:t>
      </w:r>
      <w:r w:rsidR="007B7640" w:rsidRPr="00CD59CC">
        <w:rPr>
          <w:rFonts w:ascii="Arial" w:hAnsi="Arial" w:cs="Arial"/>
          <w:iCs/>
        </w:rPr>
        <w:t xml:space="preserve"> </w:t>
      </w:r>
      <w:r w:rsidRPr="00CD59CC">
        <w:rPr>
          <w:rFonts w:ascii="Arial" w:hAnsi="Arial" w:cs="Arial"/>
          <w:iCs/>
        </w:rPr>
        <w:t>designates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place</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describes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actual</w:t>
      </w:r>
      <w:r w:rsidR="007B7640" w:rsidRPr="00CD59CC">
        <w:rPr>
          <w:rFonts w:ascii="Arial" w:hAnsi="Arial" w:cs="Arial"/>
          <w:iCs/>
        </w:rPr>
        <w:t xml:space="preserve"> </w:t>
      </w:r>
      <w:r w:rsidRPr="00CD59CC">
        <w:rPr>
          <w:rFonts w:ascii="Arial" w:hAnsi="Arial" w:cs="Arial"/>
          <w:iCs/>
        </w:rPr>
        <w:t>task</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sets</w:t>
      </w:r>
      <w:r w:rsidR="007B7640" w:rsidRPr="00CD59CC">
        <w:rPr>
          <w:rFonts w:ascii="Arial" w:hAnsi="Arial" w:cs="Arial"/>
          <w:iCs/>
        </w:rPr>
        <w:t xml:space="preserve"> </w:t>
      </w:r>
      <w:r w:rsidRPr="00CD59CC">
        <w:rPr>
          <w:rFonts w:ascii="Arial" w:hAnsi="Arial" w:cs="Arial"/>
          <w:iCs/>
        </w:rPr>
        <w:t>out</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fee</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paid</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w:t>
      </w:r>
      <w:r w:rsidRPr="00CD59CC">
        <w:rPr>
          <w:rStyle w:val="FootnoteReference"/>
          <w:rFonts w:ascii="Arial" w:hAnsi="Arial" w:cs="Arial"/>
          <w:iCs/>
        </w:rPr>
        <w:footnoteReference w:id="33"/>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contract</w:t>
      </w:r>
      <w:r w:rsidR="007B7640" w:rsidRPr="00CD59CC">
        <w:rPr>
          <w:rFonts w:ascii="Arial" w:hAnsi="Arial" w:cs="Arial"/>
          <w:iCs/>
        </w:rPr>
        <w:t xml:space="preserve"> </w:t>
      </w:r>
      <w:r w:rsidRPr="00CD59CC">
        <w:rPr>
          <w:rFonts w:ascii="Arial" w:hAnsi="Arial" w:cs="Arial"/>
          <w:iCs/>
        </w:rPr>
        <w:t>contains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NGO’s</w:t>
      </w:r>
      <w:r w:rsidR="007B7640" w:rsidRPr="00CD59CC">
        <w:rPr>
          <w:rFonts w:ascii="Arial" w:hAnsi="Arial" w:cs="Arial"/>
          <w:iCs/>
        </w:rPr>
        <w:t xml:space="preserve"> </w:t>
      </w:r>
      <w:r w:rsidRPr="00CD59CC">
        <w:rPr>
          <w:rFonts w:ascii="Arial" w:hAnsi="Arial" w:cs="Arial"/>
          <w:iCs/>
        </w:rPr>
        <w:t>obligation</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provide</w:t>
      </w:r>
      <w:r w:rsidR="007B7640" w:rsidRPr="00CD59CC">
        <w:rPr>
          <w:rFonts w:ascii="Arial" w:hAnsi="Arial" w:cs="Arial"/>
          <w:iCs/>
        </w:rPr>
        <w:t xml:space="preserve"> </w:t>
      </w:r>
      <w:r w:rsidRPr="00CD59CC">
        <w:rPr>
          <w:rFonts w:ascii="Arial" w:hAnsi="Arial" w:cs="Arial"/>
          <w:iCs/>
        </w:rPr>
        <w:t>legal</w:t>
      </w:r>
      <w:r w:rsidR="007B7640" w:rsidRPr="00CD59CC">
        <w:rPr>
          <w:rFonts w:ascii="Arial" w:hAnsi="Arial" w:cs="Arial"/>
          <w:iCs/>
        </w:rPr>
        <w:t xml:space="preserve"> </w:t>
      </w:r>
      <w:r w:rsidRPr="00CD59CC">
        <w:rPr>
          <w:rFonts w:ascii="Arial" w:hAnsi="Arial" w:cs="Arial"/>
          <w:iCs/>
        </w:rPr>
        <w:t>assistance</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case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rights</w:t>
      </w:r>
      <w:r w:rsidR="007B7640" w:rsidRPr="00CD59CC">
        <w:rPr>
          <w:rFonts w:ascii="Arial" w:hAnsi="Arial" w:cs="Arial"/>
          <w:iCs/>
        </w:rPr>
        <w:t xml:space="preserve"> </w:t>
      </w:r>
      <w:r w:rsidRPr="00CD59CC">
        <w:rPr>
          <w:rFonts w:ascii="Arial" w:hAnsi="Arial" w:cs="Arial"/>
          <w:iCs/>
        </w:rPr>
        <w:t>are</w:t>
      </w:r>
      <w:r w:rsidR="007B7640" w:rsidRPr="00CD59CC">
        <w:rPr>
          <w:rFonts w:ascii="Arial" w:hAnsi="Arial" w:cs="Arial"/>
          <w:iCs/>
        </w:rPr>
        <w:t xml:space="preserve"> </w:t>
      </w:r>
      <w:r w:rsidRPr="00CD59CC">
        <w:rPr>
          <w:rFonts w:ascii="Arial" w:hAnsi="Arial" w:cs="Arial"/>
          <w:iCs/>
        </w:rPr>
        <w:t>violated</w:t>
      </w:r>
      <w:r w:rsidR="007B7640" w:rsidRPr="00CD59CC">
        <w:rPr>
          <w:rFonts w:ascii="Arial" w:hAnsi="Arial" w:cs="Arial"/>
          <w:iCs/>
        </w:rPr>
        <w:t xml:space="preserve"> </w:t>
      </w:r>
      <w:r w:rsidRPr="00CD59CC">
        <w:rPr>
          <w:rFonts w:ascii="Arial" w:hAnsi="Arial" w:cs="Arial"/>
          <w:iCs/>
        </w:rPr>
        <w:t>during</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Furthermore,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undertakes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obligation</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confidentiality.</w:t>
      </w:r>
    </w:p>
    <w:p w14:paraId="378C5F0B" w14:textId="77777777" w:rsidR="00E04499" w:rsidRPr="00CD59CC" w:rsidRDefault="00E04499" w:rsidP="00CD59CC">
      <w:pPr>
        <w:rPr>
          <w:rFonts w:ascii="Arial" w:hAnsi="Arial" w:cs="Arial"/>
          <w:iCs/>
        </w:rPr>
      </w:pPr>
    </w:p>
    <w:p w14:paraId="1F2704B6" w14:textId="77777777" w:rsidR="00E04499" w:rsidRDefault="00E04499" w:rsidP="00CD59CC">
      <w:pPr>
        <w:rPr>
          <w:rFonts w:ascii="Arial" w:hAnsi="Arial" w:cs="Arial"/>
          <w:iCs/>
        </w:rPr>
      </w:pP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are</w:t>
      </w:r>
      <w:r w:rsidR="007B7640" w:rsidRPr="00CD59CC">
        <w:rPr>
          <w:rFonts w:ascii="Arial" w:hAnsi="Arial" w:cs="Arial"/>
          <w:iCs/>
        </w:rPr>
        <w:t xml:space="preserve"> </w:t>
      </w:r>
      <w:r w:rsidRPr="00CD59CC">
        <w:rPr>
          <w:rFonts w:ascii="Arial" w:hAnsi="Arial" w:cs="Arial"/>
          <w:iCs/>
        </w:rPr>
        <w:t>carefully</w:t>
      </w:r>
      <w:r w:rsidR="007B7640" w:rsidRPr="00CD59CC">
        <w:rPr>
          <w:rFonts w:ascii="Arial" w:hAnsi="Arial" w:cs="Arial"/>
          <w:iCs/>
        </w:rPr>
        <w:t xml:space="preserve"> </w:t>
      </w:r>
      <w:r w:rsidRPr="00CD59CC">
        <w:rPr>
          <w:rFonts w:ascii="Arial" w:hAnsi="Arial" w:cs="Arial"/>
          <w:iCs/>
        </w:rPr>
        <w:t>prepared</w:t>
      </w:r>
      <w:r w:rsidR="007B7640" w:rsidRPr="00CD59CC">
        <w:rPr>
          <w:rFonts w:ascii="Arial" w:hAnsi="Arial" w:cs="Arial"/>
          <w:iCs/>
        </w:rPr>
        <w:t xml:space="preserve"> </w:t>
      </w:r>
      <w:r w:rsidRPr="00CD59CC">
        <w:rPr>
          <w:rFonts w:ascii="Arial" w:hAnsi="Arial" w:cs="Arial"/>
          <w:iCs/>
        </w:rPr>
        <w:t>for</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task.</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most</w:t>
      </w:r>
      <w:r w:rsidR="007B7640" w:rsidRPr="00CD59CC">
        <w:rPr>
          <w:rFonts w:ascii="Arial" w:hAnsi="Arial" w:cs="Arial"/>
          <w:iCs/>
        </w:rPr>
        <w:t xml:space="preserve"> </w:t>
      </w:r>
      <w:r w:rsidRPr="00CD59CC">
        <w:rPr>
          <w:rFonts w:ascii="Arial" w:hAnsi="Arial" w:cs="Arial"/>
          <w:iCs/>
        </w:rPr>
        <w:t>important</w:t>
      </w:r>
      <w:r w:rsidR="007B7640" w:rsidRPr="00CD59CC">
        <w:rPr>
          <w:rFonts w:ascii="Arial" w:hAnsi="Arial" w:cs="Arial"/>
          <w:iCs/>
        </w:rPr>
        <w:t xml:space="preserve"> </w:t>
      </w:r>
      <w:r w:rsidRPr="00CD59CC">
        <w:rPr>
          <w:rFonts w:ascii="Arial" w:hAnsi="Arial" w:cs="Arial"/>
          <w:iCs/>
        </w:rPr>
        <w:t>obligations</w:t>
      </w:r>
      <w:r w:rsidR="007B7640" w:rsidRPr="00CD59CC">
        <w:rPr>
          <w:rFonts w:ascii="Arial" w:hAnsi="Arial" w:cs="Arial"/>
          <w:iCs/>
        </w:rPr>
        <w:t xml:space="preserve"> </w:t>
      </w:r>
      <w:r w:rsidRPr="00CD59CC">
        <w:rPr>
          <w:rFonts w:ascii="Arial" w:hAnsi="Arial" w:cs="Arial"/>
          <w:iCs/>
        </w:rPr>
        <w:t>(besides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ones</w:t>
      </w:r>
      <w:r w:rsidR="007B7640" w:rsidRPr="00CD59CC">
        <w:rPr>
          <w:rFonts w:ascii="Arial" w:hAnsi="Arial" w:cs="Arial"/>
          <w:iCs/>
        </w:rPr>
        <w:t xml:space="preserve"> </w:t>
      </w:r>
      <w:r w:rsidRPr="00CD59CC">
        <w:rPr>
          <w:rFonts w:ascii="Arial" w:hAnsi="Arial" w:cs="Arial"/>
          <w:iCs/>
        </w:rPr>
        <w:t>outlined</w:t>
      </w:r>
      <w:r w:rsidR="007B7640" w:rsidRPr="00CD59CC">
        <w:rPr>
          <w:rFonts w:ascii="Arial" w:hAnsi="Arial" w:cs="Arial"/>
          <w:iCs/>
        </w:rPr>
        <w:t xml:space="preserve"> </w:t>
      </w:r>
      <w:r w:rsidRPr="00CD59CC">
        <w:rPr>
          <w:rFonts w:ascii="Arial" w:hAnsi="Arial" w:cs="Arial"/>
          <w:iCs/>
        </w:rPr>
        <w:t>above)</w:t>
      </w:r>
      <w:r w:rsidR="007B7640" w:rsidRPr="00CD59CC">
        <w:rPr>
          <w:rFonts w:ascii="Arial" w:hAnsi="Arial" w:cs="Arial"/>
          <w:iCs/>
        </w:rPr>
        <w:t xml:space="preserve"> </w:t>
      </w:r>
      <w:r w:rsidRPr="00CD59CC">
        <w:rPr>
          <w:rFonts w:ascii="Arial" w:hAnsi="Arial" w:cs="Arial"/>
          <w:iCs/>
        </w:rPr>
        <w:t>are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following:</w:t>
      </w:r>
    </w:p>
    <w:p w14:paraId="36EC7A2F" w14:textId="77777777" w:rsidR="00791157" w:rsidRPr="00CD59CC" w:rsidRDefault="00791157" w:rsidP="00CD59CC">
      <w:pPr>
        <w:rPr>
          <w:rFonts w:ascii="Arial" w:hAnsi="Arial" w:cs="Arial"/>
          <w:iCs/>
        </w:rPr>
      </w:pPr>
    </w:p>
    <w:p w14:paraId="29181C2A" w14:textId="77777777" w:rsidR="00E04499" w:rsidRPr="00CD59CC" w:rsidRDefault="00E04499" w:rsidP="007B4138">
      <w:pPr>
        <w:numPr>
          <w:ilvl w:val="0"/>
          <w:numId w:val="45"/>
        </w:numPr>
        <w:ind w:left="567" w:hanging="567"/>
        <w:rPr>
          <w:rFonts w:ascii="Arial" w:hAnsi="Arial" w:cs="Arial"/>
          <w:iCs/>
        </w:rPr>
      </w:pP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should</w:t>
      </w:r>
      <w:r w:rsidR="007B7640" w:rsidRPr="00CD59CC">
        <w:rPr>
          <w:rFonts w:ascii="Arial" w:hAnsi="Arial" w:cs="Arial"/>
          <w:iCs/>
        </w:rPr>
        <w:t xml:space="preserve"> </w:t>
      </w:r>
      <w:r w:rsidRPr="00CD59CC">
        <w:rPr>
          <w:rFonts w:ascii="Arial" w:hAnsi="Arial" w:cs="Arial"/>
          <w:iCs/>
        </w:rPr>
        <w:t>remain</w:t>
      </w:r>
      <w:r w:rsidR="007B7640" w:rsidRPr="00CD59CC">
        <w:rPr>
          <w:rFonts w:ascii="Arial" w:hAnsi="Arial" w:cs="Arial"/>
          <w:iCs/>
        </w:rPr>
        <w:t xml:space="preserve"> </w:t>
      </w:r>
      <w:r w:rsidRPr="00CD59CC">
        <w:rPr>
          <w:rFonts w:ascii="Arial" w:hAnsi="Arial" w:cs="Arial"/>
          <w:iCs/>
        </w:rPr>
        <w:t>detached</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objective,</w:t>
      </w:r>
      <w:r w:rsidR="007B7640" w:rsidRPr="00CD59CC">
        <w:rPr>
          <w:rFonts w:ascii="Arial" w:hAnsi="Arial" w:cs="Arial"/>
          <w:iCs/>
        </w:rPr>
        <w:t xml:space="preserve"> </w:t>
      </w:r>
      <w:r w:rsidRPr="00CD59CC">
        <w:rPr>
          <w:rFonts w:ascii="Arial" w:hAnsi="Arial" w:cs="Arial"/>
          <w:iCs/>
        </w:rPr>
        <w:t>he/she</w:t>
      </w:r>
      <w:r w:rsidR="007B7640" w:rsidRPr="00CD59CC">
        <w:rPr>
          <w:rFonts w:ascii="Arial" w:hAnsi="Arial" w:cs="Arial"/>
          <w:iCs/>
        </w:rPr>
        <w:t xml:space="preserve"> </w:t>
      </w:r>
      <w:r w:rsidRPr="00CD59CC">
        <w:rPr>
          <w:rFonts w:ascii="Arial" w:hAnsi="Arial" w:cs="Arial"/>
          <w:iCs/>
        </w:rPr>
        <w:t>may</w:t>
      </w:r>
      <w:r w:rsidR="007B7640" w:rsidRPr="00CD59CC">
        <w:rPr>
          <w:rFonts w:ascii="Arial" w:hAnsi="Arial" w:cs="Arial"/>
          <w:iCs/>
        </w:rPr>
        <w:t xml:space="preserve"> </w:t>
      </w:r>
      <w:r w:rsidRPr="00CD59CC">
        <w:rPr>
          <w:rFonts w:ascii="Arial" w:hAnsi="Arial" w:cs="Arial"/>
          <w:iCs/>
        </w:rPr>
        <w:t>not</w:t>
      </w:r>
      <w:r w:rsidR="007B7640" w:rsidRPr="00CD59CC">
        <w:rPr>
          <w:rFonts w:ascii="Arial" w:hAnsi="Arial" w:cs="Arial"/>
          <w:iCs/>
        </w:rPr>
        <w:t xml:space="preserve"> </w:t>
      </w:r>
      <w:r w:rsidRPr="00CD59CC">
        <w:rPr>
          <w:rFonts w:ascii="Arial" w:hAnsi="Arial" w:cs="Arial"/>
          <w:iCs/>
        </w:rPr>
        <w:t>give</w:t>
      </w:r>
      <w:r w:rsidR="007B7640" w:rsidRPr="00CD59CC">
        <w:rPr>
          <w:rFonts w:ascii="Arial" w:hAnsi="Arial" w:cs="Arial"/>
          <w:iCs/>
        </w:rPr>
        <w:t xml:space="preserve"> </w:t>
      </w:r>
      <w:r w:rsidRPr="00CD59CC">
        <w:rPr>
          <w:rFonts w:ascii="Arial" w:hAnsi="Arial" w:cs="Arial"/>
          <w:iCs/>
        </w:rPr>
        <w:t>voice</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his/her</w:t>
      </w:r>
      <w:r w:rsidR="007B7640" w:rsidRPr="00CD59CC">
        <w:rPr>
          <w:rFonts w:ascii="Arial" w:hAnsi="Arial" w:cs="Arial"/>
          <w:iCs/>
        </w:rPr>
        <w:t xml:space="preserve"> </w:t>
      </w:r>
      <w:r w:rsidRPr="00CD59CC">
        <w:rPr>
          <w:rFonts w:ascii="Arial" w:hAnsi="Arial" w:cs="Arial"/>
          <w:iCs/>
        </w:rPr>
        <w:t>feelings</w:t>
      </w:r>
      <w:r w:rsidR="007B7640" w:rsidRPr="00CD59CC">
        <w:rPr>
          <w:rFonts w:ascii="Arial" w:hAnsi="Arial" w:cs="Arial"/>
          <w:iCs/>
        </w:rPr>
        <w:t xml:space="preserve"> </w:t>
      </w:r>
      <w:r w:rsidRPr="00CD59CC">
        <w:rPr>
          <w:rFonts w:ascii="Arial" w:hAnsi="Arial" w:cs="Arial"/>
          <w:iCs/>
        </w:rPr>
        <w:t>during</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p>
    <w:p w14:paraId="1CFD4EDA" w14:textId="77777777" w:rsidR="00E04499" w:rsidRPr="00CD59CC" w:rsidRDefault="00E04499" w:rsidP="007B4138">
      <w:pPr>
        <w:numPr>
          <w:ilvl w:val="0"/>
          <w:numId w:val="45"/>
        </w:numPr>
        <w:ind w:left="567" w:hanging="567"/>
        <w:rPr>
          <w:rFonts w:ascii="Arial" w:hAnsi="Arial" w:cs="Arial"/>
          <w:iCs/>
        </w:rPr>
      </w:pP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shall</w:t>
      </w:r>
      <w:r w:rsidR="007B7640" w:rsidRPr="00CD59CC">
        <w:rPr>
          <w:rFonts w:ascii="Arial" w:hAnsi="Arial" w:cs="Arial"/>
          <w:iCs/>
        </w:rPr>
        <w:t xml:space="preserve"> </w:t>
      </w:r>
      <w:r w:rsidRPr="00CD59CC">
        <w:rPr>
          <w:rFonts w:ascii="Arial" w:hAnsi="Arial" w:cs="Arial"/>
          <w:iCs/>
        </w:rPr>
        <w:t>cooperate</w:t>
      </w:r>
      <w:r w:rsidR="007B7640" w:rsidRPr="00CD59CC">
        <w:rPr>
          <w:rFonts w:ascii="Arial" w:hAnsi="Arial" w:cs="Arial"/>
          <w:iCs/>
        </w:rPr>
        <w:t xml:space="preserve"> </w:t>
      </w:r>
      <w:r w:rsidRPr="00CD59CC">
        <w:rPr>
          <w:rFonts w:ascii="Arial" w:hAnsi="Arial" w:cs="Arial"/>
          <w:iCs/>
        </w:rPr>
        <w:t>with</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suspected</w:t>
      </w:r>
      <w:r w:rsidR="007B7640" w:rsidRPr="00CD59CC">
        <w:rPr>
          <w:rFonts w:ascii="Arial" w:hAnsi="Arial" w:cs="Arial"/>
          <w:iCs/>
        </w:rPr>
        <w:t xml:space="preserve"> </w:t>
      </w:r>
      <w:r w:rsidRPr="00CD59CC">
        <w:rPr>
          <w:rFonts w:ascii="Arial" w:hAnsi="Arial" w:cs="Arial"/>
          <w:iCs/>
        </w:rPr>
        <w:t>discriminator(s)</w:t>
      </w:r>
      <w:r w:rsidR="007B7640" w:rsidRPr="00CD59CC">
        <w:rPr>
          <w:rFonts w:ascii="Arial" w:hAnsi="Arial" w:cs="Arial"/>
          <w:iCs/>
        </w:rPr>
        <w:t xml:space="preserve"> </w:t>
      </w:r>
      <w:r w:rsidRPr="00CD59CC">
        <w:rPr>
          <w:rFonts w:ascii="Arial" w:hAnsi="Arial" w:cs="Arial"/>
          <w:iCs/>
        </w:rPr>
        <w:t>(employer,</w:t>
      </w:r>
      <w:r w:rsidR="007B7640" w:rsidRPr="00CD59CC">
        <w:rPr>
          <w:rFonts w:ascii="Arial" w:hAnsi="Arial" w:cs="Arial"/>
          <w:iCs/>
        </w:rPr>
        <w:t xml:space="preserve"> </w:t>
      </w:r>
      <w:r w:rsidRPr="00CD59CC">
        <w:rPr>
          <w:rFonts w:ascii="Arial" w:hAnsi="Arial" w:cs="Arial"/>
          <w:iCs/>
        </w:rPr>
        <w:t>security</w:t>
      </w:r>
      <w:r w:rsidR="007B7640" w:rsidRPr="00CD59CC">
        <w:rPr>
          <w:rFonts w:ascii="Arial" w:hAnsi="Arial" w:cs="Arial"/>
          <w:iCs/>
        </w:rPr>
        <w:t xml:space="preserve"> </w:t>
      </w:r>
      <w:r w:rsidRPr="00CD59CC">
        <w:rPr>
          <w:rFonts w:ascii="Arial" w:hAnsi="Arial" w:cs="Arial"/>
          <w:iCs/>
        </w:rPr>
        <w:t>personnel,</w:t>
      </w:r>
      <w:r w:rsidR="007B7640" w:rsidRPr="00CD59CC">
        <w:rPr>
          <w:rFonts w:ascii="Arial" w:hAnsi="Arial" w:cs="Arial"/>
          <w:iCs/>
        </w:rPr>
        <w:t xml:space="preserve"> </w:t>
      </w:r>
      <w:r w:rsidRPr="00CD59CC">
        <w:rPr>
          <w:rFonts w:ascii="Arial" w:hAnsi="Arial" w:cs="Arial"/>
          <w:iCs/>
        </w:rPr>
        <w:t>etc.);</w:t>
      </w:r>
    </w:p>
    <w:p w14:paraId="3CC6C1A2" w14:textId="77777777" w:rsidR="00E04499" w:rsidRPr="00CD59CC" w:rsidRDefault="00E04499" w:rsidP="007B4138">
      <w:pPr>
        <w:numPr>
          <w:ilvl w:val="0"/>
          <w:numId w:val="45"/>
        </w:numPr>
        <w:ind w:left="567" w:hanging="567"/>
        <w:rPr>
          <w:rFonts w:ascii="Arial" w:hAnsi="Arial" w:cs="Arial"/>
          <w:iCs/>
        </w:rPr>
      </w:pP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shall</w:t>
      </w:r>
      <w:r w:rsidR="007B7640" w:rsidRPr="00CD59CC">
        <w:rPr>
          <w:rFonts w:ascii="Arial" w:hAnsi="Arial" w:cs="Arial"/>
          <w:iCs/>
        </w:rPr>
        <w:t xml:space="preserve"> </w:t>
      </w:r>
      <w:r w:rsidRPr="00CD59CC">
        <w:rPr>
          <w:rFonts w:ascii="Arial" w:hAnsi="Arial" w:cs="Arial"/>
          <w:iCs/>
        </w:rPr>
        <w:t>record</w:t>
      </w:r>
      <w:r w:rsidR="007B7640" w:rsidRPr="00CD59CC">
        <w:rPr>
          <w:rFonts w:ascii="Arial" w:hAnsi="Arial" w:cs="Arial"/>
          <w:iCs/>
        </w:rPr>
        <w:t xml:space="preserve"> </w:t>
      </w:r>
      <w:r w:rsidRPr="00CD59CC">
        <w:rPr>
          <w:rFonts w:ascii="Arial" w:hAnsi="Arial" w:cs="Arial"/>
          <w:iCs/>
        </w:rPr>
        <w:t>his/her</w:t>
      </w:r>
      <w:r w:rsidR="007B7640" w:rsidRPr="00CD59CC">
        <w:rPr>
          <w:rFonts w:ascii="Arial" w:hAnsi="Arial" w:cs="Arial"/>
          <w:iCs/>
        </w:rPr>
        <w:t xml:space="preserve"> </w:t>
      </w:r>
      <w:r w:rsidRPr="00CD59CC">
        <w:rPr>
          <w:rFonts w:ascii="Arial" w:hAnsi="Arial" w:cs="Arial"/>
          <w:iCs/>
        </w:rPr>
        <w:t>observations</w:t>
      </w:r>
      <w:r w:rsidR="007B7640" w:rsidRPr="00CD59CC">
        <w:rPr>
          <w:rFonts w:ascii="Arial" w:hAnsi="Arial" w:cs="Arial"/>
          <w:iCs/>
        </w:rPr>
        <w:t xml:space="preserve"> </w:t>
      </w:r>
      <w:r w:rsidRPr="00CD59CC">
        <w:rPr>
          <w:rFonts w:ascii="Arial" w:hAnsi="Arial" w:cs="Arial"/>
          <w:iCs/>
        </w:rPr>
        <w:t>shortly</w:t>
      </w:r>
      <w:r w:rsidR="007B7640" w:rsidRPr="00CD59CC">
        <w:rPr>
          <w:rFonts w:ascii="Arial" w:hAnsi="Arial" w:cs="Arial"/>
          <w:iCs/>
        </w:rPr>
        <w:t xml:space="preserve"> </w:t>
      </w:r>
      <w:r w:rsidRPr="00CD59CC">
        <w:rPr>
          <w:rFonts w:ascii="Arial" w:hAnsi="Arial" w:cs="Arial"/>
          <w:iCs/>
        </w:rPr>
        <w:t>after</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standard</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questionnaire,</w:t>
      </w:r>
      <w:r w:rsidR="007B7640" w:rsidRPr="00CD59CC">
        <w:rPr>
          <w:rFonts w:ascii="Arial" w:hAnsi="Arial" w:cs="Arial"/>
          <w:iCs/>
        </w:rPr>
        <w:t xml:space="preserve"> </w:t>
      </w:r>
      <w:r w:rsidRPr="00CD59CC">
        <w:rPr>
          <w:rFonts w:ascii="Arial" w:hAnsi="Arial" w:cs="Arial"/>
          <w:iCs/>
        </w:rPr>
        <w:t>which</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filled</w:t>
      </w:r>
      <w:r w:rsidR="007B7640" w:rsidRPr="00CD59CC">
        <w:rPr>
          <w:rFonts w:ascii="Arial" w:hAnsi="Arial" w:cs="Arial"/>
          <w:iCs/>
        </w:rPr>
        <w:t xml:space="preserve"> </w:t>
      </w:r>
      <w:r w:rsidRPr="00CD59CC">
        <w:rPr>
          <w:rFonts w:ascii="Arial" w:hAnsi="Arial" w:cs="Arial"/>
          <w:iCs/>
        </w:rPr>
        <w:t>out</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presence</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with</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assistance</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coordinator.</w:t>
      </w:r>
    </w:p>
    <w:p w14:paraId="2FFF45C9" w14:textId="77777777" w:rsidR="00E04499" w:rsidRPr="00CD59CC" w:rsidRDefault="00E04499" w:rsidP="00CD59CC">
      <w:pPr>
        <w:rPr>
          <w:rFonts w:ascii="Arial" w:hAnsi="Arial" w:cs="Arial"/>
          <w:iCs/>
        </w:rPr>
      </w:pPr>
    </w:p>
    <w:p w14:paraId="6F24F301" w14:textId="77777777" w:rsidR="00E04499" w:rsidRPr="00CD59CC" w:rsidRDefault="00E04499" w:rsidP="00CD59CC">
      <w:pPr>
        <w:rPr>
          <w:rFonts w:ascii="Arial" w:hAnsi="Arial" w:cs="Arial"/>
          <w:iCs/>
        </w:rPr>
      </w:pP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questionnaire</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filled</w:t>
      </w:r>
      <w:r w:rsidR="007B7640" w:rsidRPr="00CD59CC">
        <w:rPr>
          <w:rFonts w:ascii="Arial" w:hAnsi="Arial" w:cs="Arial"/>
          <w:iCs/>
        </w:rPr>
        <w:t xml:space="preserve"> </w:t>
      </w:r>
      <w:r w:rsidRPr="00CD59CC">
        <w:rPr>
          <w:rFonts w:ascii="Arial" w:hAnsi="Arial" w:cs="Arial"/>
          <w:iCs/>
        </w:rPr>
        <w:t>out</w:t>
      </w:r>
      <w:r w:rsidR="007B7640" w:rsidRPr="00CD59CC">
        <w:rPr>
          <w:rFonts w:ascii="Arial" w:hAnsi="Arial" w:cs="Arial"/>
          <w:iCs/>
        </w:rPr>
        <w:t xml:space="preserve"> </w:t>
      </w:r>
      <w:r w:rsidRPr="00CD59CC">
        <w:rPr>
          <w:rFonts w:ascii="Arial" w:hAnsi="Arial" w:cs="Arial"/>
          <w:iCs/>
        </w:rPr>
        <w:t>by</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but</w:t>
      </w:r>
      <w:r w:rsidR="007B7640" w:rsidRPr="00CD59CC">
        <w:rPr>
          <w:rFonts w:ascii="Arial" w:hAnsi="Arial" w:cs="Arial"/>
          <w:iCs/>
        </w:rPr>
        <w:t xml:space="preserve"> </w:t>
      </w:r>
      <w:r w:rsidRPr="00CD59CC">
        <w:rPr>
          <w:rFonts w:ascii="Arial" w:hAnsi="Arial" w:cs="Arial"/>
          <w:iCs/>
        </w:rPr>
        <w:t>also</w:t>
      </w:r>
      <w:r w:rsidR="007B7640" w:rsidRPr="00CD59CC">
        <w:rPr>
          <w:rFonts w:ascii="Arial" w:hAnsi="Arial" w:cs="Arial"/>
          <w:iCs/>
        </w:rPr>
        <w:t xml:space="preserve"> </w:t>
      </w:r>
      <w:r w:rsidRPr="00CD59CC">
        <w:rPr>
          <w:rFonts w:ascii="Arial" w:hAnsi="Arial" w:cs="Arial"/>
          <w:iCs/>
        </w:rPr>
        <w:t>by</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original</w:t>
      </w:r>
      <w:r w:rsidR="007B7640" w:rsidRPr="00CD59CC">
        <w:rPr>
          <w:rFonts w:ascii="Arial" w:hAnsi="Arial" w:cs="Arial"/>
          <w:iCs/>
        </w:rPr>
        <w:t xml:space="preserve"> </w:t>
      </w:r>
      <w:r w:rsidRPr="00CD59CC">
        <w:rPr>
          <w:rFonts w:ascii="Arial" w:hAnsi="Arial" w:cs="Arial"/>
          <w:iCs/>
        </w:rPr>
        <w:t>complainant,</w:t>
      </w:r>
      <w:r w:rsidR="007B7640" w:rsidRPr="00CD59CC">
        <w:rPr>
          <w:rFonts w:ascii="Arial" w:hAnsi="Arial" w:cs="Arial"/>
          <w:iCs/>
        </w:rPr>
        <w:t xml:space="preserve"> </w:t>
      </w:r>
      <w:r w:rsidRPr="00CD59CC">
        <w:rPr>
          <w:rFonts w:ascii="Arial" w:hAnsi="Arial" w:cs="Arial"/>
          <w:iCs/>
        </w:rPr>
        <w:t>so</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experience</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measured</w:t>
      </w:r>
      <w:r w:rsidR="007B7640" w:rsidRPr="00CD59CC">
        <w:rPr>
          <w:rFonts w:ascii="Arial" w:hAnsi="Arial" w:cs="Arial"/>
          <w:iCs/>
        </w:rPr>
        <w:t xml:space="preserve"> </w:t>
      </w:r>
      <w:r w:rsidRPr="00CD59CC">
        <w:rPr>
          <w:rFonts w:ascii="Arial" w:hAnsi="Arial" w:cs="Arial"/>
          <w:iCs/>
        </w:rPr>
        <w:t>against</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complainant’s</w:t>
      </w:r>
      <w:r w:rsidR="007B7640" w:rsidRPr="00CD59CC">
        <w:rPr>
          <w:rFonts w:ascii="Arial" w:hAnsi="Arial" w:cs="Arial"/>
          <w:iCs/>
        </w:rPr>
        <w:t xml:space="preserve"> </w:t>
      </w:r>
      <w:r w:rsidRPr="00CD59CC">
        <w:rPr>
          <w:rFonts w:ascii="Arial" w:hAnsi="Arial" w:cs="Arial"/>
          <w:iCs/>
        </w:rPr>
        <w:t>impressions</w:t>
      </w:r>
      <w:r w:rsidR="007B7640" w:rsidRPr="00CD59CC">
        <w:rPr>
          <w:rFonts w:ascii="Arial" w:hAnsi="Arial" w:cs="Arial"/>
          <w:iCs/>
        </w:rPr>
        <w:t xml:space="preserve"> </w:t>
      </w:r>
      <w:r w:rsidRPr="00CD59CC">
        <w:rPr>
          <w:rFonts w:ascii="Arial" w:hAnsi="Arial" w:cs="Arial"/>
          <w:iCs/>
        </w:rPr>
        <w:t>as</w:t>
      </w:r>
      <w:r w:rsidR="007B7640" w:rsidRPr="00CD59CC">
        <w:rPr>
          <w:rFonts w:ascii="Arial" w:hAnsi="Arial" w:cs="Arial"/>
          <w:iCs/>
        </w:rPr>
        <w:t xml:space="preserve"> </w:t>
      </w:r>
      <w:r w:rsidRPr="00CD59CC">
        <w:rPr>
          <w:rFonts w:ascii="Arial" w:hAnsi="Arial" w:cs="Arial"/>
          <w:iCs/>
        </w:rPr>
        <w:t>well.</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questionnaire</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an</w:t>
      </w:r>
      <w:r w:rsidR="007B7640" w:rsidRPr="00CD59CC">
        <w:rPr>
          <w:rFonts w:ascii="Arial" w:hAnsi="Arial" w:cs="Arial"/>
          <w:iCs/>
        </w:rPr>
        <w:t xml:space="preserve"> </w:t>
      </w:r>
      <w:r w:rsidRPr="00CD59CC">
        <w:rPr>
          <w:rFonts w:ascii="Arial" w:hAnsi="Arial" w:cs="Arial"/>
          <w:iCs/>
        </w:rPr>
        <w:t>important</w:t>
      </w:r>
      <w:r w:rsidR="007B7640" w:rsidRPr="00CD59CC">
        <w:rPr>
          <w:rFonts w:ascii="Arial" w:hAnsi="Arial" w:cs="Arial"/>
          <w:iCs/>
        </w:rPr>
        <w:t xml:space="preserve"> </w:t>
      </w:r>
      <w:r w:rsidRPr="00CD59CC">
        <w:rPr>
          <w:rFonts w:ascii="Arial" w:hAnsi="Arial" w:cs="Arial"/>
          <w:iCs/>
        </w:rPr>
        <w:t>tool,</w:t>
      </w:r>
      <w:r w:rsidR="007B7640" w:rsidRPr="00CD59CC">
        <w:rPr>
          <w:rFonts w:ascii="Arial" w:hAnsi="Arial" w:cs="Arial"/>
          <w:iCs/>
        </w:rPr>
        <w:t xml:space="preserve"> </w:t>
      </w:r>
      <w:r w:rsidRPr="00CD59CC">
        <w:rPr>
          <w:rFonts w:ascii="Arial" w:hAnsi="Arial" w:cs="Arial"/>
          <w:iCs/>
        </w:rPr>
        <w:t>not</w:t>
      </w:r>
      <w:r w:rsidR="007B7640" w:rsidRPr="00CD59CC">
        <w:rPr>
          <w:rFonts w:ascii="Arial" w:hAnsi="Arial" w:cs="Arial"/>
          <w:iCs/>
        </w:rPr>
        <w:t xml:space="preserve"> </w:t>
      </w:r>
      <w:r w:rsidRPr="00CD59CC">
        <w:rPr>
          <w:rFonts w:ascii="Arial" w:hAnsi="Arial" w:cs="Arial"/>
          <w:iCs/>
        </w:rPr>
        <w:t>because</w:t>
      </w:r>
      <w:r w:rsidR="007B7640" w:rsidRPr="00CD59CC">
        <w:rPr>
          <w:rFonts w:ascii="Arial" w:hAnsi="Arial" w:cs="Arial"/>
          <w:iCs/>
        </w:rPr>
        <w:t xml:space="preserve"> </w:t>
      </w:r>
      <w:r w:rsidRPr="00CD59CC">
        <w:rPr>
          <w:rFonts w:ascii="Arial" w:hAnsi="Arial" w:cs="Arial"/>
          <w:iCs/>
        </w:rPr>
        <w:t>it</w:t>
      </w:r>
      <w:r w:rsidR="007B7640" w:rsidRPr="00CD59CC">
        <w:rPr>
          <w:rFonts w:ascii="Arial" w:hAnsi="Arial" w:cs="Arial"/>
          <w:iCs/>
        </w:rPr>
        <w:t xml:space="preserve"> </w:t>
      </w:r>
      <w:r w:rsidRPr="00CD59CC">
        <w:rPr>
          <w:rFonts w:ascii="Arial" w:hAnsi="Arial" w:cs="Arial"/>
          <w:iCs/>
        </w:rPr>
        <w:t>helps</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objectify</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experience,</w:t>
      </w:r>
      <w:r w:rsidR="007B7640" w:rsidRPr="00CD59CC">
        <w:rPr>
          <w:rFonts w:ascii="Arial" w:hAnsi="Arial" w:cs="Arial"/>
          <w:iCs/>
        </w:rPr>
        <w:t xml:space="preserve"> </w:t>
      </w:r>
      <w:r w:rsidRPr="00CD59CC">
        <w:rPr>
          <w:rFonts w:ascii="Arial" w:hAnsi="Arial" w:cs="Arial"/>
          <w:iCs/>
        </w:rPr>
        <w:t>but</w:t>
      </w:r>
      <w:r w:rsidR="007B7640" w:rsidRPr="00CD59CC">
        <w:rPr>
          <w:rFonts w:ascii="Arial" w:hAnsi="Arial" w:cs="Arial"/>
          <w:iCs/>
        </w:rPr>
        <w:t xml:space="preserve"> </w:t>
      </w:r>
      <w:r w:rsidRPr="00CD59CC">
        <w:rPr>
          <w:rFonts w:ascii="Arial" w:hAnsi="Arial" w:cs="Arial"/>
          <w:iCs/>
        </w:rPr>
        <w:t>also</w:t>
      </w:r>
      <w:r w:rsidR="007B7640" w:rsidRPr="00CD59CC">
        <w:rPr>
          <w:rFonts w:ascii="Arial" w:hAnsi="Arial" w:cs="Arial"/>
          <w:iCs/>
        </w:rPr>
        <w:t xml:space="preserve"> </w:t>
      </w:r>
      <w:r w:rsidRPr="00CD59CC">
        <w:rPr>
          <w:rFonts w:ascii="Arial" w:hAnsi="Arial" w:cs="Arial"/>
          <w:iCs/>
        </w:rPr>
        <w:t>because</w:t>
      </w:r>
      <w:r w:rsidR="007B7640" w:rsidRPr="00CD59CC">
        <w:rPr>
          <w:rFonts w:ascii="Arial" w:hAnsi="Arial" w:cs="Arial"/>
          <w:iCs/>
        </w:rPr>
        <w:t xml:space="preserve"> </w:t>
      </w:r>
      <w:r w:rsidRPr="00CD59CC">
        <w:rPr>
          <w:rFonts w:ascii="Arial" w:hAnsi="Arial" w:cs="Arial"/>
          <w:iCs/>
        </w:rPr>
        <w:t>sometimes</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long</w:t>
      </w:r>
      <w:r w:rsidR="007B7640" w:rsidRPr="00CD59CC">
        <w:rPr>
          <w:rFonts w:ascii="Arial" w:hAnsi="Arial" w:cs="Arial"/>
          <w:iCs/>
        </w:rPr>
        <w:t xml:space="preserve"> </w:t>
      </w:r>
      <w:r w:rsidRPr="00CD59CC">
        <w:rPr>
          <w:rFonts w:ascii="Arial" w:hAnsi="Arial" w:cs="Arial"/>
          <w:iCs/>
        </w:rPr>
        <w:t>time</w:t>
      </w:r>
      <w:r w:rsidR="007B7640" w:rsidRPr="00CD59CC">
        <w:rPr>
          <w:rFonts w:ascii="Arial" w:hAnsi="Arial" w:cs="Arial"/>
          <w:iCs/>
        </w:rPr>
        <w:t xml:space="preserve"> </w:t>
      </w:r>
      <w:r w:rsidRPr="00CD59CC">
        <w:rPr>
          <w:rFonts w:ascii="Arial" w:hAnsi="Arial" w:cs="Arial"/>
          <w:iCs/>
        </w:rPr>
        <w:t>passes</w:t>
      </w:r>
      <w:r w:rsidR="007B7640" w:rsidRPr="00CD59CC">
        <w:rPr>
          <w:rFonts w:ascii="Arial" w:hAnsi="Arial" w:cs="Arial"/>
          <w:iCs/>
        </w:rPr>
        <w:t xml:space="preserve"> </w:t>
      </w:r>
      <w:r w:rsidRPr="00CD59CC">
        <w:rPr>
          <w:rFonts w:ascii="Arial" w:hAnsi="Arial" w:cs="Arial"/>
          <w:iCs/>
        </w:rPr>
        <w:t>between</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actual</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testimony</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proceeding.</w:t>
      </w:r>
    </w:p>
    <w:p w14:paraId="778B5609" w14:textId="77777777" w:rsidR="00E04499" w:rsidRPr="00CD59CC" w:rsidRDefault="00E04499" w:rsidP="00CD59CC">
      <w:pPr>
        <w:rPr>
          <w:rFonts w:ascii="Arial" w:hAnsi="Arial" w:cs="Arial"/>
          <w:iCs/>
        </w:rPr>
      </w:pPr>
    </w:p>
    <w:p w14:paraId="37708E08" w14:textId="77777777" w:rsidR="00E04499" w:rsidRPr="00CD59CC" w:rsidRDefault="00E04499" w:rsidP="00CD59CC">
      <w:pPr>
        <w:rPr>
          <w:rFonts w:ascii="Arial" w:hAnsi="Arial" w:cs="Arial"/>
          <w:iCs/>
        </w:rPr>
      </w:pPr>
      <w:r w:rsidRPr="00CD59CC">
        <w:rPr>
          <w:rFonts w:ascii="Arial" w:hAnsi="Arial" w:cs="Arial"/>
          <w:iCs/>
        </w:rPr>
        <w:lastRenderedPageBreak/>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done</w:t>
      </w:r>
      <w:r w:rsidR="007B7640" w:rsidRPr="00CD59CC">
        <w:rPr>
          <w:rFonts w:ascii="Arial" w:hAnsi="Arial" w:cs="Arial"/>
          <w:iCs/>
        </w:rPr>
        <w:t xml:space="preserve"> </w:t>
      </w:r>
      <w:r w:rsidRPr="00CD59CC">
        <w:rPr>
          <w:rFonts w:ascii="Arial" w:hAnsi="Arial" w:cs="Arial"/>
          <w:iCs/>
        </w:rPr>
        <w:t>on</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basis</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script</w:t>
      </w:r>
      <w:r w:rsidR="007B7640" w:rsidRPr="00CD59CC">
        <w:rPr>
          <w:rFonts w:ascii="Arial" w:hAnsi="Arial" w:cs="Arial"/>
          <w:iCs/>
        </w:rPr>
        <w:t xml:space="preserve"> </w:t>
      </w:r>
      <w:r w:rsidRPr="00CD59CC">
        <w:rPr>
          <w:rFonts w:ascii="Arial" w:hAnsi="Arial" w:cs="Arial"/>
          <w:iCs/>
        </w:rPr>
        <w:t>prepared</w:t>
      </w:r>
      <w:r w:rsidR="007B7640" w:rsidRPr="00CD59CC">
        <w:rPr>
          <w:rFonts w:ascii="Arial" w:hAnsi="Arial" w:cs="Arial"/>
          <w:iCs/>
        </w:rPr>
        <w:t xml:space="preserve"> </w:t>
      </w:r>
      <w:r w:rsidRPr="00CD59CC">
        <w:rPr>
          <w:rFonts w:ascii="Arial" w:hAnsi="Arial" w:cs="Arial"/>
          <w:iCs/>
        </w:rPr>
        <w:t>by</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coordinator.</w:t>
      </w:r>
      <w:r w:rsidR="007B7640" w:rsidRPr="00CD59CC">
        <w:rPr>
          <w:rFonts w:ascii="Arial" w:hAnsi="Arial" w:cs="Arial"/>
          <w:iCs/>
        </w:rPr>
        <w:t xml:space="preserve"> </w:t>
      </w:r>
      <w:r w:rsidRPr="00CD59CC">
        <w:rPr>
          <w:rFonts w:ascii="Arial" w:hAnsi="Arial" w:cs="Arial"/>
          <w:iCs/>
        </w:rPr>
        <w:t>If</w:t>
      </w:r>
      <w:r w:rsidR="007B7640" w:rsidRPr="00CD59CC">
        <w:rPr>
          <w:rFonts w:ascii="Arial" w:hAnsi="Arial" w:cs="Arial"/>
          <w:iCs/>
        </w:rPr>
        <w:t xml:space="preserve"> </w:t>
      </w:r>
      <w:r w:rsidRPr="00CD59CC">
        <w:rPr>
          <w:rFonts w:ascii="Arial" w:hAnsi="Arial" w:cs="Arial"/>
          <w:iCs/>
        </w:rPr>
        <w:t>for</w:t>
      </w:r>
      <w:r w:rsidR="007B7640" w:rsidRPr="00CD59CC">
        <w:rPr>
          <w:rFonts w:ascii="Arial" w:hAnsi="Arial" w:cs="Arial"/>
          <w:iCs/>
        </w:rPr>
        <w:t xml:space="preserve"> </w:t>
      </w:r>
      <w:r w:rsidRPr="00CD59CC">
        <w:rPr>
          <w:rFonts w:ascii="Arial" w:hAnsi="Arial" w:cs="Arial"/>
          <w:iCs/>
        </w:rPr>
        <w:t>instance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concerns</w:t>
      </w:r>
      <w:r w:rsidR="007B7640" w:rsidRPr="00CD59CC">
        <w:rPr>
          <w:rFonts w:ascii="Arial" w:hAnsi="Arial" w:cs="Arial"/>
          <w:iCs/>
        </w:rPr>
        <w:t xml:space="preserve"> </w:t>
      </w:r>
      <w:r w:rsidRPr="00CD59CC">
        <w:rPr>
          <w:rFonts w:ascii="Arial" w:hAnsi="Arial" w:cs="Arial"/>
          <w:iCs/>
        </w:rPr>
        <w:t>recruitment</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job,</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suspicion</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ethnic</w:t>
      </w:r>
      <w:r w:rsidR="007B7640" w:rsidRPr="00CD59CC">
        <w:rPr>
          <w:rFonts w:ascii="Arial" w:hAnsi="Arial" w:cs="Arial"/>
          <w:iCs/>
        </w:rPr>
        <w:t xml:space="preserve"> </w:t>
      </w:r>
      <w:r w:rsidRPr="00CD59CC">
        <w:rPr>
          <w:rFonts w:ascii="Arial" w:hAnsi="Arial" w:cs="Arial"/>
          <w:iCs/>
        </w:rPr>
        <w:t>discrimination</w:t>
      </w:r>
      <w:r w:rsidR="007B7640" w:rsidRPr="00CD59CC">
        <w:rPr>
          <w:rFonts w:ascii="Arial" w:hAnsi="Arial" w:cs="Arial"/>
          <w:iCs/>
        </w:rPr>
        <w:t xml:space="preserve"> </w:t>
      </w:r>
      <w:r w:rsidRPr="00CD59CC">
        <w:rPr>
          <w:rFonts w:ascii="Arial" w:hAnsi="Arial" w:cs="Arial"/>
          <w:iCs/>
        </w:rPr>
        <w:t>arises,</w:t>
      </w:r>
      <w:r w:rsidR="007B7640" w:rsidRPr="00CD59CC">
        <w:rPr>
          <w:rFonts w:ascii="Arial" w:hAnsi="Arial" w:cs="Arial"/>
          <w:iCs/>
        </w:rPr>
        <w:t xml:space="preserve"> </w:t>
      </w:r>
      <w:r w:rsidRPr="00CD59CC">
        <w:rPr>
          <w:rFonts w:ascii="Arial" w:hAnsi="Arial" w:cs="Arial"/>
          <w:iCs/>
        </w:rPr>
        <w:t>it</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always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minority</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who</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sent</w:t>
      </w:r>
      <w:r w:rsidR="007B7640" w:rsidRPr="00CD59CC">
        <w:rPr>
          <w:rFonts w:ascii="Arial" w:hAnsi="Arial" w:cs="Arial"/>
          <w:iCs/>
        </w:rPr>
        <w:t xml:space="preserve"> </w:t>
      </w:r>
      <w:r w:rsidRPr="00CD59CC">
        <w:rPr>
          <w:rFonts w:ascii="Arial" w:hAnsi="Arial" w:cs="Arial"/>
          <w:iCs/>
        </w:rPr>
        <w:t>first,</w:t>
      </w:r>
      <w:r w:rsidR="007B7640" w:rsidRPr="00CD59CC">
        <w:rPr>
          <w:rFonts w:ascii="Arial" w:hAnsi="Arial" w:cs="Arial"/>
          <w:iCs/>
        </w:rPr>
        <w:t xml:space="preserve"> </w:t>
      </w:r>
      <w:r w:rsidRPr="00CD59CC">
        <w:rPr>
          <w:rFonts w:ascii="Arial" w:hAnsi="Arial" w:cs="Arial"/>
          <w:iCs/>
        </w:rPr>
        <w:t>because</w:t>
      </w:r>
      <w:r w:rsidR="007B7640" w:rsidRPr="00CD59CC">
        <w:rPr>
          <w:rFonts w:ascii="Arial" w:hAnsi="Arial" w:cs="Arial"/>
          <w:iCs/>
        </w:rPr>
        <w:t xml:space="preserve"> </w:t>
      </w:r>
      <w:r w:rsidRPr="00CD59CC">
        <w:rPr>
          <w:rFonts w:ascii="Arial" w:hAnsi="Arial" w:cs="Arial"/>
          <w:iCs/>
        </w:rPr>
        <w:t>this</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most</w:t>
      </w:r>
      <w:r w:rsidR="007B7640" w:rsidRPr="00CD59CC">
        <w:rPr>
          <w:rFonts w:ascii="Arial" w:hAnsi="Arial" w:cs="Arial"/>
          <w:iCs/>
        </w:rPr>
        <w:t xml:space="preserve"> </w:t>
      </w:r>
      <w:r w:rsidRPr="00CD59CC">
        <w:rPr>
          <w:rFonts w:ascii="Arial" w:hAnsi="Arial" w:cs="Arial"/>
          <w:iCs/>
        </w:rPr>
        <w:t>obvious</w:t>
      </w:r>
      <w:r w:rsidR="007B7640" w:rsidRPr="00CD59CC">
        <w:rPr>
          <w:rFonts w:ascii="Arial" w:hAnsi="Arial" w:cs="Arial"/>
          <w:iCs/>
        </w:rPr>
        <w:t xml:space="preserve"> </w:t>
      </w:r>
      <w:r w:rsidRPr="00CD59CC">
        <w:rPr>
          <w:rFonts w:ascii="Arial" w:hAnsi="Arial" w:cs="Arial"/>
          <w:iCs/>
        </w:rPr>
        <w:t>way</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refute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employer’s</w:t>
      </w:r>
      <w:r w:rsidR="007B7640" w:rsidRPr="00CD59CC">
        <w:rPr>
          <w:rFonts w:ascii="Arial" w:hAnsi="Arial" w:cs="Arial"/>
          <w:iCs/>
        </w:rPr>
        <w:t xml:space="preserve"> </w:t>
      </w:r>
      <w:r w:rsidRPr="00CD59CC">
        <w:rPr>
          <w:rFonts w:ascii="Arial" w:hAnsi="Arial" w:cs="Arial"/>
          <w:iCs/>
        </w:rPr>
        <w:t>argument</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minority</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was</w:t>
      </w:r>
      <w:r w:rsidR="007B7640" w:rsidRPr="00CD59CC">
        <w:rPr>
          <w:rFonts w:ascii="Arial" w:hAnsi="Arial" w:cs="Arial"/>
          <w:iCs/>
        </w:rPr>
        <w:t xml:space="preserve"> </w:t>
      </w:r>
      <w:r w:rsidRPr="00CD59CC">
        <w:rPr>
          <w:rFonts w:ascii="Arial" w:hAnsi="Arial" w:cs="Arial"/>
          <w:iCs/>
        </w:rPr>
        <w:t>not</w:t>
      </w:r>
      <w:r w:rsidR="007B7640" w:rsidRPr="00CD59CC">
        <w:rPr>
          <w:rFonts w:ascii="Arial" w:hAnsi="Arial" w:cs="Arial"/>
          <w:iCs/>
        </w:rPr>
        <w:t xml:space="preserve"> </w:t>
      </w:r>
      <w:r w:rsidRPr="00CD59CC">
        <w:rPr>
          <w:rFonts w:ascii="Arial" w:hAnsi="Arial" w:cs="Arial"/>
          <w:iCs/>
        </w:rPr>
        <w:t>offered</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job</w:t>
      </w:r>
      <w:r w:rsidR="007B7640" w:rsidRPr="00CD59CC">
        <w:rPr>
          <w:rFonts w:ascii="Arial" w:hAnsi="Arial" w:cs="Arial"/>
          <w:iCs/>
        </w:rPr>
        <w:t xml:space="preserve"> </w:t>
      </w:r>
      <w:r w:rsidRPr="00CD59CC">
        <w:rPr>
          <w:rFonts w:ascii="Arial" w:hAnsi="Arial" w:cs="Arial"/>
          <w:iCs/>
        </w:rPr>
        <w:t>because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vacancy</w:t>
      </w:r>
      <w:r w:rsidR="007B7640" w:rsidRPr="00CD59CC">
        <w:rPr>
          <w:rFonts w:ascii="Arial" w:hAnsi="Arial" w:cs="Arial"/>
          <w:iCs/>
        </w:rPr>
        <w:t xml:space="preserve"> </w:t>
      </w:r>
      <w:r w:rsidRPr="00CD59CC">
        <w:rPr>
          <w:rFonts w:ascii="Arial" w:hAnsi="Arial" w:cs="Arial"/>
          <w:iCs/>
        </w:rPr>
        <w:t>has</w:t>
      </w:r>
      <w:r w:rsidR="007B7640" w:rsidRPr="00CD59CC">
        <w:rPr>
          <w:rFonts w:ascii="Arial" w:hAnsi="Arial" w:cs="Arial"/>
          <w:iCs/>
        </w:rPr>
        <w:t xml:space="preserve"> </w:t>
      </w:r>
      <w:r w:rsidRPr="00CD59CC">
        <w:rPr>
          <w:rFonts w:ascii="Arial" w:hAnsi="Arial" w:cs="Arial"/>
          <w:iCs/>
        </w:rPr>
        <w:t>been</w:t>
      </w:r>
      <w:r w:rsidR="007B7640" w:rsidRPr="00CD59CC">
        <w:rPr>
          <w:rFonts w:ascii="Arial" w:hAnsi="Arial" w:cs="Arial"/>
          <w:iCs/>
        </w:rPr>
        <w:t xml:space="preserve"> </w:t>
      </w:r>
      <w:r w:rsidRPr="00CD59CC">
        <w:rPr>
          <w:rFonts w:ascii="Arial" w:hAnsi="Arial" w:cs="Arial"/>
          <w:iCs/>
        </w:rPr>
        <w:t>already</w:t>
      </w:r>
      <w:r w:rsidR="007B7640" w:rsidRPr="00CD59CC">
        <w:rPr>
          <w:rFonts w:ascii="Arial" w:hAnsi="Arial" w:cs="Arial"/>
          <w:iCs/>
        </w:rPr>
        <w:t xml:space="preserve"> </w:t>
      </w:r>
      <w:r w:rsidRPr="00CD59CC">
        <w:rPr>
          <w:rFonts w:ascii="Arial" w:hAnsi="Arial" w:cs="Arial"/>
          <w:iCs/>
        </w:rPr>
        <w:t>filled.</w:t>
      </w:r>
    </w:p>
    <w:p w14:paraId="74059EFF" w14:textId="77777777" w:rsidR="00E04499" w:rsidRPr="00CD59CC" w:rsidRDefault="00E04499" w:rsidP="00CD59CC">
      <w:pPr>
        <w:rPr>
          <w:rFonts w:ascii="Arial" w:hAnsi="Arial" w:cs="Arial"/>
          <w:iCs/>
        </w:rPr>
      </w:pPr>
    </w:p>
    <w:p w14:paraId="16B19187" w14:textId="77777777" w:rsidR="00E04499" w:rsidRPr="00CD59CC" w:rsidRDefault="00E04499" w:rsidP="00CD59CC">
      <w:pPr>
        <w:rPr>
          <w:rFonts w:ascii="Arial" w:hAnsi="Arial" w:cs="Arial"/>
          <w:iCs/>
        </w:rPr>
      </w:pPr>
      <w:r w:rsidRPr="00CD59CC">
        <w:rPr>
          <w:rFonts w:ascii="Arial" w:hAnsi="Arial" w:cs="Arial"/>
          <w:iCs/>
        </w:rPr>
        <w:t>Due</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fact</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can</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very</w:t>
      </w:r>
      <w:r w:rsidR="007B7640" w:rsidRPr="00CD59CC">
        <w:rPr>
          <w:rFonts w:ascii="Arial" w:hAnsi="Arial" w:cs="Arial"/>
          <w:iCs/>
        </w:rPr>
        <w:t xml:space="preserve"> </w:t>
      </w:r>
      <w:r w:rsidRPr="00CD59CC">
        <w:rPr>
          <w:rFonts w:ascii="Arial" w:hAnsi="Arial" w:cs="Arial"/>
          <w:iCs/>
        </w:rPr>
        <w:t>difficult</w:t>
      </w:r>
      <w:r w:rsidR="007B7640" w:rsidRPr="00CD59CC">
        <w:rPr>
          <w:rFonts w:ascii="Arial" w:hAnsi="Arial" w:cs="Arial"/>
          <w:iCs/>
        </w:rPr>
        <w:t xml:space="preserve"> </w:t>
      </w:r>
      <w:r w:rsidRPr="00CD59CC">
        <w:rPr>
          <w:rFonts w:ascii="Arial" w:hAnsi="Arial" w:cs="Arial"/>
          <w:iCs/>
        </w:rPr>
        <w:t>from</w:t>
      </w:r>
      <w:r w:rsidR="007B7640" w:rsidRPr="00CD59CC">
        <w:rPr>
          <w:rFonts w:ascii="Arial" w:hAnsi="Arial" w:cs="Arial"/>
          <w:iCs/>
        </w:rPr>
        <w:t xml:space="preserve"> </w:t>
      </w:r>
      <w:r w:rsidRPr="00CD59CC">
        <w:rPr>
          <w:rFonts w:ascii="Arial" w:hAnsi="Arial" w:cs="Arial"/>
          <w:iCs/>
        </w:rPr>
        <w:t>an</w:t>
      </w:r>
      <w:r w:rsidR="007B7640" w:rsidRPr="00CD59CC">
        <w:rPr>
          <w:rFonts w:ascii="Arial" w:hAnsi="Arial" w:cs="Arial"/>
          <w:iCs/>
        </w:rPr>
        <w:t xml:space="preserve"> </w:t>
      </w:r>
      <w:r w:rsidRPr="00CD59CC">
        <w:rPr>
          <w:rFonts w:ascii="Arial" w:hAnsi="Arial" w:cs="Arial"/>
          <w:iCs/>
        </w:rPr>
        <w:t>emotional</w:t>
      </w:r>
      <w:r w:rsidR="007B7640" w:rsidRPr="00CD59CC">
        <w:rPr>
          <w:rFonts w:ascii="Arial" w:hAnsi="Arial" w:cs="Arial"/>
          <w:iCs/>
        </w:rPr>
        <w:t xml:space="preserve"> </w:t>
      </w:r>
      <w:r w:rsidRPr="00CD59CC">
        <w:rPr>
          <w:rFonts w:ascii="Arial" w:hAnsi="Arial" w:cs="Arial"/>
          <w:iCs/>
        </w:rPr>
        <w:t>point</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view</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“successful”</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means</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also</w:t>
      </w:r>
      <w:r w:rsidR="007B7640" w:rsidRPr="00CD59CC">
        <w:rPr>
          <w:rFonts w:ascii="Arial" w:hAnsi="Arial" w:cs="Arial"/>
          <w:iCs/>
        </w:rPr>
        <w:t xml:space="preserve"> </w:t>
      </w:r>
      <w:r w:rsidRPr="00CD59CC">
        <w:rPr>
          <w:rFonts w:ascii="Arial" w:hAnsi="Arial" w:cs="Arial"/>
          <w:iCs/>
        </w:rPr>
        <w:t>has</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experience</w:t>
      </w:r>
      <w:r w:rsidR="007B7640" w:rsidRPr="00CD59CC">
        <w:rPr>
          <w:rFonts w:ascii="Arial" w:hAnsi="Arial" w:cs="Arial"/>
          <w:iCs/>
        </w:rPr>
        <w:t xml:space="preserve"> </w:t>
      </w:r>
      <w:r w:rsidRPr="00CD59CC">
        <w:rPr>
          <w:rFonts w:ascii="Arial" w:hAnsi="Arial" w:cs="Arial"/>
          <w:iCs/>
        </w:rPr>
        <w:t>discrimination),</w:t>
      </w:r>
      <w:r w:rsidR="007B7640" w:rsidRPr="00CD59CC">
        <w:rPr>
          <w:rFonts w:ascii="Arial" w:hAnsi="Arial" w:cs="Arial"/>
          <w:iCs/>
        </w:rPr>
        <w:t xml:space="preserve"> </w:t>
      </w:r>
      <w:r w:rsidRPr="00CD59CC">
        <w:rPr>
          <w:rFonts w:ascii="Arial" w:hAnsi="Arial" w:cs="Arial"/>
          <w:iCs/>
        </w:rPr>
        <w:t>i</w:t>
      </w:r>
      <w:r w:rsidR="007B7640" w:rsidRPr="00CD59CC">
        <w:rPr>
          <w:rFonts w:ascii="Arial" w:hAnsi="Arial" w:cs="Arial"/>
          <w:iCs/>
        </w:rPr>
        <w:t xml:space="preserve"> </w:t>
      </w:r>
      <w:r w:rsidRPr="00CD59CC">
        <w:rPr>
          <w:rFonts w:ascii="Arial" w:hAnsi="Arial" w:cs="Arial"/>
          <w:iCs/>
        </w:rPr>
        <w:t>t</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very</w:t>
      </w:r>
      <w:r w:rsidR="007B7640" w:rsidRPr="00CD59CC">
        <w:rPr>
          <w:rFonts w:ascii="Arial" w:hAnsi="Arial" w:cs="Arial"/>
          <w:iCs/>
        </w:rPr>
        <w:t xml:space="preserve"> </w:t>
      </w:r>
      <w:r w:rsidRPr="00CD59CC">
        <w:rPr>
          <w:rFonts w:ascii="Arial" w:hAnsi="Arial" w:cs="Arial"/>
          <w:iCs/>
        </w:rPr>
        <w:t>important</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properly</w:t>
      </w:r>
      <w:r w:rsidR="007B7640" w:rsidRPr="00CD59CC">
        <w:rPr>
          <w:rFonts w:ascii="Arial" w:hAnsi="Arial" w:cs="Arial"/>
          <w:iCs/>
        </w:rPr>
        <w:t xml:space="preserve"> </w:t>
      </w:r>
      <w:r w:rsidRPr="00CD59CC">
        <w:rPr>
          <w:rFonts w:ascii="Arial" w:hAnsi="Arial" w:cs="Arial"/>
          <w:iCs/>
        </w:rPr>
        <w:t>assess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mental</w:t>
      </w:r>
      <w:r w:rsidR="007B7640" w:rsidRPr="00CD59CC">
        <w:rPr>
          <w:rFonts w:ascii="Arial" w:hAnsi="Arial" w:cs="Arial"/>
          <w:iCs/>
        </w:rPr>
        <w:t xml:space="preserve"> </w:t>
      </w:r>
      <w:r w:rsidRPr="00CD59CC">
        <w:rPr>
          <w:rFonts w:ascii="Arial" w:hAnsi="Arial" w:cs="Arial"/>
          <w:iCs/>
        </w:rPr>
        <w:t>strength</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upon</w:t>
      </w:r>
      <w:r w:rsidR="007B7640" w:rsidRPr="00CD59CC">
        <w:rPr>
          <w:rFonts w:ascii="Arial" w:hAnsi="Arial" w:cs="Arial"/>
          <w:iCs/>
        </w:rPr>
        <w:t xml:space="preserve"> </w:t>
      </w:r>
      <w:r w:rsidRPr="00CD59CC">
        <w:rPr>
          <w:rFonts w:ascii="Arial" w:hAnsi="Arial" w:cs="Arial"/>
          <w:iCs/>
        </w:rPr>
        <w:t>recruitment,</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b)</w:t>
      </w:r>
      <w:r w:rsidR="007B7640" w:rsidRPr="00CD59CC">
        <w:rPr>
          <w:rFonts w:ascii="Arial" w:hAnsi="Arial" w:cs="Arial"/>
          <w:iCs/>
        </w:rPr>
        <w:t xml:space="preserve"> </w:t>
      </w:r>
      <w:r w:rsidRPr="00CD59CC">
        <w:rPr>
          <w:rFonts w:ascii="Arial" w:hAnsi="Arial" w:cs="Arial"/>
          <w:iCs/>
        </w:rPr>
        <w:t>provide</w:t>
      </w:r>
      <w:r w:rsidR="007B7640" w:rsidRPr="00CD59CC">
        <w:rPr>
          <w:rFonts w:ascii="Arial" w:hAnsi="Arial" w:cs="Arial"/>
          <w:iCs/>
        </w:rPr>
        <w:t xml:space="preserve"> </w:t>
      </w:r>
      <w:r w:rsidRPr="00CD59CC">
        <w:rPr>
          <w:rFonts w:ascii="Arial" w:hAnsi="Arial" w:cs="Arial"/>
          <w:iCs/>
        </w:rPr>
        <w:t>supervision</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psychological</w:t>
      </w:r>
      <w:r w:rsidR="007B7640" w:rsidRPr="00CD59CC">
        <w:rPr>
          <w:rFonts w:ascii="Arial" w:hAnsi="Arial" w:cs="Arial"/>
          <w:iCs/>
        </w:rPr>
        <w:t xml:space="preserve"> </w:t>
      </w:r>
      <w:r w:rsidRPr="00CD59CC">
        <w:rPr>
          <w:rFonts w:ascii="Arial" w:hAnsi="Arial" w:cs="Arial"/>
          <w:iCs/>
        </w:rPr>
        <w:t>help</w:t>
      </w:r>
      <w:r w:rsidR="007B7640" w:rsidRPr="00CD59CC">
        <w:rPr>
          <w:rFonts w:ascii="Arial" w:hAnsi="Arial" w:cs="Arial"/>
          <w:iCs/>
        </w:rPr>
        <w:t xml:space="preserve"> </w:t>
      </w:r>
      <w:r w:rsidRPr="00CD59CC">
        <w:rPr>
          <w:rFonts w:ascii="Arial" w:hAnsi="Arial" w:cs="Arial"/>
          <w:iCs/>
        </w:rPr>
        <w:t>if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w:t>
      </w:r>
      <w:r w:rsidR="007B7640" w:rsidRPr="00CD59CC">
        <w:rPr>
          <w:rFonts w:ascii="Arial" w:hAnsi="Arial" w:cs="Arial"/>
          <w:iCs/>
        </w:rPr>
        <w:t xml:space="preserve"> </w:t>
      </w:r>
      <w:r w:rsidRPr="00CD59CC">
        <w:rPr>
          <w:rFonts w:ascii="Arial" w:hAnsi="Arial" w:cs="Arial"/>
          <w:iCs/>
        </w:rPr>
        <w:t>experiences</w:t>
      </w:r>
      <w:r w:rsidR="007B7640" w:rsidRPr="00CD59CC">
        <w:rPr>
          <w:rFonts w:ascii="Arial" w:hAnsi="Arial" w:cs="Arial"/>
          <w:iCs/>
        </w:rPr>
        <w:t xml:space="preserve"> </w:t>
      </w:r>
      <w:r w:rsidRPr="00CD59CC">
        <w:rPr>
          <w:rFonts w:ascii="Arial" w:hAnsi="Arial" w:cs="Arial"/>
          <w:iCs/>
        </w:rPr>
        <w:t>discrimination.</w:t>
      </w:r>
    </w:p>
    <w:p w14:paraId="3528A94E" w14:textId="77777777" w:rsidR="00E04499" w:rsidRPr="00CD59CC" w:rsidRDefault="00E04499" w:rsidP="00CD59CC">
      <w:pPr>
        <w:ind w:left="567" w:hanging="567"/>
        <w:rPr>
          <w:rFonts w:ascii="Arial" w:hAnsi="Arial" w:cs="Arial"/>
          <w:i/>
          <w:iCs/>
        </w:rPr>
      </w:pPr>
    </w:p>
    <w:p w14:paraId="73F3F730" w14:textId="77777777" w:rsidR="002B5BCD" w:rsidRPr="00CD59CC" w:rsidRDefault="002B5BCD" w:rsidP="00CD59CC">
      <w:pPr>
        <w:numPr>
          <w:ilvl w:val="0"/>
          <w:numId w:val="5"/>
        </w:numPr>
        <w:ind w:left="567" w:hanging="567"/>
        <w:rPr>
          <w:rFonts w:ascii="Arial" w:hAnsi="Arial" w:cs="Arial"/>
          <w:bCs/>
          <w:i/>
          <w:iCs/>
        </w:rPr>
      </w:pPr>
      <w:r w:rsidRPr="00CD59CC">
        <w:rPr>
          <w:rFonts w:ascii="Arial" w:hAnsi="Arial" w:cs="Arial"/>
          <w:i/>
          <w:iCs/>
        </w:rPr>
        <w:t>Is</w:t>
      </w:r>
      <w:r w:rsidR="007B7640" w:rsidRPr="00CD59CC">
        <w:rPr>
          <w:rFonts w:ascii="Arial" w:hAnsi="Arial" w:cs="Arial"/>
          <w:i/>
          <w:iCs/>
        </w:rPr>
        <w:t xml:space="preserve"> </w:t>
      </w:r>
      <w:r w:rsidRPr="00CD59CC">
        <w:rPr>
          <w:rFonts w:ascii="Arial" w:hAnsi="Arial" w:cs="Arial"/>
          <w:i/>
          <w:iCs/>
        </w:rPr>
        <w:t>there</w:t>
      </w:r>
      <w:r w:rsidR="007B7640" w:rsidRPr="00CD59CC">
        <w:rPr>
          <w:rFonts w:ascii="Arial" w:hAnsi="Arial" w:cs="Arial"/>
          <w:i/>
          <w:iCs/>
        </w:rPr>
        <w:t xml:space="preserve"> </w:t>
      </w:r>
      <w:r w:rsidRPr="00CD59CC">
        <w:rPr>
          <w:rFonts w:ascii="Arial" w:hAnsi="Arial" w:cs="Arial"/>
          <w:i/>
          <w:iCs/>
        </w:rPr>
        <w:t>any</w:t>
      </w:r>
      <w:r w:rsidR="007B7640" w:rsidRPr="00CD59CC">
        <w:rPr>
          <w:rFonts w:ascii="Arial" w:hAnsi="Arial" w:cs="Arial"/>
          <w:i/>
          <w:iCs/>
        </w:rPr>
        <w:t xml:space="preserve"> </w:t>
      </w:r>
      <w:r w:rsidRPr="00CD59CC">
        <w:rPr>
          <w:rFonts w:ascii="Arial" w:hAnsi="Arial" w:cs="Arial"/>
          <w:i/>
          <w:iCs/>
        </w:rPr>
        <w:t>reluctance</w:t>
      </w:r>
      <w:r w:rsidR="007B7640" w:rsidRPr="00CD59CC">
        <w:rPr>
          <w:rFonts w:ascii="Arial" w:hAnsi="Arial" w:cs="Arial"/>
          <w:i/>
          <w:iCs/>
        </w:rPr>
        <w:t xml:space="preserve"> </w:t>
      </w:r>
      <w:r w:rsidRPr="00CD59CC">
        <w:rPr>
          <w:rFonts w:ascii="Arial" w:hAnsi="Arial" w:cs="Arial"/>
          <w:i/>
          <w:iCs/>
        </w:rPr>
        <w:t>to</w:t>
      </w:r>
      <w:r w:rsidR="007B7640" w:rsidRPr="00CD59CC">
        <w:rPr>
          <w:rFonts w:ascii="Arial" w:hAnsi="Arial" w:cs="Arial"/>
          <w:i/>
          <w:iCs/>
        </w:rPr>
        <w:t xml:space="preserve"> </w:t>
      </w:r>
      <w:r w:rsidRPr="00CD59CC">
        <w:rPr>
          <w:rFonts w:ascii="Arial" w:hAnsi="Arial" w:cs="Arial"/>
          <w:i/>
          <w:iCs/>
        </w:rPr>
        <w:t>use</w:t>
      </w:r>
      <w:r w:rsidR="007B7640" w:rsidRPr="00CD59CC">
        <w:rPr>
          <w:rFonts w:ascii="Arial" w:hAnsi="Arial" w:cs="Arial"/>
          <w:i/>
          <w:iCs/>
        </w:rPr>
        <w:t xml:space="preserve"> </w:t>
      </w:r>
      <w:r w:rsidRPr="00CD59CC">
        <w:rPr>
          <w:rFonts w:ascii="Arial" w:hAnsi="Arial" w:cs="Arial"/>
          <w:i/>
          <w:iCs/>
        </w:rPr>
        <w:t>situation</w:t>
      </w:r>
      <w:r w:rsidR="007B7640" w:rsidRPr="00CD59CC">
        <w:rPr>
          <w:rFonts w:ascii="Arial" w:hAnsi="Arial" w:cs="Arial"/>
          <w:i/>
          <w:iCs/>
        </w:rPr>
        <w:t xml:space="preserve"> </w:t>
      </w:r>
      <w:r w:rsidRPr="00CD59CC">
        <w:rPr>
          <w:rFonts w:ascii="Arial" w:hAnsi="Arial" w:cs="Arial"/>
          <w:i/>
          <w:iCs/>
        </w:rPr>
        <w:t>testing</w:t>
      </w:r>
      <w:r w:rsidR="007B7640" w:rsidRPr="00CD59CC">
        <w:rPr>
          <w:rFonts w:ascii="Arial" w:hAnsi="Arial" w:cs="Arial"/>
          <w:i/>
          <w:iCs/>
        </w:rPr>
        <w:t xml:space="preserve"> </w:t>
      </w:r>
      <w:r w:rsidRPr="00CD59CC">
        <w:rPr>
          <w:rFonts w:ascii="Arial" w:hAnsi="Arial" w:cs="Arial"/>
          <w:i/>
          <w:iCs/>
        </w:rPr>
        <w:t>as</w:t>
      </w:r>
      <w:r w:rsidR="007B7640" w:rsidRPr="00CD59CC">
        <w:rPr>
          <w:rFonts w:ascii="Arial" w:hAnsi="Arial" w:cs="Arial"/>
          <w:i/>
          <w:iCs/>
        </w:rPr>
        <w:t xml:space="preserve"> </w:t>
      </w:r>
      <w:r w:rsidRPr="00CD59CC">
        <w:rPr>
          <w:rFonts w:ascii="Arial" w:hAnsi="Arial" w:cs="Arial"/>
          <w:i/>
          <w:iCs/>
        </w:rPr>
        <w:t>evidence</w:t>
      </w:r>
      <w:r w:rsidR="007B7640" w:rsidRPr="00CD59CC">
        <w:rPr>
          <w:rFonts w:ascii="Arial" w:hAnsi="Arial" w:cs="Arial"/>
          <w:i/>
          <w:iCs/>
        </w:rPr>
        <w:t xml:space="preserve"> </w:t>
      </w:r>
      <w:r w:rsidRPr="00CD59CC">
        <w:rPr>
          <w:rFonts w:ascii="Arial" w:hAnsi="Arial" w:cs="Arial"/>
          <w:i/>
          <w:iCs/>
        </w:rPr>
        <w:t>in</w:t>
      </w:r>
      <w:r w:rsidR="007B7640" w:rsidRPr="00CD59CC">
        <w:rPr>
          <w:rFonts w:ascii="Arial" w:hAnsi="Arial" w:cs="Arial"/>
          <w:i/>
          <w:iCs/>
        </w:rPr>
        <w:t xml:space="preserve"> </w:t>
      </w:r>
      <w:r w:rsidRPr="00CD59CC">
        <w:rPr>
          <w:rFonts w:ascii="Arial" w:hAnsi="Arial" w:cs="Arial"/>
          <w:i/>
          <w:iCs/>
        </w:rPr>
        <w:t>court</w:t>
      </w:r>
      <w:r w:rsidR="007B7640" w:rsidRPr="00CD59CC">
        <w:rPr>
          <w:rFonts w:ascii="Arial" w:hAnsi="Arial" w:cs="Arial"/>
          <w:i/>
          <w:iCs/>
        </w:rPr>
        <w:t xml:space="preserve"> </w:t>
      </w:r>
      <w:r w:rsidRPr="00CD59CC">
        <w:rPr>
          <w:rFonts w:ascii="Arial" w:hAnsi="Arial" w:cs="Arial"/>
          <w:i/>
          <w:iCs/>
        </w:rPr>
        <w:t>(e.g.</w:t>
      </w:r>
      <w:r w:rsidR="007B7640" w:rsidRPr="00CD59CC">
        <w:rPr>
          <w:rFonts w:ascii="Arial" w:hAnsi="Arial" w:cs="Arial"/>
          <w:i/>
          <w:iCs/>
        </w:rPr>
        <w:t xml:space="preserve"> </w:t>
      </w:r>
      <w:r w:rsidRPr="00CD59CC">
        <w:rPr>
          <w:rFonts w:ascii="Arial" w:hAnsi="Arial" w:cs="Arial"/>
          <w:i/>
          <w:iCs/>
        </w:rPr>
        <w:t>ethical</w:t>
      </w:r>
      <w:r w:rsidR="007B7640" w:rsidRPr="00CD59CC">
        <w:rPr>
          <w:rFonts w:ascii="Arial" w:hAnsi="Arial" w:cs="Arial"/>
          <w:i/>
          <w:iCs/>
        </w:rPr>
        <w:t xml:space="preserve"> </w:t>
      </w:r>
      <w:r w:rsidRPr="00CD59CC">
        <w:rPr>
          <w:rFonts w:ascii="Arial" w:hAnsi="Arial" w:cs="Arial"/>
          <w:i/>
          <w:iCs/>
        </w:rPr>
        <w:t>or</w:t>
      </w:r>
      <w:r w:rsidR="007B7640" w:rsidRPr="00CD59CC">
        <w:rPr>
          <w:rFonts w:ascii="Arial" w:hAnsi="Arial" w:cs="Arial"/>
          <w:i/>
          <w:iCs/>
        </w:rPr>
        <w:t xml:space="preserve"> </w:t>
      </w:r>
      <w:r w:rsidRPr="00CD59CC">
        <w:rPr>
          <w:rFonts w:ascii="Arial" w:hAnsi="Arial" w:cs="Arial"/>
          <w:i/>
          <w:iCs/>
        </w:rPr>
        <w:t>methodology</w:t>
      </w:r>
      <w:r w:rsidR="007B7640" w:rsidRPr="00CD59CC">
        <w:rPr>
          <w:rFonts w:ascii="Arial" w:hAnsi="Arial" w:cs="Arial"/>
          <w:i/>
          <w:iCs/>
        </w:rPr>
        <w:t xml:space="preserve"> </w:t>
      </w:r>
      <w:r w:rsidRPr="00CD59CC">
        <w:rPr>
          <w:rFonts w:ascii="Arial" w:hAnsi="Arial" w:cs="Arial"/>
          <w:i/>
          <w:iCs/>
        </w:rPr>
        <w:t>issues)?</w:t>
      </w:r>
      <w:r w:rsidR="007B7640" w:rsidRPr="00CD59CC">
        <w:rPr>
          <w:rFonts w:ascii="Arial" w:hAnsi="Arial" w:cs="Arial"/>
          <w:i/>
          <w:iCs/>
        </w:rPr>
        <w:t xml:space="preserve"> </w:t>
      </w:r>
      <w:r w:rsidRPr="00CD59CC">
        <w:rPr>
          <w:rFonts w:ascii="Arial" w:hAnsi="Arial" w:cs="Arial"/>
          <w:i/>
          <w:iCs/>
        </w:rPr>
        <w:t>In</w:t>
      </w:r>
      <w:r w:rsidR="007B7640" w:rsidRPr="00CD59CC">
        <w:rPr>
          <w:rFonts w:ascii="Arial" w:hAnsi="Arial" w:cs="Arial"/>
          <w:i/>
          <w:iCs/>
        </w:rPr>
        <w:t xml:space="preserve"> </w:t>
      </w:r>
      <w:r w:rsidRPr="00CD59CC">
        <w:rPr>
          <w:rFonts w:ascii="Arial" w:hAnsi="Arial" w:cs="Arial"/>
          <w:i/>
          <w:iCs/>
        </w:rPr>
        <w:t>this</w:t>
      </w:r>
      <w:r w:rsidR="007B7640" w:rsidRPr="00CD59CC">
        <w:rPr>
          <w:rFonts w:ascii="Arial" w:hAnsi="Arial" w:cs="Arial"/>
          <w:i/>
          <w:iCs/>
        </w:rPr>
        <w:t xml:space="preserve"> </w:t>
      </w:r>
      <w:r w:rsidRPr="00CD59CC">
        <w:rPr>
          <w:rFonts w:ascii="Arial" w:hAnsi="Arial" w:cs="Arial"/>
          <w:i/>
          <w:iCs/>
        </w:rPr>
        <w:t>respect,</w:t>
      </w:r>
      <w:r w:rsidR="007B7640" w:rsidRPr="00CD59CC">
        <w:rPr>
          <w:rFonts w:ascii="Arial" w:hAnsi="Arial" w:cs="Arial"/>
          <w:i/>
          <w:iCs/>
        </w:rPr>
        <w:t xml:space="preserve"> </w:t>
      </w:r>
      <w:r w:rsidRPr="00CD59CC">
        <w:rPr>
          <w:rFonts w:ascii="Arial" w:hAnsi="Arial" w:cs="Arial"/>
          <w:i/>
          <w:iCs/>
        </w:rPr>
        <w:t>does</w:t>
      </w:r>
      <w:r w:rsidR="007B7640" w:rsidRPr="00CD59CC">
        <w:rPr>
          <w:rFonts w:ascii="Arial" w:hAnsi="Arial" w:cs="Arial"/>
          <w:i/>
          <w:iCs/>
        </w:rPr>
        <w:t xml:space="preserve"> </w:t>
      </w:r>
      <w:r w:rsidRPr="00CD59CC">
        <w:rPr>
          <w:rFonts w:ascii="Arial" w:hAnsi="Arial" w:cs="Arial"/>
          <w:i/>
          <w:iCs/>
        </w:rPr>
        <w:t>evolution</w:t>
      </w:r>
      <w:r w:rsidR="007B7640" w:rsidRPr="00CD59CC">
        <w:rPr>
          <w:rFonts w:ascii="Arial" w:hAnsi="Arial" w:cs="Arial"/>
          <w:i/>
          <w:iCs/>
        </w:rPr>
        <w:t xml:space="preserve"> </w:t>
      </w:r>
      <w:r w:rsidRPr="00CD59CC">
        <w:rPr>
          <w:rFonts w:ascii="Arial" w:hAnsi="Arial" w:cs="Arial"/>
          <w:i/>
          <w:iCs/>
        </w:rPr>
        <w:t>in</w:t>
      </w:r>
      <w:r w:rsidR="007B7640" w:rsidRPr="00CD59CC">
        <w:rPr>
          <w:rFonts w:ascii="Arial" w:hAnsi="Arial" w:cs="Arial"/>
          <w:i/>
          <w:iCs/>
        </w:rPr>
        <w:t xml:space="preserve"> </w:t>
      </w:r>
      <w:r w:rsidRPr="00CD59CC">
        <w:rPr>
          <w:rFonts w:ascii="Arial" w:hAnsi="Arial" w:cs="Arial"/>
          <w:i/>
          <w:iCs/>
        </w:rPr>
        <w:t>other</w:t>
      </w:r>
      <w:r w:rsidR="007B7640" w:rsidRPr="00CD59CC">
        <w:rPr>
          <w:rFonts w:ascii="Arial" w:hAnsi="Arial" w:cs="Arial"/>
          <w:i/>
          <w:iCs/>
        </w:rPr>
        <w:t xml:space="preserve"> </w:t>
      </w:r>
      <w:r w:rsidRPr="00CD59CC">
        <w:rPr>
          <w:rFonts w:ascii="Arial" w:hAnsi="Arial" w:cs="Arial"/>
          <w:i/>
          <w:iCs/>
        </w:rPr>
        <w:t>countries</w:t>
      </w:r>
      <w:r w:rsidR="007B7640" w:rsidRPr="00CD59CC">
        <w:rPr>
          <w:rFonts w:ascii="Arial" w:hAnsi="Arial" w:cs="Arial"/>
          <w:i/>
          <w:iCs/>
        </w:rPr>
        <w:t xml:space="preserve"> </w:t>
      </w:r>
      <w:r w:rsidRPr="00CD59CC">
        <w:rPr>
          <w:rFonts w:ascii="Arial" w:hAnsi="Arial" w:cs="Arial"/>
          <w:i/>
          <w:iCs/>
        </w:rPr>
        <w:t>influence</w:t>
      </w:r>
      <w:r w:rsidR="007B7640" w:rsidRPr="00CD59CC">
        <w:rPr>
          <w:rFonts w:ascii="Arial" w:hAnsi="Arial" w:cs="Arial"/>
          <w:i/>
          <w:iCs/>
        </w:rPr>
        <w:t xml:space="preserve"> </w:t>
      </w:r>
      <w:r w:rsidRPr="00CD59CC">
        <w:rPr>
          <w:rFonts w:ascii="Arial" w:hAnsi="Arial" w:cs="Arial"/>
          <w:i/>
          <w:iCs/>
        </w:rPr>
        <w:t>your</w:t>
      </w:r>
      <w:r w:rsidR="007B7640" w:rsidRPr="00CD59CC">
        <w:rPr>
          <w:rFonts w:ascii="Arial" w:hAnsi="Arial" w:cs="Arial"/>
          <w:i/>
          <w:iCs/>
        </w:rPr>
        <w:t xml:space="preserve"> </w:t>
      </w:r>
      <w:r w:rsidRPr="00CD59CC">
        <w:rPr>
          <w:rFonts w:ascii="Arial" w:hAnsi="Arial" w:cs="Arial"/>
          <w:i/>
          <w:iCs/>
        </w:rPr>
        <w:t>national</w:t>
      </w:r>
      <w:r w:rsidR="007B7640" w:rsidRPr="00CD59CC">
        <w:rPr>
          <w:rFonts w:ascii="Arial" w:hAnsi="Arial" w:cs="Arial"/>
          <w:i/>
          <w:iCs/>
        </w:rPr>
        <w:t xml:space="preserve"> </w:t>
      </w:r>
      <w:r w:rsidRPr="00CD59CC">
        <w:rPr>
          <w:rFonts w:ascii="Arial" w:hAnsi="Arial" w:cs="Arial"/>
          <w:i/>
          <w:iCs/>
        </w:rPr>
        <w:t>law</w:t>
      </w:r>
      <w:r w:rsidR="007B7640" w:rsidRPr="00CD59CC">
        <w:rPr>
          <w:rFonts w:ascii="Arial" w:hAnsi="Arial" w:cs="Arial"/>
          <w:i/>
          <w:iCs/>
        </w:rPr>
        <w:t xml:space="preserve"> </w:t>
      </w:r>
      <w:r w:rsidRPr="00CD59CC">
        <w:rPr>
          <w:rFonts w:ascii="Arial" w:hAnsi="Arial" w:cs="Arial"/>
          <w:i/>
          <w:iCs/>
        </w:rPr>
        <w:t>(European</w:t>
      </w:r>
      <w:r w:rsidR="007B7640" w:rsidRPr="00CD59CC">
        <w:rPr>
          <w:rFonts w:ascii="Arial" w:hAnsi="Arial" w:cs="Arial"/>
          <w:i/>
          <w:iCs/>
        </w:rPr>
        <w:t xml:space="preserve"> </w:t>
      </w:r>
      <w:r w:rsidRPr="00CD59CC">
        <w:rPr>
          <w:rFonts w:ascii="Arial" w:hAnsi="Arial" w:cs="Arial"/>
          <w:i/>
          <w:iCs/>
        </w:rPr>
        <w:t>strategic</w:t>
      </w:r>
      <w:r w:rsidR="007B7640" w:rsidRPr="00CD59CC">
        <w:rPr>
          <w:rFonts w:ascii="Arial" w:hAnsi="Arial" w:cs="Arial"/>
          <w:i/>
          <w:iCs/>
        </w:rPr>
        <w:t xml:space="preserve"> </w:t>
      </w:r>
      <w:r w:rsidRPr="00CD59CC">
        <w:rPr>
          <w:rFonts w:ascii="Arial" w:hAnsi="Arial" w:cs="Arial"/>
          <w:i/>
          <w:iCs/>
        </w:rPr>
        <w:t>litigation</w:t>
      </w:r>
      <w:r w:rsidR="007B7640" w:rsidRPr="00CD59CC">
        <w:rPr>
          <w:rFonts w:ascii="Arial" w:hAnsi="Arial" w:cs="Arial"/>
          <w:i/>
          <w:iCs/>
        </w:rPr>
        <w:t xml:space="preserve"> </w:t>
      </w:r>
      <w:r w:rsidRPr="00CD59CC">
        <w:rPr>
          <w:rFonts w:ascii="Arial" w:hAnsi="Arial" w:cs="Arial"/>
          <w:i/>
          <w:iCs/>
        </w:rPr>
        <w:t>issue)?</w:t>
      </w:r>
    </w:p>
    <w:p w14:paraId="715EF52E" w14:textId="77777777" w:rsidR="002B5BCD" w:rsidRPr="00CD59CC" w:rsidRDefault="002B5BCD" w:rsidP="00CD59CC">
      <w:pPr>
        <w:tabs>
          <w:tab w:val="num" w:pos="567"/>
        </w:tabs>
        <w:ind w:left="567" w:hanging="567"/>
        <w:rPr>
          <w:rFonts w:ascii="Arial" w:hAnsi="Arial" w:cs="Arial"/>
          <w:bCs/>
          <w:iCs/>
        </w:rPr>
      </w:pPr>
    </w:p>
    <w:p w14:paraId="62F0D294" w14:textId="77777777" w:rsidR="00E04499" w:rsidRPr="00CD59CC" w:rsidRDefault="00E04499" w:rsidP="00CD59CC">
      <w:pPr>
        <w:rPr>
          <w:rFonts w:ascii="Arial" w:hAnsi="Arial" w:cs="Arial"/>
          <w:iCs/>
        </w:rPr>
      </w:pPr>
      <w:r w:rsidRPr="00CD59CC">
        <w:rPr>
          <w:rFonts w:ascii="Arial" w:hAnsi="Arial" w:cs="Arial"/>
          <w:iCs/>
        </w:rPr>
        <w:t>For</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long</w:t>
      </w:r>
      <w:r w:rsidR="007B7640" w:rsidRPr="00CD59CC">
        <w:rPr>
          <w:rFonts w:ascii="Arial" w:hAnsi="Arial" w:cs="Arial"/>
          <w:iCs/>
        </w:rPr>
        <w:t xml:space="preserve"> </w:t>
      </w:r>
      <w:r w:rsidRPr="00CD59CC">
        <w:rPr>
          <w:rFonts w:ascii="Arial" w:hAnsi="Arial" w:cs="Arial"/>
          <w:iCs/>
        </w:rPr>
        <w:t>time</w:t>
      </w:r>
      <w:r w:rsidR="007B7640" w:rsidRPr="00CD59CC">
        <w:rPr>
          <w:rFonts w:ascii="Arial" w:hAnsi="Arial" w:cs="Arial"/>
          <w:iCs/>
        </w:rPr>
        <w:t xml:space="preserve"> </w:t>
      </w:r>
      <w:r w:rsidRPr="00CD59CC">
        <w:rPr>
          <w:rFonts w:ascii="Arial" w:hAnsi="Arial" w:cs="Arial"/>
          <w:iCs/>
        </w:rPr>
        <w:t>situation</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was</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highly</w:t>
      </w:r>
      <w:r w:rsidR="007B7640" w:rsidRPr="00CD59CC">
        <w:rPr>
          <w:rFonts w:ascii="Arial" w:hAnsi="Arial" w:cs="Arial"/>
          <w:iCs/>
        </w:rPr>
        <w:t xml:space="preserve"> </w:t>
      </w:r>
      <w:r w:rsidRPr="00CD59CC">
        <w:rPr>
          <w:rFonts w:ascii="Arial" w:hAnsi="Arial" w:cs="Arial"/>
          <w:iCs/>
        </w:rPr>
        <w:t>debated</w:t>
      </w:r>
      <w:r w:rsidR="007B7640" w:rsidRPr="00CD59CC">
        <w:rPr>
          <w:rFonts w:ascii="Arial" w:hAnsi="Arial" w:cs="Arial"/>
          <w:iCs/>
        </w:rPr>
        <w:t xml:space="preserve"> </w:t>
      </w:r>
      <w:r w:rsidRPr="00CD59CC">
        <w:rPr>
          <w:rFonts w:ascii="Arial" w:hAnsi="Arial" w:cs="Arial"/>
          <w:iCs/>
        </w:rPr>
        <w:t>legal</w:t>
      </w:r>
      <w:r w:rsidR="007B7640" w:rsidRPr="00CD59CC">
        <w:rPr>
          <w:rFonts w:ascii="Arial" w:hAnsi="Arial" w:cs="Arial"/>
          <w:iCs/>
        </w:rPr>
        <w:t xml:space="preserve"> </w:t>
      </w:r>
      <w:r w:rsidRPr="00CD59CC">
        <w:rPr>
          <w:rFonts w:ascii="Arial" w:hAnsi="Arial" w:cs="Arial"/>
          <w:iCs/>
        </w:rPr>
        <w:t>instrument</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Hungary.</w:t>
      </w:r>
      <w:r w:rsidR="007B7640" w:rsidRPr="00CD59CC">
        <w:rPr>
          <w:rFonts w:ascii="Arial" w:hAnsi="Arial" w:cs="Arial"/>
          <w:iCs/>
        </w:rPr>
        <w:t xml:space="preserve"> </w:t>
      </w:r>
      <w:r w:rsidRPr="00CD59CC">
        <w:rPr>
          <w:rFonts w:ascii="Arial" w:hAnsi="Arial" w:cs="Arial"/>
          <w:iCs/>
        </w:rPr>
        <w:t>NGO’s,</w:t>
      </w:r>
      <w:r w:rsidR="007B7640" w:rsidRPr="00CD59CC">
        <w:rPr>
          <w:rFonts w:ascii="Arial" w:hAnsi="Arial" w:cs="Arial"/>
          <w:iCs/>
        </w:rPr>
        <w:t xml:space="preserve"> </w:t>
      </w:r>
      <w:r w:rsidRPr="00CD59CC">
        <w:rPr>
          <w:rFonts w:ascii="Arial" w:hAnsi="Arial" w:cs="Arial"/>
          <w:iCs/>
        </w:rPr>
        <w:t>primarily</w:t>
      </w:r>
      <w:r w:rsidR="007B7640" w:rsidRPr="00CD59CC">
        <w:rPr>
          <w:rFonts w:ascii="Arial" w:hAnsi="Arial" w:cs="Arial"/>
          <w:iCs/>
        </w:rPr>
        <w:t xml:space="preserve"> </w:t>
      </w:r>
      <w:r w:rsidRPr="00CD59CC">
        <w:rPr>
          <w:rFonts w:ascii="Arial" w:hAnsi="Arial" w:cs="Arial"/>
          <w:iCs/>
        </w:rPr>
        <w:t>NEKI</w:t>
      </w:r>
      <w:r w:rsidR="007B7640" w:rsidRPr="00CD59CC">
        <w:rPr>
          <w:rFonts w:ascii="Arial" w:hAnsi="Arial" w:cs="Arial"/>
          <w:iCs/>
        </w:rPr>
        <w:t xml:space="preserve"> </w:t>
      </w:r>
      <w:r w:rsidRPr="00CD59CC">
        <w:rPr>
          <w:rFonts w:ascii="Arial" w:hAnsi="Arial" w:cs="Arial"/>
          <w:iCs/>
        </w:rPr>
        <w:t>have</w:t>
      </w:r>
      <w:r w:rsidR="007B7640" w:rsidRPr="00CD59CC">
        <w:rPr>
          <w:rFonts w:ascii="Arial" w:hAnsi="Arial" w:cs="Arial"/>
          <w:iCs/>
        </w:rPr>
        <w:t xml:space="preserve"> </w:t>
      </w:r>
      <w:r w:rsidRPr="00CD59CC">
        <w:rPr>
          <w:rFonts w:ascii="Arial" w:hAnsi="Arial" w:cs="Arial"/>
          <w:iCs/>
        </w:rPr>
        <w:t>for</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long</w:t>
      </w:r>
      <w:r w:rsidR="007B7640" w:rsidRPr="00CD59CC">
        <w:rPr>
          <w:rFonts w:ascii="Arial" w:hAnsi="Arial" w:cs="Arial"/>
          <w:iCs/>
        </w:rPr>
        <w:t xml:space="preserve"> </w:t>
      </w:r>
      <w:r w:rsidRPr="00CD59CC">
        <w:rPr>
          <w:rFonts w:ascii="Arial" w:hAnsi="Arial" w:cs="Arial"/>
          <w:iCs/>
        </w:rPr>
        <w:t>time</w:t>
      </w:r>
      <w:r w:rsidR="007B7640" w:rsidRPr="00CD59CC">
        <w:rPr>
          <w:rFonts w:ascii="Arial" w:hAnsi="Arial" w:cs="Arial"/>
          <w:iCs/>
        </w:rPr>
        <w:t xml:space="preserve"> </w:t>
      </w:r>
      <w:r w:rsidRPr="00CD59CC">
        <w:rPr>
          <w:rFonts w:ascii="Arial" w:hAnsi="Arial" w:cs="Arial"/>
          <w:iCs/>
        </w:rPr>
        <w:t>applied</w:t>
      </w:r>
      <w:r w:rsidR="007B7640" w:rsidRPr="00CD59CC">
        <w:rPr>
          <w:rFonts w:ascii="Arial" w:hAnsi="Arial" w:cs="Arial"/>
          <w:iCs/>
        </w:rPr>
        <w:t xml:space="preserve"> </w:t>
      </w:r>
      <w:r w:rsidRPr="00CD59CC">
        <w:rPr>
          <w:rFonts w:ascii="Arial" w:hAnsi="Arial" w:cs="Arial"/>
          <w:iCs/>
        </w:rPr>
        <w:t>situation</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substantiate</w:t>
      </w:r>
      <w:r w:rsidR="007B7640" w:rsidRPr="00CD59CC">
        <w:rPr>
          <w:rFonts w:ascii="Arial" w:hAnsi="Arial" w:cs="Arial"/>
          <w:iCs/>
        </w:rPr>
        <w:t xml:space="preserve"> </w:t>
      </w:r>
      <w:r w:rsidRPr="00CD59CC">
        <w:rPr>
          <w:rFonts w:ascii="Arial" w:hAnsi="Arial" w:cs="Arial"/>
          <w:iCs/>
        </w:rPr>
        <w:t>cases</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individual</w:t>
      </w:r>
      <w:r w:rsidR="007B7640" w:rsidRPr="00CD59CC">
        <w:rPr>
          <w:rFonts w:ascii="Arial" w:hAnsi="Arial" w:cs="Arial"/>
          <w:iCs/>
        </w:rPr>
        <w:t xml:space="preserve"> </w:t>
      </w:r>
      <w:r w:rsidRPr="00CD59CC">
        <w:rPr>
          <w:rFonts w:ascii="Arial" w:hAnsi="Arial" w:cs="Arial"/>
          <w:iCs/>
        </w:rPr>
        <w:t>victims.</w:t>
      </w:r>
      <w:r w:rsidR="007B7640" w:rsidRPr="00CD59CC">
        <w:rPr>
          <w:rFonts w:ascii="Arial" w:hAnsi="Arial" w:cs="Arial"/>
          <w:iCs/>
        </w:rPr>
        <w:t xml:space="preserve"> </w:t>
      </w:r>
    </w:p>
    <w:p w14:paraId="4BCB751F" w14:textId="77777777" w:rsidR="00E04499" w:rsidRPr="00CD59CC" w:rsidRDefault="00E04499" w:rsidP="00CD59CC">
      <w:pPr>
        <w:rPr>
          <w:rFonts w:ascii="Arial" w:hAnsi="Arial" w:cs="Arial"/>
          <w:iCs/>
        </w:rPr>
      </w:pPr>
    </w:p>
    <w:p w14:paraId="5758FBAE" w14:textId="77777777" w:rsidR="00E04499" w:rsidRDefault="00E04499" w:rsidP="00CD59CC">
      <w:pPr>
        <w:rPr>
          <w:rFonts w:ascii="Arial" w:hAnsi="Arial" w:cs="Arial"/>
          <w:iCs/>
        </w:rPr>
      </w:pP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usual</w:t>
      </w:r>
      <w:r w:rsidR="007B7640" w:rsidRPr="00CD59CC">
        <w:rPr>
          <w:rFonts w:ascii="Arial" w:hAnsi="Arial" w:cs="Arial"/>
          <w:iCs/>
        </w:rPr>
        <w:t xml:space="preserve"> </w:t>
      </w:r>
      <w:r w:rsidRPr="00CD59CC">
        <w:rPr>
          <w:rFonts w:ascii="Arial" w:hAnsi="Arial" w:cs="Arial"/>
          <w:iCs/>
        </w:rPr>
        <w:t>practice</w:t>
      </w:r>
      <w:r w:rsidR="007B7640" w:rsidRPr="00CD59CC">
        <w:rPr>
          <w:rFonts w:ascii="Arial" w:hAnsi="Arial" w:cs="Arial"/>
          <w:iCs/>
        </w:rPr>
        <w:t xml:space="preserve"> </w:t>
      </w:r>
      <w:r w:rsidRPr="00CD59CC">
        <w:rPr>
          <w:rFonts w:ascii="Arial" w:hAnsi="Arial" w:cs="Arial"/>
          <w:iCs/>
        </w:rPr>
        <w:t>was</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if</w:t>
      </w:r>
      <w:r w:rsidR="007B7640" w:rsidRPr="00CD59CC">
        <w:rPr>
          <w:rFonts w:ascii="Arial" w:hAnsi="Arial" w:cs="Arial"/>
          <w:iCs/>
        </w:rPr>
        <w:t xml:space="preserve"> </w:t>
      </w:r>
      <w:r w:rsidRPr="00CD59CC">
        <w:rPr>
          <w:rFonts w:ascii="Arial" w:hAnsi="Arial" w:cs="Arial"/>
          <w:iCs/>
        </w:rPr>
        <w:t>they</w:t>
      </w:r>
      <w:r w:rsidR="007B7640" w:rsidRPr="00CD59CC">
        <w:rPr>
          <w:rFonts w:ascii="Arial" w:hAnsi="Arial" w:cs="Arial"/>
          <w:iCs/>
        </w:rPr>
        <w:t xml:space="preserve"> </w:t>
      </w:r>
      <w:r w:rsidRPr="00CD59CC">
        <w:rPr>
          <w:rFonts w:ascii="Arial" w:hAnsi="Arial" w:cs="Arial"/>
          <w:iCs/>
        </w:rPr>
        <w:t>received</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complaint</w:t>
      </w:r>
      <w:r w:rsidR="007B7640" w:rsidRPr="00CD59CC">
        <w:rPr>
          <w:rFonts w:ascii="Arial" w:hAnsi="Arial" w:cs="Arial"/>
          <w:iCs/>
        </w:rPr>
        <w:t xml:space="preserve"> </w:t>
      </w:r>
      <w:r w:rsidRPr="00CD59CC">
        <w:rPr>
          <w:rFonts w:ascii="Arial" w:hAnsi="Arial" w:cs="Arial"/>
          <w:iCs/>
        </w:rPr>
        <w:t>(usually</w:t>
      </w:r>
      <w:r w:rsidR="007B7640" w:rsidRPr="00CD59CC">
        <w:rPr>
          <w:rFonts w:ascii="Arial" w:hAnsi="Arial" w:cs="Arial"/>
          <w:iCs/>
        </w:rPr>
        <w:t xml:space="preserve"> </w:t>
      </w:r>
      <w:r w:rsidRPr="00CD59CC">
        <w:rPr>
          <w:rFonts w:ascii="Arial" w:hAnsi="Arial" w:cs="Arial"/>
          <w:iCs/>
        </w:rPr>
        <w:t>about</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denial</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access</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goods</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services</w:t>
      </w:r>
      <w:r w:rsidR="007B7640" w:rsidRPr="00CD59CC">
        <w:rPr>
          <w:rFonts w:ascii="Arial" w:hAnsi="Arial" w:cs="Arial"/>
          <w:iCs/>
        </w:rPr>
        <w:t xml:space="preserve"> </w:t>
      </w:r>
      <w:r w:rsidRPr="00CD59CC">
        <w:rPr>
          <w:rFonts w:ascii="Arial" w:hAnsi="Arial" w:cs="Arial"/>
          <w:iCs/>
        </w:rPr>
        <w:t>or</w:t>
      </w:r>
      <w:r w:rsidR="007B7640" w:rsidRPr="00CD59CC">
        <w:rPr>
          <w:rFonts w:ascii="Arial" w:hAnsi="Arial" w:cs="Arial"/>
          <w:iCs/>
        </w:rPr>
        <w:t xml:space="preserve"> </w:t>
      </w:r>
      <w:r w:rsidRPr="00CD59CC">
        <w:rPr>
          <w:rFonts w:ascii="Arial" w:hAnsi="Arial" w:cs="Arial"/>
          <w:iCs/>
        </w:rPr>
        <w:t>recruitment-related</w:t>
      </w:r>
      <w:r w:rsidR="007B7640" w:rsidRPr="00CD59CC">
        <w:rPr>
          <w:rFonts w:ascii="Arial" w:hAnsi="Arial" w:cs="Arial"/>
          <w:iCs/>
        </w:rPr>
        <w:t xml:space="preserve"> </w:t>
      </w:r>
      <w:r w:rsidRPr="00CD59CC">
        <w:rPr>
          <w:rFonts w:ascii="Arial" w:hAnsi="Arial" w:cs="Arial"/>
          <w:iCs/>
        </w:rPr>
        <w:t>breaches,</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both</w:t>
      </w:r>
      <w:r w:rsidR="007B7640" w:rsidRPr="00CD59CC">
        <w:rPr>
          <w:rFonts w:ascii="Arial" w:hAnsi="Arial" w:cs="Arial"/>
          <w:iCs/>
        </w:rPr>
        <w:t xml:space="preserve"> </w:t>
      </w:r>
      <w:r w:rsidRPr="00CD59CC">
        <w:rPr>
          <w:rFonts w:ascii="Arial" w:hAnsi="Arial" w:cs="Arial"/>
          <w:iCs/>
        </w:rPr>
        <w:t>cases</w:t>
      </w:r>
      <w:r w:rsidR="007B7640" w:rsidRPr="00CD59CC">
        <w:rPr>
          <w:rFonts w:ascii="Arial" w:hAnsi="Arial" w:cs="Arial"/>
          <w:iCs/>
        </w:rPr>
        <w:t xml:space="preserve"> </w:t>
      </w:r>
      <w:r w:rsidRPr="00CD59CC">
        <w:rPr>
          <w:rFonts w:ascii="Arial" w:hAnsi="Arial" w:cs="Arial"/>
          <w:iCs/>
        </w:rPr>
        <w:t>based</w:t>
      </w:r>
      <w:r w:rsidR="007B7640" w:rsidRPr="00CD59CC">
        <w:rPr>
          <w:rFonts w:ascii="Arial" w:hAnsi="Arial" w:cs="Arial"/>
          <w:iCs/>
        </w:rPr>
        <w:t xml:space="preserve"> </w:t>
      </w:r>
      <w:r w:rsidRPr="00CD59CC">
        <w:rPr>
          <w:rFonts w:ascii="Arial" w:hAnsi="Arial" w:cs="Arial"/>
          <w:iCs/>
        </w:rPr>
        <w:t>on</w:t>
      </w:r>
      <w:r w:rsidR="007B7640" w:rsidRPr="00CD59CC">
        <w:rPr>
          <w:rFonts w:ascii="Arial" w:hAnsi="Arial" w:cs="Arial"/>
          <w:iCs/>
        </w:rPr>
        <w:t xml:space="preserve"> </w:t>
      </w:r>
      <w:r w:rsidRPr="00CD59CC">
        <w:rPr>
          <w:rFonts w:ascii="Arial" w:hAnsi="Arial" w:cs="Arial"/>
          <w:iCs/>
        </w:rPr>
        <w:t>ethnic</w:t>
      </w:r>
      <w:r w:rsidR="007B7640" w:rsidRPr="00CD59CC">
        <w:rPr>
          <w:rFonts w:ascii="Arial" w:hAnsi="Arial" w:cs="Arial"/>
          <w:iCs/>
        </w:rPr>
        <w:t xml:space="preserve"> </w:t>
      </w:r>
      <w:r w:rsidRPr="00CD59CC">
        <w:rPr>
          <w:rFonts w:ascii="Arial" w:hAnsi="Arial" w:cs="Arial"/>
          <w:iCs/>
        </w:rPr>
        <w:t>origin,</w:t>
      </w:r>
      <w:r w:rsidR="007B7640" w:rsidRPr="00CD59CC">
        <w:rPr>
          <w:rFonts w:ascii="Arial" w:hAnsi="Arial" w:cs="Arial"/>
          <w:iCs/>
        </w:rPr>
        <w:t xml:space="preserve"> </w:t>
      </w:r>
      <w:r w:rsidRPr="00CD59CC">
        <w:rPr>
          <w:rFonts w:ascii="Arial" w:hAnsi="Arial" w:cs="Arial"/>
          <w:iCs/>
        </w:rPr>
        <w:t>i.e.</w:t>
      </w:r>
      <w:r w:rsidR="007B7640" w:rsidRPr="00CD59CC">
        <w:rPr>
          <w:rFonts w:ascii="Arial" w:hAnsi="Arial" w:cs="Arial"/>
          <w:iCs/>
        </w:rPr>
        <w:t xml:space="preserve"> </w:t>
      </w:r>
      <w:r w:rsidRPr="00CD59CC">
        <w:rPr>
          <w:rFonts w:ascii="Arial" w:hAnsi="Arial" w:cs="Arial"/>
          <w:iCs/>
        </w:rPr>
        <w:t>against</w:t>
      </w:r>
      <w:r w:rsidR="007B7640" w:rsidRPr="00CD59CC">
        <w:rPr>
          <w:rFonts w:ascii="Arial" w:hAnsi="Arial" w:cs="Arial"/>
          <w:iCs/>
        </w:rPr>
        <w:t xml:space="preserve"> </w:t>
      </w:r>
      <w:r w:rsidRPr="00CD59CC">
        <w:rPr>
          <w:rFonts w:ascii="Arial" w:hAnsi="Arial" w:cs="Arial"/>
          <w:iCs/>
        </w:rPr>
        <w:t>Roma</w:t>
      </w:r>
      <w:r w:rsidR="007B7640" w:rsidRPr="00CD59CC">
        <w:rPr>
          <w:rFonts w:ascii="Arial" w:hAnsi="Arial" w:cs="Arial"/>
          <w:iCs/>
        </w:rPr>
        <w:t xml:space="preserve"> </w:t>
      </w:r>
      <w:r w:rsidRPr="00CD59CC">
        <w:rPr>
          <w:rFonts w:ascii="Arial" w:hAnsi="Arial" w:cs="Arial"/>
          <w:iCs/>
        </w:rPr>
        <w:t>persons),</w:t>
      </w:r>
      <w:r w:rsidR="007B7640" w:rsidRPr="00CD59CC">
        <w:rPr>
          <w:rFonts w:ascii="Arial" w:hAnsi="Arial" w:cs="Arial"/>
          <w:iCs/>
        </w:rPr>
        <w:t xml:space="preserve"> </w:t>
      </w:r>
      <w:r w:rsidRPr="00CD59CC">
        <w:rPr>
          <w:rFonts w:ascii="Arial" w:hAnsi="Arial" w:cs="Arial"/>
          <w:iCs/>
        </w:rPr>
        <w:t>they</w:t>
      </w:r>
      <w:r w:rsidR="007B7640" w:rsidRPr="00CD59CC">
        <w:rPr>
          <w:rFonts w:ascii="Arial" w:hAnsi="Arial" w:cs="Arial"/>
          <w:iCs/>
        </w:rPr>
        <w:t xml:space="preserve"> </w:t>
      </w:r>
      <w:r w:rsidRPr="00CD59CC">
        <w:rPr>
          <w:rFonts w:ascii="Arial" w:hAnsi="Arial" w:cs="Arial"/>
          <w:iCs/>
        </w:rPr>
        <w:t>sent</w:t>
      </w:r>
      <w:r w:rsidR="007B7640" w:rsidRPr="00CD59CC">
        <w:rPr>
          <w:rFonts w:ascii="Arial" w:hAnsi="Arial" w:cs="Arial"/>
          <w:iCs/>
        </w:rPr>
        <w:t xml:space="preserve"> </w:t>
      </w:r>
      <w:r w:rsidRPr="00CD59CC">
        <w:rPr>
          <w:rFonts w:ascii="Arial" w:hAnsi="Arial" w:cs="Arial"/>
          <w:iCs/>
        </w:rPr>
        <w:t>situation</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premises.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results</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were</w:t>
      </w:r>
      <w:r w:rsidR="007B7640" w:rsidRPr="00CD59CC">
        <w:rPr>
          <w:rFonts w:ascii="Arial" w:hAnsi="Arial" w:cs="Arial"/>
          <w:iCs/>
        </w:rPr>
        <w:t xml:space="preserve"> </w:t>
      </w:r>
      <w:r w:rsidRPr="00CD59CC">
        <w:rPr>
          <w:rFonts w:ascii="Arial" w:hAnsi="Arial" w:cs="Arial"/>
          <w:iCs/>
        </w:rPr>
        <w:t>accurately</w:t>
      </w:r>
      <w:r w:rsidR="007B7640" w:rsidRPr="00CD59CC">
        <w:rPr>
          <w:rFonts w:ascii="Arial" w:hAnsi="Arial" w:cs="Arial"/>
          <w:iCs/>
        </w:rPr>
        <w:t xml:space="preserve"> </w:t>
      </w:r>
      <w:r w:rsidRPr="00CD59CC">
        <w:rPr>
          <w:rFonts w:ascii="Arial" w:hAnsi="Arial" w:cs="Arial"/>
          <w:iCs/>
        </w:rPr>
        <w:t>recorded</w:t>
      </w:r>
      <w:r w:rsidR="007B7640" w:rsidRPr="00CD59CC">
        <w:rPr>
          <w:rFonts w:ascii="Arial" w:hAnsi="Arial" w:cs="Arial"/>
          <w:iCs/>
        </w:rPr>
        <w:t xml:space="preserve"> </w:t>
      </w:r>
      <w:r w:rsidRPr="00CD59CC">
        <w:rPr>
          <w:rFonts w:ascii="Arial" w:hAnsi="Arial" w:cs="Arial"/>
          <w:iCs/>
        </w:rPr>
        <w:t>by</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were</w:t>
      </w:r>
      <w:r w:rsidR="007B7640" w:rsidRPr="00CD59CC">
        <w:rPr>
          <w:rFonts w:ascii="Arial" w:hAnsi="Arial" w:cs="Arial"/>
          <w:iCs/>
        </w:rPr>
        <w:t xml:space="preserve"> </w:t>
      </w:r>
      <w:r w:rsidRPr="00CD59CC">
        <w:rPr>
          <w:rFonts w:ascii="Arial" w:hAnsi="Arial" w:cs="Arial"/>
          <w:iCs/>
        </w:rPr>
        <w:t>used</w:t>
      </w:r>
      <w:r w:rsidR="007B7640" w:rsidRPr="00CD59CC">
        <w:rPr>
          <w:rFonts w:ascii="Arial" w:hAnsi="Arial" w:cs="Arial"/>
          <w:iCs/>
        </w:rPr>
        <w:t xml:space="preserve"> </w:t>
      </w:r>
      <w:r w:rsidRPr="00CD59CC">
        <w:rPr>
          <w:rFonts w:ascii="Arial" w:hAnsi="Arial" w:cs="Arial"/>
          <w:iCs/>
        </w:rPr>
        <w:t>(along</w:t>
      </w:r>
      <w:r w:rsidR="007B7640" w:rsidRPr="00CD59CC">
        <w:rPr>
          <w:rFonts w:ascii="Arial" w:hAnsi="Arial" w:cs="Arial"/>
          <w:iCs/>
        </w:rPr>
        <w:t xml:space="preserve"> </w:t>
      </w:r>
      <w:r w:rsidRPr="00CD59CC">
        <w:rPr>
          <w:rFonts w:ascii="Arial" w:hAnsi="Arial" w:cs="Arial"/>
          <w:iCs/>
        </w:rPr>
        <w:t>with</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witness</w:t>
      </w:r>
      <w:r w:rsidR="007B7640" w:rsidRPr="00CD59CC">
        <w:rPr>
          <w:rFonts w:ascii="Arial" w:hAnsi="Arial" w:cs="Arial"/>
          <w:iCs/>
        </w:rPr>
        <w:t xml:space="preserve"> </w:t>
      </w:r>
      <w:r w:rsidRPr="00CD59CC">
        <w:rPr>
          <w:rFonts w:ascii="Arial" w:hAnsi="Arial" w:cs="Arial"/>
          <w:iCs/>
        </w:rPr>
        <w:t>testimonies</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as</w:t>
      </w:r>
      <w:r w:rsidR="007B7640" w:rsidRPr="00CD59CC">
        <w:rPr>
          <w:rFonts w:ascii="Arial" w:hAnsi="Arial" w:cs="Arial"/>
          <w:iCs/>
        </w:rPr>
        <w:t xml:space="preserve"> </w:t>
      </w:r>
      <w:r w:rsidRPr="00CD59CC">
        <w:rPr>
          <w:rFonts w:ascii="Arial" w:hAnsi="Arial" w:cs="Arial"/>
          <w:iCs/>
        </w:rPr>
        <w:t>evidence</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civil</w:t>
      </w:r>
      <w:r w:rsidR="007B7640" w:rsidRPr="00CD59CC">
        <w:rPr>
          <w:rFonts w:ascii="Arial" w:hAnsi="Arial" w:cs="Arial"/>
          <w:iCs/>
        </w:rPr>
        <w:t xml:space="preserve"> </w:t>
      </w:r>
      <w:r w:rsidRPr="00CD59CC">
        <w:rPr>
          <w:rFonts w:ascii="Arial" w:hAnsi="Arial" w:cs="Arial"/>
          <w:iCs/>
        </w:rPr>
        <w:t>lawsuits</w:t>
      </w:r>
      <w:r w:rsidR="007B7640" w:rsidRPr="00CD59CC">
        <w:rPr>
          <w:rFonts w:ascii="Arial" w:hAnsi="Arial" w:cs="Arial"/>
          <w:iCs/>
        </w:rPr>
        <w:t xml:space="preserve"> </w:t>
      </w:r>
      <w:r w:rsidRPr="00CD59CC">
        <w:rPr>
          <w:rFonts w:ascii="Arial" w:hAnsi="Arial" w:cs="Arial"/>
          <w:iCs/>
        </w:rPr>
        <w:t>launched</w:t>
      </w:r>
      <w:r w:rsidR="007B7640" w:rsidRPr="00CD59CC">
        <w:rPr>
          <w:rFonts w:ascii="Arial" w:hAnsi="Arial" w:cs="Arial"/>
          <w:iCs/>
        </w:rPr>
        <w:t xml:space="preserve"> </w:t>
      </w:r>
      <w:r w:rsidRPr="00CD59CC">
        <w:rPr>
          <w:rFonts w:ascii="Arial" w:hAnsi="Arial" w:cs="Arial"/>
          <w:iCs/>
        </w:rPr>
        <w:t>on</w:t>
      </w:r>
      <w:r w:rsidR="007B7640" w:rsidRPr="00CD59CC">
        <w:rPr>
          <w:rFonts w:ascii="Arial" w:hAnsi="Arial" w:cs="Arial"/>
          <w:iCs/>
        </w:rPr>
        <w:t xml:space="preserve"> </w:t>
      </w:r>
      <w:r w:rsidRPr="00CD59CC">
        <w:rPr>
          <w:rFonts w:ascii="Arial" w:hAnsi="Arial" w:cs="Arial"/>
          <w:iCs/>
        </w:rPr>
        <w:t>behalf</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original</w:t>
      </w:r>
      <w:r w:rsidR="007B7640" w:rsidRPr="00CD59CC">
        <w:rPr>
          <w:rFonts w:ascii="Arial" w:hAnsi="Arial" w:cs="Arial"/>
          <w:iCs/>
        </w:rPr>
        <w:t xml:space="preserve"> </w:t>
      </w:r>
      <w:r w:rsidRPr="00CD59CC">
        <w:rPr>
          <w:rFonts w:ascii="Arial" w:hAnsi="Arial" w:cs="Arial"/>
          <w:iCs/>
        </w:rPr>
        <w:t>victim.</w:t>
      </w:r>
      <w:r w:rsidR="007B7640" w:rsidRPr="00CD59CC">
        <w:rPr>
          <w:rFonts w:ascii="Arial" w:hAnsi="Arial" w:cs="Arial"/>
          <w:iCs/>
        </w:rPr>
        <w:t xml:space="preserve"> </w:t>
      </w:r>
    </w:p>
    <w:p w14:paraId="0BBC1EC0" w14:textId="77777777" w:rsidR="00B97ED3" w:rsidRPr="00CD59CC" w:rsidRDefault="00B97ED3" w:rsidP="00CD59CC">
      <w:pPr>
        <w:rPr>
          <w:rFonts w:ascii="Arial" w:hAnsi="Arial" w:cs="Arial"/>
          <w:iCs/>
        </w:rPr>
      </w:pPr>
    </w:p>
    <w:p w14:paraId="4AF46BBD" w14:textId="77777777" w:rsidR="00E04499" w:rsidRPr="00CD59CC" w:rsidRDefault="00E04499" w:rsidP="00CD59CC">
      <w:pPr>
        <w:rPr>
          <w:rFonts w:ascii="Arial" w:hAnsi="Arial" w:cs="Arial"/>
          <w:iCs/>
        </w:rPr>
      </w:pP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problem</w:t>
      </w:r>
      <w:r w:rsidR="007B7640" w:rsidRPr="00CD59CC">
        <w:rPr>
          <w:rFonts w:ascii="Arial" w:hAnsi="Arial" w:cs="Arial"/>
          <w:iCs/>
        </w:rPr>
        <w:t xml:space="preserve"> </w:t>
      </w:r>
      <w:r w:rsidRPr="00CD59CC">
        <w:rPr>
          <w:rFonts w:ascii="Arial" w:hAnsi="Arial" w:cs="Arial"/>
          <w:iCs/>
        </w:rPr>
        <w:t>with</w:t>
      </w:r>
      <w:r w:rsidR="007B7640" w:rsidRPr="00CD59CC">
        <w:rPr>
          <w:rFonts w:ascii="Arial" w:hAnsi="Arial" w:cs="Arial"/>
          <w:iCs/>
        </w:rPr>
        <w:t xml:space="preserve"> </w:t>
      </w:r>
      <w:r w:rsidRPr="00CD59CC">
        <w:rPr>
          <w:rFonts w:ascii="Arial" w:hAnsi="Arial" w:cs="Arial"/>
          <w:iCs/>
        </w:rPr>
        <w:t>this</w:t>
      </w:r>
      <w:r w:rsidR="007B7640" w:rsidRPr="00CD59CC">
        <w:rPr>
          <w:rFonts w:ascii="Arial" w:hAnsi="Arial" w:cs="Arial"/>
          <w:iCs/>
        </w:rPr>
        <w:t xml:space="preserve"> </w:t>
      </w:r>
      <w:r w:rsidRPr="00CD59CC">
        <w:rPr>
          <w:rFonts w:ascii="Arial" w:hAnsi="Arial" w:cs="Arial"/>
          <w:iCs/>
        </w:rPr>
        <w:t>approach</w:t>
      </w:r>
      <w:r w:rsidR="007B7640" w:rsidRPr="00CD59CC">
        <w:rPr>
          <w:rFonts w:ascii="Arial" w:hAnsi="Arial" w:cs="Arial"/>
          <w:iCs/>
        </w:rPr>
        <w:t xml:space="preserve"> </w:t>
      </w:r>
      <w:r w:rsidRPr="00CD59CC">
        <w:rPr>
          <w:rFonts w:ascii="Arial" w:hAnsi="Arial" w:cs="Arial"/>
          <w:iCs/>
        </w:rPr>
        <w:t>was</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interpretation</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numerous</w:t>
      </w:r>
      <w:r w:rsidR="007B7640" w:rsidRPr="00CD59CC">
        <w:rPr>
          <w:rFonts w:ascii="Arial" w:hAnsi="Arial" w:cs="Arial"/>
          <w:iCs/>
        </w:rPr>
        <w:t xml:space="preserve"> </w:t>
      </w:r>
      <w:r w:rsidRPr="00CD59CC">
        <w:rPr>
          <w:rFonts w:ascii="Arial" w:hAnsi="Arial" w:cs="Arial"/>
          <w:iCs/>
        </w:rPr>
        <w:t>judges,</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result</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performed</w:t>
      </w:r>
      <w:r w:rsidR="007B7640" w:rsidRPr="00CD59CC">
        <w:rPr>
          <w:rFonts w:ascii="Arial" w:hAnsi="Arial" w:cs="Arial"/>
          <w:iCs/>
        </w:rPr>
        <w:t xml:space="preserve"> </w:t>
      </w:r>
      <w:r w:rsidRPr="00CD59CC">
        <w:rPr>
          <w:rFonts w:ascii="Arial" w:hAnsi="Arial" w:cs="Arial"/>
          <w:iCs/>
        </w:rPr>
        <w:t>this</w:t>
      </w:r>
      <w:r w:rsidR="007B7640" w:rsidRPr="00CD59CC">
        <w:rPr>
          <w:rFonts w:ascii="Arial" w:hAnsi="Arial" w:cs="Arial"/>
          <w:iCs/>
        </w:rPr>
        <w:t xml:space="preserve"> </w:t>
      </w:r>
      <w:r w:rsidRPr="00CD59CC">
        <w:rPr>
          <w:rFonts w:ascii="Arial" w:hAnsi="Arial" w:cs="Arial"/>
          <w:iCs/>
        </w:rPr>
        <w:t>way</w:t>
      </w:r>
      <w:r w:rsidR="007B7640" w:rsidRPr="00CD59CC">
        <w:rPr>
          <w:rFonts w:ascii="Arial" w:hAnsi="Arial" w:cs="Arial"/>
          <w:iCs/>
        </w:rPr>
        <w:t xml:space="preserve"> </w:t>
      </w:r>
      <w:r w:rsidRPr="00CD59CC">
        <w:rPr>
          <w:rFonts w:ascii="Arial" w:hAnsi="Arial" w:cs="Arial"/>
          <w:iCs/>
        </w:rPr>
        <w:t>may</w:t>
      </w:r>
      <w:r w:rsidR="007B7640" w:rsidRPr="00CD59CC">
        <w:rPr>
          <w:rFonts w:ascii="Arial" w:hAnsi="Arial" w:cs="Arial"/>
          <w:iCs/>
        </w:rPr>
        <w:t xml:space="preserve"> </w:t>
      </w:r>
      <w:r w:rsidRPr="00CD59CC">
        <w:rPr>
          <w:rFonts w:ascii="Arial" w:hAnsi="Arial" w:cs="Arial"/>
          <w:iCs/>
        </w:rPr>
        <w:t>not</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taken</w:t>
      </w:r>
      <w:r w:rsidR="007B7640" w:rsidRPr="00CD59CC">
        <w:rPr>
          <w:rFonts w:ascii="Arial" w:hAnsi="Arial" w:cs="Arial"/>
          <w:iCs/>
        </w:rPr>
        <w:t xml:space="preserve"> </w:t>
      </w:r>
      <w:r w:rsidRPr="00CD59CC">
        <w:rPr>
          <w:rFonts w:ascii="Arial" w:hAnsi="Arial" w:cs="Arial"/>
          <w:iCs/>
        </w:rPr>
        <w:t>into</w:t>
      </w:r>
      <w:r w:rsidR="007B7640" w:rsidRPr="00CD59CC">
        <w:rPr>
          <w:rFonts w:ascii="Arial" w:hAnsi="Arial" w:cs="Arial"/>
          <w:iCs/>
        </w:rPr>
        <w:t xml:space="preserve"> </w:t>
      </w:r>
      <w:r w:rsidRPr="00CD59CC">
        <w:rPr>
          <w:rFonts w:ascii="Arial" w:hAnsi="Arial" w:cs="Arial"/>
          <w:iCs/>
        </w:rPr>
        <w:t>consideration</w:t>
      </w:r>
      <w:r w:rsidR="007B7640" w:rsidRPr="00CD59CC">
        <w:rPr>
          <w:rFonts w:ascii="Arial" w:hAnsi="Arial" w:cs="Arial"/>
          <w:iCs/>
        </w:rPr>
        <w:t xml:space="preserve"> </w:t>
      </w:r>
      <w:r w:rsidRPr="00CD59CC">
        <w:rPr>
          <w:rFonts w:ascii="Arial" w:hAnsi="Arial" w:cs="Arial"/>
          <w:iCs/>
        </w:rPr>
        <w:t>as</w:t>
      </w:r>
      <w:r w:rsidR="007B7640" w:rsidRPr="00CD59CC">
        <w:rPr>
          <w:rFonts w:ascii="Arial" w:hAnsi="Arial" w:cs="Arial"/>
          <w:iCs/>
        </w:rPr>
        <w:t xml:space="preserve"> </w:t>
      </w:r>
      <w:r w:rsidRPr="00CD59CC">
        <w:rPr>
          <w:rFonts w:ascii="Arial" w:hAnsi="Arial" w:cs="Arial"/>
          <w:iCs/>
        </w:rPr>
        <w:t>evidence,</w:t>
      </w:r>
      <w:r w:rsidR="007B7640" w:rsidRPr="00CD59CC">
        <w:rPr>
          <w:rFonts w:ascii="Arial" w:hAnsi="Arial" w:cs="Arial"/>
          <w:iCs/>
        </w:rPr>
        <w:t xml:space="preserve"> </w:t>
      </w:r>
      <w:r w:rsidRPr="00CD59CC">
        <w:rPr>
          <w:rFonts w:ascii="Arial" w:hAnsi="Arial" w:cs="Arial"/>
          <w:iCs/>
        </w:rPr>
        <w:t>because</w:t>
      </w:r>
      <w:r w:rsidR="007B7640" w:rsidRPr="00CD59CC">
        <w:rPr>
          <w:rFonts w:ascii="Arial" w:hAnsi="Arial" w:cs="Arial"/>
          <w:iCs/>
        </w:rPr>
        <w:t xml:space="preserve"> </w:t>
      </w:r>
      <w:r w:rsidRPr="00CD59CC">
        <w:rPr>
          <w:rFonts w:ascii="Arial" w:hAnsi="Arial" w:cs="Arial"/>
          <w:iCs/>
        </w:rPr>
        <w:t>only</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original,</w:t>
      </w:r>
      <w:r w:rsidR="007B7640" w:rsidRPr="00CD59CC">
        <w:rPr>
          <w:rFonts w:ascii="Arial" w:hAnsi="Arial" w:cs="Arial"/>
          <w:iCs/>
        </w:rPr>
        <w:t xml:space="preserve"> </w:t>
      </w:r>
      <w:r w:rsidRPr="00CD59CC">
        <w:rPr>
          <w:rFonts w:ascii="Arial" w:hAnsi="Arial" w:cs="Arial"/>
          <w:iCs/>
        </w:rPr>
        <w:t>individual</w:t>
      </w:r>
      <w:r w:rsidR="007B7640" w:rsidRPr="00CD59CC">
        <w:rPr>
          <w:rFonts w:ascii="Arial" w:hAnsi="Arial" w:cs="Arial"/>
          <w:iCs/>
        </w:rPr>
        <w:t xml:space="preserve"> </w:t>
      </w:r>
      <w:r w:rsidRPr="00CD59CC">
        <w:rPr>
          <w:rFonts w:ascii="Arial" w:hAnsi="Arial" w:cs="Arial"/>
          <w:iCs/>
        </w:rPr>
        <w:t>violation</w:t>
      </w:r>
      <w:r w:rsidR="007B7640" w:rsidRPr="00CD59CC">
        <w:rPr>
          <w:rFonts w:ascii="Arial" w:hAnsi="Arial" w:cs="Arial"/>
          <w:iCs/>
        </w:rPr>
        <w:t xml:space="preserve"> </w:t>
      </w:r>
      <w:r w:rsidRPr="00CD59CC">
        <w:rPr>
          <w:rFonts w:ascii="Arial" w:hAnsi="Arial" w:cs="Arial"/>
          <w:iCs/>
        </w:rPr>
        <w:t>may</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subject</w:t>
      </w:r>
      <w:r w:rsidR="007B7640" w:rsidRPr="00CD59CC">
        <w:rPr>
          <w:rFonts w:ascii="Arial" w:hAnsi="Arial" w:cs="Arial"/>
          <w:iCs/>
        </w:rPr>
        <w:t xml:space="preserve"> </w:t>
      </w:r>
      <w:r w:rsidRPr="00CD59CC">
        <w:rPr>
          <w:rFonts w:ascii="Arial" w:hAnsi="Arial" w:cs="Arial"/>
          <w:iCs/>
        </w:rPr>
        <w:t>matter</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lawsuit,</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so</w:t>
      </w:r>
      <w:r w:rsidR="007B7640" w:rsidRPr="00CD59CC">
        <w:rPr>
          <w:rFonts w:ascii="Arial" w:hAnsi="Arial" w:cs="Arial"/>
          <w:iCs/>
        </w:rPr>
        <w:t xml:space="preserve"> </w:t>
      </w:r>
      <w:r w:rsidRPr="00CD59CC">
        <w:rPr>
          <w:rFonts w:ascii="Arial" w:hAnsi="Arial" w:cs="Arial"/>
          <w:iCs/>
        </w:rPr>
        <w:t>distantly</w:t>
      </w:r>
      <w:r w:rsidR="007B7640" w:rsidRPr="00CD59CC">
        <w:rPr>
          <w:rFonts w:ascii="Arial" w:hAnsi="Arial" w:cs="Arial"/>
          <w:iCs/>
        </w:rPr>
        <w:t xml:space="preserve"> </w:t>
      </w:r>
      <w:r w:rsidRPr="00CD59CC">
        <w:rPr>
          <w:rFonts w:ascii="Arial" w:hAnsi="Arial" w:cs="Arial"/>
          <w:iCs/>
        </w:rPr>
        <w:t>related</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this</w:t>
      </w:r>
      <w:r w:rsidR="007B7640" w:rsidRPr="00CD59CC">
        <w:rPr>
          <w:rFonts w:ascii="Arial" w:hAnsi="Arial" w:cs="Arial"/>
          <w:iCs/>
        </w:rPr>
        <w:t xml:space="preserve"> </w:t>
      </w:r>
      <w:r w:rsidRPr="00CD59CC">
        <w:rPr>
          <w:rFonts w:ascii="Arial" w:hAnsi="Arial" w:cs="Arial"/>
          <w:iCs/>
        </w:rPr>
        <w:t>subject</w:t>
      </w:r>
      <w:r w:rsidR="007B7640" w:rsidRPr="00CD59CC">
        <w:rPr>
          <w:rFonts w:ascii="Arial" w:hAnsi="Arial" w:cs="Arial"/>
          <w:iCs/>
        </w:rPr>
        <w:t xml:space="preserve"> </w:t>
      </w:r>
      <w:r w:rsidRPr="00CD59CC">
        <w:rPr>
          <w:rFonts w:ascii="Arial" w:hAnsi="Arial" w:cs="Arial"/>
          <w:iCs/>
        </w:rPr>
        <w:t>matter</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no</w:t>
      </w:r>
      <w:r w:rsidR="007B7640" w:rsidRPr="00CD59CC">
        <w:rPr>
          <w:rFonts w:ascii="Arial" w:hAnsi="Arial" w:cs="Arial"/>
          <w:iCs/>
        </w:rPr>
        <w:t xml:space="preserve"> </w:t>
      </w:r>
      <w:r w:rsidRPr="00CD59CC">
        <w:rPr>
          <w:rFonts w:ascii="Arial" w:hAnsi="Arial" w:cs="Arial"/>
          <w:iCs/>
        </w:rPr>
        <w:t>conclusions</w:t>
      </w:r>
      <w:r w:rsidR="007B7640" w:rsidRPr="00CD59CC">
        <w:rPr>
          <w:rFonts w:ascii="Arial" w:hAnsi="Arial" w:cs="Arial"/>
          <w:iCs/>
        </w:rPr>
        <w:t xml:space="preserve"> </w:t>
      </w:r>
      <w:r w:rsidRPr="00CD59CC">
        <w:rPr>
          <w:rFonts w:ascii="Arial" w:hAnsi="Arial" w:cs="Arial"/>
          <w:iCs/>
        </w:rPr>
        <w:t>can</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retrospectively</w:t>
      </w:r>
      <w:r w:rsidR="007B7640" w:rsidRPr="00CD59CC">
        <w:rPr>
          <w:rFonts w:ascii="Arial" w:hAnsi="Arial" w:cs="Arial"/>
          <w:iCs/>
        </w:rPr>
        <w:t xml:space="preserve"> </w:t>
      </w:r>
      <w:r w:rsidRPr="00CD59CC">
        <w:rPr>
          <w:rFonts w:ascii="Arial" w:hAnsi="Arial" w:cs="Arial"/>
          <w:iCs/>
        </w:rPr>
        <w:t>drawn</w:t>
      </w:r>
      <w:r w:rsidR="007B7640" w:rsidRPr="00CD59CC">
        <w:rPr>
          <w:rFonts w:ascii="Arial" w:hAnsi="Arial" w:cs="Arial"/>
          <w:iCs/>
        </w:rPr>
        <w:t xml:space="preserve"> </w:t>
      </w:r>
      <w:r w:rsidRPr="00CD59CC">
        <w:rPr>
          <w:rFonts w:ascii="Arial" w:hAnsi="Arial" w:cs="Arial"/>
          <w:iCs/>
        </w:rPr>
        <w:t>from</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result</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with</w:t>
      </w:r>
      <w:r w:rsidR="007B7640" w:rsidRPr="00CD59CC">
        <w:rPr>
          <w:rFonts w:ascii="Arial" w:hAnsi="Arial" w:cs="Arial"/>
          <w:iCs/>
        </w:rPr>
        <w:t xml:space="preserve"> </w:t>
      </w:r>
      <w:r w:rsidRPr="00CD59CC">
        <w:rPr>
          <w:rFonts w:ascii="Arial" w:hAnsi="Arial" w:cs="Arial"/>
          <w:iCs/>
        </w:rPr>
        <w:t>regard</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original</w:t>
      </w:r>
      <w:r w:rsidR="007B7640" w:rsidRPr="00CD59CC">
        <w:rPr>
          <w:rFonts w:ascii="Arial" w:hAnsi="Arial" w:cs="Arial"/>
          <w:iCs/>
        </w:rPr>
        <w:t xml:space="preserve"> </w:t>
      </w:r>
      <w:r w:rsidRPr="00CD59CC">
        <w:rPr>
          <w:rFonts w:ascii="Arial" w:hAnsi="Arial" w:cs="Arial"/>
          <w:iCs/>
        </w:rPr>
        <w:t>violation.</w:t>
      </w:r>
      <w:r w:rsidR="007B7640" w:rsidRPr="00CD59CC">
        <w:rPr>
          <w:rFonts w:ascii="Arial" w:hAnsi="Arial" w:cs="Arial"/>
          <w:iCs/>
        </w:rPr>
        <w:t xml:space="preserve"> </w:t>
      </w:r>
    </w:p>
    <w:p w14:paraId="1DD61026" w14:textId="77777777" w:rsidR="00E04499" w:rsidRPr="00CD59CC" w:rsidRDefault="00E04499" w:rsidP="00CD59CC">
      <w:pPr>
        <w:rPr>
          <w:rFonts w:ascii="Arial" w:hAnsi="Arial" w:cs="Arial"/>
          <w:iCs/>
        </w:rPr>
      </w:pPr>
    </w:p>
    <w:p w14:paraId="38363728" w14:textId="77777777" w:rsidR="00E04499" w:rsidRPr="00CD59CC" w:rsidRDefault="00E04499" w:rsidP="00CD59CC">
      <w:pPr>
        <w:rPr>
          <w:rFonts w:ascii="Arial" w:hAnsi="Arial" w:cs="Arial"/>
          <w:iCs/>
        </w:rPr>
      </w:pPr>
      <w:r w:rsidRPr="00CD59CC">
        <w:rPr>
          <w:rFonts w:ascii="Arial" w:hAnsi="Arial" w:cs="Arial"/>
          <w:iCs/>
        </w:rPr>
        <w:t>This</w:t>
      </w:r>
      <w:r w:rsidR="007B7640" w:rsidRPr="00CD59CC">
        <w:rPr>
          <w:rFonts w:ascii="Arial" w:hAnsi="Arial" w:cs="Arial"/>
          <w:iCs/>
        </w:rPr>
        <w:t xml:space="preserve"> </w:t>
      </w:r>
      <w:r w:rsidRPr="00CD59CC">
        <w:rPr>
          <w:rFonts w:ascii="Arial" w:hAnsi="Arial" w:cs="Arial"/>
          <w:iCs/>
        </w:rPr>
        <w:t>forced</w:t>
      </w:r>
      <w:r w:rsidR="007B7640" w:rsidRPr="00CD59CC">
        <w:rPr>
          <w:rFonts w:ascii="Arial" w:hAnsi="Arial" w:cs="Arial"/>
          <w:iCs/>
        </w:rPr>
        <w:t xml:space="preserve"> </w:t>
      </w:r>
      <w:r w:rsidRPr="00CD59CC">
        <w:rPr>
          <w:rFonts w:ascii="Arial" w:hAnsi="Arial" w:cs="Arial"/>
          <w:iCs/>
        </w:rPr>
        <w:t>NEKI</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change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strategy.</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new</w:t>
      </w:r>
      <w:r w:rsidR="007B7640" w:rsidRPr="00CD59CC">
        <w:rPr>
          <w:rFonts w:ascii="Arial" w:hAnsi="Arial" w:cs="Arial"/>
          <w:iCs/>
        </w:rPr>
        <w:t xml:space="preserve"> </w:t>
      </w:r>
      <w:r w:rsidRPr="00CD59CC">
        <w:rPr>
          <w:rFonts w:ascii="Arial" w:hAnsi="Arial" w:cs="Arial"/>
          <w:iCs/>
        </w:rPr>
        <w:t>method</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have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original</w:t>
      </w:r>
      <w:r w:rsidR="007B7640" w:rsidRPr="00CD59CC">
        <w:rPr>
          <w:rFonts w:ascii="Arial" w:hAnsi="Arial" w:cs="Arial"/>
          <w:iCs/>
        </w:rPr>
        <w:t xml:space="preserve"> </w:t>
      </w:r>
      <w:r w:rsidRPr="00CD59CC">
        <w:rPr>
          <w:rFonts w:ascii="Arial" w:hAnsi="Arial" w:cs="Arial"/>
          <w:iCs/>
        </w:rPr>
        <w:t>complainant</w:t>
      </w:r>
      <w:r w:rsidR="007B7640" w:rsidRPr="00CD59CC">
        <w:rPr>
          <w:rFonts w:ascii="Arial" w:hAnsi="Arial" w:cs="Arial"/>
          <w:iCs/>
        </w:rPr>
        <w:t xml:space="preserve"> </w:t>
      </w:r>
      <w:r w:rsidRPr="00CD59CC">
        <w:rPr>
          <w:rFonts w:ascii="Arial" w:hAnsi="Arial" w:cs="Arial"/>
          <w:iCs/>
        </w:rPr>
        <w:t>go</w:t>
      </w:r>
      <w:r w:rsidR="007B7640" w:rsidRPr="00CD59CC">
        <w:rPr>
          <w:rFonts w:ascii="Arial" w:hAnsi="Arial" w:cs="Arial"/>
          <w:iCs/>
        </w:rPr>
        <w:t xml:space="preserve"> </w:t>
      </w:r>
      <w:r w:rsidRPr="00CD59CC">
        <w:rPr>
          <w:rFonts w:ascii="Arial" w:hAnsi="Arial" w:cs="Arial"/>
          <w:iCs/>
        </w:rPr>
        <w:t>together</w:t>
      </w:r>
      <w:r w:rsidR="007B7640" w:rsidRPr="00CD59CC">
        <w:rPr>
          <w:rFonts w:ascii="Arial" w:hAnsi="Arial" w:cs="Arial"/>
          <w:iCs/>
        </w:rPr>
        <w:t xml:space="preserve"> </w:t>
      </w:r>
      <w:r w:rsidRPr="00CD59CC">
        <w:rPr>
          <w:rFonts w:ascii="Arial" w:hAnsi="Arial" w:cs="Arial"/>
          <w:iCs/>
        </w:rPr>
        <w:t>with</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if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discriminatory</w:t>
      </w:r>
      <w:r w:rsidR="007B7640" w:rsidRPr="00CD59CC">
        <w:rPr>
          <w:rFonts w:ascii="Arial" w:hAnsi="Arial" w:cs="Arial"/>
          <w:iCs/>
        </w:rPr>
        <w:t xml:space="preserve"> </w:t>
      </w:r>
      <w:r w:rsidRPr="00CD59CC">
        <w:rPr>
          <w:rFonts w:ascii="Arial" w:hAnsi="Arial" w:cs="Arial"/>
          <w:iCs/>
        </w:rPr>
        <w:t>act</w:t>
      </w:r>
      <w:r w:rsidR="007B7640" w:rsidRPr="00CD59CC">
        <w:rPr>
          <w:rFonts w:ascii="Arial" w:hAnsi="Arial" w:cs="Arial"/>
          <w:iCs/>
        </w:rPr>
        <w:t xml:space="preserve"> </w:t>
      </w:r>
      <w:r w:rsidRPr="00CD59CC">
        <w:rPr>
          <w:rFonts w:ascii="Arial" w:hAnsi="Arial" w:cs="Arial"/>
          <w:iCs/>
        </w:rPr>
        <w:t>(e.g.</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denial</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enter</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bar)</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repeated</w:t>
      </w:r>
      <w:r w:rsidR="007B7640" w:rsidRPr="00CD59CC">
        <w:rPr>
          <w:rFonts w:ascii="Arial" w:hAnsi="Arial" w:cs="Arial"/>
          <w:iCs/>
        </w:rPr>
        <w:t xml:space="preserve"> </w:t>
      </w:r>
      <w:r w:rsidRPr="00CD59CC">
        <w:rPr>
          <w:rFonts w:ascii="Arial" w:hAnsi="Arial" w:cs="Arial"/>
          <w:iCs/>
        </w:rPr>
        <w:t>with</w:t>
      </w:r>
      <w:r w:rsidR="007B7640" w:rsidRPr="00CD59CC">
        <w:rPr>
          <w:rFonts w:ascii="Arial" w:hAnsi="Arial" w:cs="Arial"/>
          <w:iCs/>
        </w:rPr>
        <w:t xml:space="preserve"> </w:t>
      </w:r>
      <w:r w:rsidRPr="00CD59CC">
        <w:rPr>
          <w:rFonts w:ascii="Arial" w:hAnsi="Arial" w:cs="Arial"/>
          <w:iCs/>
        </w:rPr>
        <w:t>regard</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complainant</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also</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Roma</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while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non-Roma</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are</w:t>
      </w:r>
      <w:r w:rsidR="007B7640" w:rsidRPr="00CD59CC">
        <w:rPr>
          <w:rFonts w:ascii="Arial" w:hAnsi="Arial" w:cs="Arial"/>
          <w:iCs/>
        </w:rPr>
        <w:t xml:space="preserve"> </w:t>
      </w:r>
      <w:r w:rsidRPr="00CD59CC">
        <w:rPr>
          <w:rFonts w:ascii="Arial" w:hAnsi="Arial" w:cs="Arial"/>
          <w:iCs/>
        </w:rPr>
        <w:t>let</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lawsuit</w:t>
      </w:r>
      <w:r w:rsidR="007B7640" w:rsidRPr="00CD59CC">
        <w:rPr>
          <w:rFonts w:ascii="Arial" w:hAnsi="Arial" w:cs="Arial"/>
          <w:iCs/>
        </w:rPr>
        <w:t xml:space="preserve"> </w:t>
      </w:r>
      <w:r w:rsidRPr="00CD59CC">
        <w:rPr>
          <w:rFonts w:ascii="Arial" w:hAnsi="Arial" w:cs="Arial"/>
          <w:iCs/>
        </w:rPr>
        <w:t>will</w:t>
      </w:r>
      <w:r w:rsidR="007B7640" w:rsidRPr="00CD59CC">
        <w:rPr>
          <w:rFonts w:ascii="Arial" w:hAnsi="Arial" w:cs="Arial"/>
          <w:iCs/>
        </w:rPr>
        <w:t xml:space="preserve"> </w:t>
      </w:r>
      <w:r w:rsidRPr="00CD59CC">
        <w:rPr>
          <w:rFonts w:ascii="Arial" w:hAnsi="Arial" w:cs="Arial"/>
          <w:iCs/>
        </w:rPr>
        <w:t>not</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launched</w:t>
      </w:r>
      <w:r w:rsidR="007B7640" w:rsidRPr="00CD59CC">
        <w:rPr>
          <w:rFonts w:ascii="Arial" w:hAnsi="Arial" w:cs="Arial"/>
          <w:iCs/>
        </w:rPr>
        <w:t xml:space="preserve"> </w:t>
      </w:r>
      <w:r w:rsidRPr="00CD59CC">
        <w:rPr>
          <w:rFonts w:ascii="Arial" w:hAnsi="Arial" w:cs="Arial"/>
          <w:iCs/>
        </w:rPr>
        <w:t>for</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first</w:t>
      </w:r>
      <w:r w:rsidR="007B7640" w:rsidRPr="00CD59CC">
        <w:rPr>
          <w:rFonts w:ascii="Arial" w:hAnsi="Arial" w:cs="Arial"/>
          <w:iCs/>
        </w:rPr>
        <w:t xml:space="preserve"> </w:t>
      </w:r>
      <w:r w:rsidRPr="00CD59CC">
        <w:rPr>
          <w:rFonts w:ascii="Arial" w:hAnsi="Arial" w:cs="Arial"/>
          <w:iCs/>
        </w:rPr>
        <w:t>discriminatory</w:t>
      </w:r>
      <w:r w:rsidR="007B7640" w:rsidRPr="00CD59CC">
        <w:rPr>
          <w:rFonts w:ascii="Arial" w:hAnsi="Arial" w:cs="Arial"/>
          <w:iCs/>
        </w:rPr>
        <w:t xml:space="preserve"> </w:t>
      </w:r>
      <w:r w:rsidRPr="00CD59CC">
        <w:rPr>
          <w:rFonts w:ascii="Arial" w:hAnsi="Arial" w:cs="Arial"/>
          <w:iCs/>
        </w:rPr>
        <w:t>act,</w:t>
      </w:r>
      <w:r w:rsidR="007B7640" w:rsidRPr="00CD59CC">
        <w:rPr>
          <w:rFonts w:ascii="Arial" w:hAnsi="Arial" w:cs="Arial"/>
          <w:iCs/>
        </w:rPr>
        <w:t xml:space="preserve"> </w:t>
      </w:r>
      <w:r w:rsidRPr="00CD59CC">
        <w:rPr>
          <w:rFonts w:ascii="Arial" w:hAnsi="Arial" w:cs="Arial"/>
          <w:iCs/>
        </w:rPr>
        <w:t>but</w:t>
      </w:r>
      <w:r w:rsidR="007B7640" w:rsidRPr="00CD59CC">
        <w:rPr>
          <w:rFonts w:ascii="Arial" w:hAnsi="Arial" w:cs="Arial"/>
          <w:iCs/>
        </w:rPr>
        <w:t xml:space="preserve"> </w:t>
      </w:r>
      <w:r w:rsidRPr="00CD59CC">
        <w:rPr>
          <w:rFonts w:ascii="Arial" w:hAnsi="Arial" w:cs="Arial"/>
          <w:iCs/>
        </w:rPr>
        <w:t>for</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second,</w:t>
      </w:r>
      <w:r w:rsidR="007B7640" w:rsidRPr="00CD59CC">
        <w:rPr>
          <w:rFonts w:ascii="Arial" w:hAnsi="Arial" w:cs="Arial"/>
          <w:iCs/>
        </w:rPr>
        <w:t xml:space="preserve"> </w:t>
      </w:r>
      <w:r w:rsidRPr="00CD59CC">
        <w:rPr>
          <w:rFonts w:ascii="Arial" w:hAnsi="Arial" w:cs="Arial"/>
          <w:iCs/>
        </w:rPr>
        <w:t>where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testimonies</w:t>
      </w:r>
      <w:r w:rsidR="007B7640" w:rsidRPr="00CD59CC">
        <w:rPr>
          <w:rFonts w:ascii="Arial" w:hAnsi="Arial" w:cs="Arial"/>
          <w:iCs/>
        </w:rPr>
        <w:t xml:space="preserve"> </w:t>
      </w:r>
      <w:r w:rsidRPr="00CD59CC">
        <w:rPr>
          <w:rFonts w:ascii="Arial" w:hAnsi="Arial" w:cs="Arial"/>
          <w:iCs/>
        </w:rPr>
        <w:t>can</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used</w:t>
      </w:r>
      <w:r w:rsidR="007B7640" w:rsidRPr="00CD59CC">
        <w:rPr>
          <w:rFonts w:ascii="Arial" w:hAnsi="Arial" w:cs="Arial"/>
          <w:iCs/>
        </w:rPr>
        <w:t xml:space="preserve"> </w:t>
      </w:r>
      <w:r w:rsidRPr="00CD59CC">
        <w:rPr>
          <w:rFonts w:ascii="Arial" w:hAnsi="Arial" w:cs="Arial"/>
          <w:iCs/>
        </w:rPr>
        <w:t>as</w:t>
      </w:r>
      <w:r w:rsidR="007B7640" w:rsidRPr="00CD59CC">
        <w:rPr>
          <w:rFonts w:ascii="Arial" w:hAnsi="Arial" w:cs="Arial"/>
          <w:iCs/>
        </w:rPr>
        <w:t xml:space="preserve"> </w:t>
      </w:r>
      <w:r w:rsidRPr="00CD59CC">
        <w:rPr>
          <w:rFonts w:ascii="Arial" w:hAnsi="Arial" w:cs="Arial"/>
          <w:iCs/>
        </w:rPr>
        <w:t>direct,</w:t>
      </w:r>
      <w:r w:rsidR="007B7640" w:rsidRPr="00CD59CC">
        <w:rPr>
          <w:rFonts w:ascii="Arial" w:hAnsi="Arial" w:cs="Arial"/>
          <w:iCs/>
        </w:rPr>
        <w:t xml:space="preserve"> </w:t>
      </w:r>
      <w:r w:rsidRPr="00CD59CC">
        <w:rPr>
          <w:rFonts w:ascii="Arial" w:hAnsi="Arial" w:cs="Arial"/>
          <w:iCs/>
        </w:rPr>
        <w:t>first-hand</w:t>
      </w:r>
      <w:r w:rsidR="007B7640" w:rsidRPr="00CD59CC">
        <w:rPr>
          <w:rFonts w:ascii="Arial" w:hAnsi="Arial" w:cs="Arial"/>
          <w:iCs/>
        </w:rPr>
        <w:t xml:space="preserve"> </w:t>
      </w:r>
      <w:r w:rsidRPr="00CD59CC">
        <w:rPr>
          <w:rFonts w:ascii="Arial" w:hAnsi="Arial" w:cs="Arial"/>
          <w:iCs/>
        </w:rPr>
        <w:t>evidence.</w:t>
      </w:r>
    </w:p>
    <w:p w14:paraId="12EEB999" w14:textId="77777777" w:rsidR="00E04499" w:rsidRPr="00CD59CC" w:rsidRDefault="00E04499" w:rsidP="00CD59CC">
      <w:pPr>
        <w:rPr>
          <w:rFonts w:ascii="Arial" w:hAnsi="Arial" w:cs="Arial"/>
          <w:iCs/>
        </w:rPr>
      </w:pPr>
    </w:p>
    <w:p w14:paraId="6B52E1AB" w14:textId="77777777" w:rsidR="00E04499" w:rsidRPr="00CD59CC" w:rsidRDefault="00E04499" w:rsidP="00CD59CC">
      <w:pPr>
        <w:rPr>
          <w:rFonts w:ascii="Arial" w:hAnsi="Arial" w:cs="Arial"/>
          <w:iCs/>
        </w:rPr>
      </w:pPr>
      <w:r w:rsidRPr="00CD59CC">
        <w:rPr>
          <w:rFonts w:ascii="Arial" w:hAnsi="Arial" w:cs="Arial"/>
          <w:iCs/>
        </w:rPr>
        <w:t>Another</w:t>
      </w:r>
      <w:r w:rsidR="007B7640" w:rsidRPr="00CD59CC">
        <w:rPr>
          <w:rFonts w:ascii="Arial" w:hAnsi="Arial" w:cs="Arial"/>
          <w:iCs/>
        </w:rPr>
        <w:t xml:space="preserve"> </w:t>
      </w:r>
      <w:r w:rsidRPr="00CD59CC">
        <w:rPr>
          <w:rFonts w:ascii="Arial" w:hAnsi="Arial" w:cs="Arial"/>
          <w:iCs/>
        </w:rPr>
        <w:t>criticism</w:t>
      </w:r>
      <w:r w:rsidR="007B7640" w:rsidRPr="00CD59CC">
        <w:rPr>
          <w:rFonts w:ascii="Arial" w:hAnsi="Arial" w:cs="Arial"/>
          <w:iCs/>
        </w:rPr>
        <w:t xml:space="preserve"> </w:t>
      </w:r>
      <w:r w:rsidRPr="00CD59CC">
        <w:rPr>
          <w:rFonts w:ascii="Arial" w:hAnsi="Arial" w:cs="Arial"/>
          <w:iCs/>
        </w:rPr>
        <w:t>voiced</w:t>
      </w:r>
      <w:r w:rsidR="007B7640" w:rsidRPr="00CD59CC">
        <w:rPr>
          <w:rFonts w:ascii="Arial" w:hAnsi="Arial" w:cs="Arial"/>
          <w:iCs/>
        </w:rPr>
        <w:t xml:space="preserve"> </w:t>
      </w:r>
      <w:r w:rsidRPr="00CD59CC">
        <w:rPr>
          <w:rFonts w:ascii="Arial" w:hAnsi="Arial" w:cs="Arial"/>
          <w:iCs/>
        </w:rPr>
        <w:t>by</w:t>
      </w:r>
      <w:r w:rsidR="007B7640" w:rsidRPr="00CD59CC">
        <w:rPr>
          <w:rFonts w:ascii="Arial" w:hAnsi="Arial" w:cs="Arial"/>
          <w:iCs/>
        </w:rPr>
        <w:t xml:space="preserve"> </w:t>
      </w:r>
      <w:r w:rsidRPr="00CD59CC">
        <w:rPr>
          <w:rFonts w:ascii="Arial" w:hAnsi="Arial" w:cs="Arial"/>
          <w:iCs/>
        </w:rPr>
        <w:t>some</w:t>
      </w:r>
      <w:r w:rsidR="007B7640" w:rsidRPr="00CD59CC">
        <w:rPr>
          <w:rFonts w:ascii="Arial" w:hAnsi="Arial" w:cs="Arial"/>
          <w:iCs/>
        </w:rPr>
        <w:t xml:space="preserve"> </w:t>
      </w:r>
      <w:r w:rsidRPr="00CD59CC">
        <w:rPr>
          <w:rFonts w:ascii="Arial" w:hAnsi="Arial" w:cs="Arial"/>
          <w:iCs/>
        </w:rPr>
        <w:t>judges</w:t>
      </w:r>
      <w:r w:rsidR="007B7640" w:rsidRPr="00CD59CC">
        <w:rPr>
          <w:rFonts w:ascii="Arial" w:hAnsi="Arial" w:cs="Arial"/>
          <w:iCs/>
        </w:rPr>
        <w:t xml:space="preserve"> </w:t>
      </w:r>
      <w:r w:rsidRPr="00CD59CC">
        <w:rPr>
          <w:rFonts w:ascii="Arial" w:hAnsi="Arial" w:cs="Arial"/>
          <w:iCs/>
        </w:rPr>
        <w:t>was</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are</w:t>
      </w:r>
      <w:r w:rsidR="007B7640" w:rsidRPr="00CD59CC">
        <w:rPr>
          <w:rFonts w:ascii="Arial" w:hAnsi="Arial" w:cs="Arial"/>
          <w:iCs/>
        </w:rPr>
        <w:t xml:space="preserve"> </w:t>
      </w:r>
      <w:r w:rsidRPr="00CD59CC">
        <w:rPr>
          <w:rFonts w:ascii="Arial" w:hAnsi="Arial" w:cs="Arial"/>
          <w:iCs/>
        </w:rPr>
        <w:t>agents</w:t>
      </w:r>
      <w:r w:rsidR="007B7640" w:rsidRPr="00CD59CC">
        <w:rPr>
          <w:rFonts w:ascii="Arial" w:hAnsi="Arial" w:cs="Arial"/>
          <w:iCs/>
        </w:rPr>
        <w:t xml:space="preserve"> </w:t>
      </w:r>
      <w:r w:rsidRPr="00CD59CC">
        <w:rPr>
          <w:rFonts w:ascii="Arial" w:hAnsi="Arial" w:cs="Arial"/>
          <w:iCs/>
        </w:rPr>
        <w:t>provocateurs</w:t>
      </w:r>
      <w:r w:rsidR="007B7640" w:rsidRPr="00CD59CC">
        <w:rPr>
          <w:rFonts w:ascii="Arial" w:hAnsi="Arial" w:cs="Arial"/>
          <w:iCs/>
        </w:rPr>
        <w:t xml:space="preserve"> </w:t>
      </w:r>
      <w:r w:rsidRPr="00CD59CC">
        <w:rPr>
          <w:rFonts w:ascii="Arial" w:hAnsi="Arial" w:cs="Arial"/>
          <w:iCs/>
        </w:rPr>
        <w:t>paid</w:t>
      </w:r>
      <w:r w:rsidR="007B7640" w:rsidRPr="00CD59CC">
        <w:rPr>
          <w:rFonts w:ascii="Arial" w:hAnsi="Arial" w:cs="Arial"/>
          <w:iCs/>
        </w:rPr>
        <w:t xml:space="preserve"> </w:t>
      </w:r>
      <w:r w:rsidRPr="00CD59CC">
        <w:rPr>
          <w:rFonts w:ascii="Arial" w:hAnsi="Arial" w:cs="Arial"/>
          <w:iCs/>
        </w:rPr>
        <w:t>by</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plaintiff</w:t>
      </w:r>
      <w:r w:rsidR="007B7640" w:rsidRPr="00CD59CC">
        <w:rPr>
          <w:rFonts w:ascii="Arial" w:hAnsi="Arial" w:cs="Arial"/>
          <w:iCs/>
        </w:rPr>
        <w:t xml:space="preserve"> </w:t>
      </w:r>
      <w:r w:rsidRPr="00CD59CC">
        <w:rPr>
          <w:rFonts w:ascii="Arial" w:hAnsi="Arial" w:cs="Arial"/>
          <w:iCs/>
        </w:rPr>
        <w:t>(or</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NGO</w:t>
      </w:r>
      <w:r w:rsidR="007B7640" w:rsidRPr="00CD59CC">
        <w:rPr>
          <w:rFonts w:ascii="Arial" w:hAnsi="Arial" w:cs="Arial"/>
          <w:iCs/>
        </w:rPr>
        <w:t xml:space="preserve"> </w:t>
      </w:r>
      <w:r w:rsidRPr="00CD59CC">
        <w:rPr>
          <w:rFonts w:ascii="Arial" w:hAnsi="Arial" w:cs="Arial"/>
          <w:iCs/>
        </w:rPr>
        <w:t>representing</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plaintiff),</w:t>
      </w:r>
      <w:r w:rsidR="007B7640" w:rsidRPr="00CD59CC">
        <w:rPr>
          <w:rFonts w:ascii="Arial" w:hAnsi="Arial" w:cs="Arial"/>
          <w:iCs/>
        </w:rPr>
        <w:t xml:space="preserve"> </w:t>
      </w:r>
      <w:r w:rsidRPr="00CD59CC">
        <w:rPr>
          <w:rFonts w:ascii="Arial" w:hAnsi="Arial" w:cs="Arial"/>
          <w:iCs/>
        </w:rPr>
        <w:t>so</w:t>
      </w:r>
      <w:r w:rsidR="007B7640" w:rsidRPr="00CD59CC">
        <w:rPr>
          <w:rFonts w:ascii="Arial" w:hAnsi="Arial" w:cs="Arial"/>
          <w:iCs/>
        </w:rPr>
        <w:t xml:space="preserve"> </w:t>
      </w:r>
      <w:r w:rsidRPr="00CD59CC">
        <w:rPr>
          <w:rFonts w:ascii="Arial" w:hAnsi="Arial" w:cs="Arial"/>
          <w:iCs/>
        </w:rPr>
        <w:t>serious</w:t>
      </w:r>
      <w:r w:rsidR="007B7640" w:rsidRPr="00CD59CC">
        <w:rPr>
          <w:rFonts w:ascii="Arial" w:hAnsi="Arial" w:cs="Arial"/>
          <w:iCs/>
        </w:rPr>
        <w:t xml:space="preserve"> </w:t>
      </w:r>
      <w:r w:rsidRPr="00CD59CC">
        <w:rPr>
          <w:rFonts w:ascii="Arial" w:hAnsi="Arial" w:cs="Arial"/>
          <w:iCs/>
        </w:rPr>
        <w:t>doubts</w:t>
      </w:r>
      <w:r w:rsidR="007B7640" w:rsidRPr="00CD59CC">
        <w:rPr>
          <w:rFonts w:ascii="Arial" w:hAnsi="Arial" w:cs="Arial"/>
          <w:iCs/>
        </w:rPr>
        <w:t xml:space="preserve"> </w:t>
      </w:r>
      <w:r w:rsidRPr="00CD59CC">
        <w:rPr>
          <w:rFonts w:ascii="Arial" w:hAnsi="Arial" w:cs="Arial"/>
          <w:iCs/>
        </w:rPr>
        <w:t>are</w:t>
      </w:r>
      <w:r w:rsidR="007B7640" w:rsidRPr="00CD59CC">
        <w:rPr>
          <w:rFonts w:ascii="Arial" w:hAnsi="Arial" w:cs="Arial"/>
          <w:iCs/>
        </w:rPr>
        <w:t xml:space="preserve"> </w:t>
      </w:r>
      <w:r w:rsidRPr="00CD59CC">
        <w:rPr>
          <w:rFonts w:ascii="Arial" w:hAnsi="Arial" w:cs="Arial"/>
          <w:iCs/>
        </w:rPr>
        <w:t>cast</w:t>
      </w:r>
      <w:r w:rsidR="007B7640" w:rsidRPr="00CD59CC">
        <w:rPr>
          <w:rFonts w:ascii="Arial" w:hAnsi="Arial" w:cs="Arial"/>
          <w:iCs/>
        </w:rPr>
        <w:t xml:space="preserve"> </w:t>
      </w:r>
      <w:r w:rsidRPr="00CD59CC">
        <w:rPr>
          <w:rFonts w:ascii="Arial" w:hAnsi="Arial" w:cs="Arial"/>
          <w:iCs/>
        </w:rPr>
        <w:t>on</w:t>
      </w:r>
      <w:r w:rsidR="007B7640" w:rsidRPr="00CD59CC">
        <w:rPr>
          <w:rFonts w:ascii="Arial" w:hAnsi="Arial" w:cs="Arial"/>
          <w:iCs/>
        </w:rPr>
        <w:t xml:space="preserve"> </w:t>
      </w:r>
      <w:r w:rsidRPr="00CD59CC">
        <w:rPr>
          <w:rFonts w:ascii="Arial" w:hAnsi="Arial" w:cs="Arial"/>
          <w:iCs/>
        </w:rPr>
        <w:t>their</w:t>
      </w:r>
      <w:r w:rsidR="007B7640" w:rsidRPr="00CD59CC">
        <w:rPr>
          <w:rFonts w:ascii="Arial" w:hAnsi="Arial" w:cs="Arial"/>
          <w:iCs/>
        </w:rPr>
        <w:t xml:space="preserve"> </w:t>
      </w:r>
      <w:r w:rsidRPr="00CD59CC">
        <w:rPr>
          <w:rFonts w:ascii="Arial" w:hAnsi="Arial" w:cs="Arial"/>
          <w:iCs/>
        </w:rPr>
        <w:t>credibility.</w:t>
      </w:r>
      <w:r w:rsidR="007B7640" w:rsidRPr="00CD59CC">
        <w:rPr>
          <w:rFonts w:ascii="Arial" w:hAnsi="Arial" w:cs="Arial"/>
          <w:iCs/>
        </w:rPr>
        <w:t xml:space="preserve"> </w:t>
      </w:r>
      <w:r w:rsidRPr="00CD59CC">
        <w:rPr>
          <w:rFonts w:ascii="Arial" w:hAnsi="Arial" w:cs="Arial"/>
          <w:iCs/>
        </w:rPr>
        <w:t>This</w:t>
      </w:r>
      <w:r w:rsidR="007B7640" w:rsidRPr="00CD59CC">
        <w:rPr>
          <w:rFonts w:ascii="Arial" w:hAnsi="Arial" w:cs="Arial"/>
          <w:iCs/>
        </w:rPr>
        <w:t xml:space="preserve"> </w:t>
      </w:r>
      <w:r w:rsidRPr="00CD59CC">
        <w:rPr>
          <w:rFonts w:ascii="Arial" w:hAnsi="Arial" w:cs="Arial"/>
          <w:iCs/>
        </w:rPr>
        <w:t>consideration</w:t>
      </w:r>
      <w:r w:rsidR="007B7640" w:rsidRPr="00CD59CC">
        <w:rPr>
          <w:rFonts w:ascii="Arial" w:hAnsi="Arial" w:cs="Arial"/>
          <w:iCs/>
        </w:rPr>
        <w:t xml:space="preserve"> </w:t>
      </w:r>
      <w:r w:rsidRPr="00CD59CC">
        <w:rPr>
          <w:rFonts w:ascii="Arial" w:hAnsi="Arial" w:cs="Arial"/>
          <w:iCs/>
        </w:rPr>
        <w:t>however</w:t>
      </w:r>
      <w:r w:rsidR="007B7640" w:rsidRPr="00CD59CC">
        <w:rPr>
          <w:rFonts w:ascii="Arial" w:hAnsi="Arial" w:cs="Arial"/>
          <w:iCs/>
        </w:rPr>
        <w:t xml:space="preserve"> </w:t>
      </w:r>
      <w:r w:rsidRPr="00CD59CC">
        <w:rPr>
          <w:rFonts w:ascii="Arial" w:hAnsi="Arial" w:cs="Arial"/>
          <w:iCs/>
        </w:rPr>
        <w:t>did</w:t>
      </w:r>
      <w:r w:rsidR="007B7640" w:rsidRPr="00CD59CC">
        <w:rPr>
          <w:rFonts w:ascii="Arial" w:hAnsi="Arial" w:cs="Arial"/>
          <w:iCs/>
        </w:rPr>
        <w:t xml:space="preserve"> </w:t>
      </w:r>
      <w:r w:rsidRPr="00CD59CC">
        <w:rPr>
          <w:rFonts w:ascii="Arial" w:hAnsi="Arial" w:cs="Arial"/>
          <w:iCs/>
        </w:rPr>
        <w:t>not</w:t>
      </w:r>
      <w:r w:rsidR="007B7640" w:rsidRPr="00CD59CC">
        <w:rPr>
          <w:rFonts w:ascii="Arial" w:hAnsi="Arial" w:cs="Arial"/>
          <w:iCs/>
        </w:rPr>
        <w:t xml:space="preserve"> </w:t>
      </w:r>
      <w:r w:rsidRPr="00CD59CC">
        <w:rPr>
          <w:rFonts w:ascii="Arial" w:hAnsi="Arial" w:cs="Arial"/>
          <w:iCs/>
        </w:rPr>
        <w:t>prevent</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Supreme</w:t>
      </w:r>
      <w:r w:rsidR="007B7640" w:rsidRPr="00CD59CC">
        <w:rPr>
          <w:rFonts w:ascii="Arial" w:hAnsi="Arial" w:cs="Arial"/>
          <w:iCs/>
        </w:rPr>
        <w:t xml:space="preserve"> </w:t>
      </w:r>
      <w:r w:rsidRPr="00CD59CC">
        <w:rPr>
          <w:rFonts w:ascii="Arial" w:hAnsi="Arial" w:cs="Arial"/>
          <w:iCs/>
        </w:rPr>
        <w:t>Court</w:t>
      </w:r>
      <w:r w:rsidR="007B7640" w:rsidRPr="00CD59CC">
        <w:rPr>
          <w:rFonts w:ascii="Arial" w:hAnsi="Arial" w:cs="Arial"/>
          <w:iCs/>
        </w:rPr>
        <w:t xml:space="preserve"> </w:t>
      </w:r>
      <w:r w:rsidRPr="00CD59CC">
        <w:rPr>
          <w:rFonts w:ascii="Arial" w:hAnsi="Arial" w:cs="Arial"/>
          <w:iCs/>
        </w:rPr>
        <w:t>from</w:t>
      </w:r>
      <w:r w:rsidR="007B7640" w:rsidRPr="00CD59CC">
        <w:rPr>
          <w:rFonts w:ascii="Arial" w:hAnsi="Arial" w:cs="Arial"/>
          <w:iCs/>
        </w:rPr>
        <w:t xml:space="preserve"> </w:t>
      </w:r>
      <w:r w:rsidRPr="00CD59CC">
        <w:rPr>
          <w:rFonts w:ascii="Arial" w:hAnsi="Arial" w:cs="Arial"/>
          <w:iCs/>
        </w:rPr>
        <w:t>accepting</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testimonies</w:t>
      </w:r>
      <w:r w:rsidR="007B7640" w:rsidRPr="00CD59CC">
        <w:rPr>
          <w:rFonts w:ascii="Arial" w:hAnsi="Arial" w:cs="Arial"/>
          <w:iCs/>
        </w:rPr>
        <w:t xml:space="preserve"> </w:t>
      </w:r>
      <w:r w:rsidRPr="00CD59CC">
        <w:rPr>
          <w:rFonts w:ascii="Arial" w:hAnsi="Arial" w:cs="Arial"/>
          <w:iCs/>
        </w:rPr>
        <w:t>given</w:t>
      </w:r>
      <w:r w:rsidR="007B7640" w:rsidRPr="00CD59CC">
        <w:rPr>
          <w:rFonts w:ascii="Arial" w:hAnsi="Arial" w:cs="Arial"/>
          <w:iCs/>
        </w:rPr>
        <w:t xml:space="preserve"> </w:t>
      </w:r>
      <w:r w:rsidRPr="00CD59CC">
        <w:rPr>
          <w:rFonts w:ascii="Arial" w:hAnsi="Arial" w:cs="Arial"/>
          <w:iCs/>
        </w:rPr>
        <w:t>by</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number</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important</w:t>
      </w:r>
      <w:r w:rsidR="007B7640" w:rsidRPr="00CD59CC">
        <w:rPr>
          <w:rFonts w:ascii="Arial" w:hAnsi="Arial" w:cs="Arial"/>
          <w:iCs/>
        </w:rPr>
        <w:t xml:space="preserve"> </w:t>
      </w:r>
      <w:r w:rsidRPr="00CD59CC">
        <w:rPr>
          <w:rFonts w:ascii="Arial" w:hAnsi="Arial" w:cs="Arial"/>
          <w:iCs/>
        </w:rPr>
        <w:t>discrimination</w:t>
      </w:r>
      <w:r w:rsidR="007B7640" w:rsidRPr="00CD59CC">
        <w:rPr>
          <w:rFonts w:ascii="Arial" w:hAnsi="Arial" w:cs="Arial"/>
          <w:iCs/>
        </w:rPr>
        <w:t xml:space="preserve"> </w:t>
      </w:r>
      <w:r w:rsidRPr="00CD59CC">
        <w:rPr>
          <w:rFonts w:ascii="Arial" w:hAnsi="Arial" w:cs="Arial"/>
          <w:iCs/>
        </w:rPr>
        <w:t>cases</w:t>
      </w:r>
      <w:r w:rsidR="007B7640" w:rsidRPr="00CD59CC">
        <w:rPr>
          <w:rFonts w:ascii="Arial" w:hAnsi="Arial" w:cs="Arial"/>
          <w:iCs/>
        </w:rPr>
        <w:t xml:space="preserve"> </w:t>
      </w:r>
      <w:r w:rsidRPr="00CD59CC">
        <w:rPr>
          <w:rFonts w:ascii="Arial" w:hAnsi="Arial" w:cs="Arial"/>
          <w:iCs/>
        </w:rPr>
        <w:t>[see</w:t>
      </w:r>
      <w:r w:rsidR="007B7640" w:rsidRPr="00CD59CC">
        <w:rPr>
          <w:rFonts w:ascii="Arial" w:hAnsi="Arial" w:cs="Arial"/>
          <w:iCs/>
        </w:rPr>
        <w:t xml:space="preserve"> </w:t>
      </w:r>
      <w:r w:rsidRPr="00CD59CC">
        <w:rPr>
          <w:rFonts w:ascii="Arial" w:hAnsi="Arial" w:cs="Arial"/>
          <w:iCs/>
        </w:rPr>
        <w:t>below,</w:t>
      </w:r>
      <w:r w:rsidR="007B7640" w:rsidRPr="00CD59CC">
        <w:rPr>
          <w:rFonts w:ascii="Arial" w:hAnsi="Arial" w:cs="Arial"/>
          <w:iCs/>
        </w:rPr>
        <w:t xml:space="preserve"> </w:t>
      </w:r>
      <w:r w:rsidRPr="00CD59CC">
        <w:rPr>
          <w:rFonts w:ascii="Arial" w:hAnsi="Arial" w:cs="Arial"/>
          <w:iCs/>
        </w:rPr>
        <w:t>under</w:t>
      </w:r>
      <w:r w:rsidR="007B7640" w:rsidRPr="00CD59CC">
        <w:rPr>
          <w:rFonts w:ascii="Arial" w:hAnsi="Arial" w:cs="Arial"/>
          <w:iCs/>
        </w:rPr>
        <w:t xml:space="preserve"> </w:t>
      </w:r>
      <w:r w:rsidRPr="00CD59CC">
        <w:rPr>
          <w:rFonts w:ascii="Arial" w:hAnsi="Arial" w:cs="Arial"/>
          <w:iCs/>
        </w:rPr>
        <w:t>point</w:t>
      </w:r>
      <w:r w:rsidR="007B7640" w:rsidRPr="00CD59CC">
        <w:rPr>
          <w:rFonts w:ascii="Arial" w:hAnsi="Arial" w:cs="Arial"/>
          <w:iCs/>
        </w:rPr>
        <w:t xml:space="preserve"> </w:t>
      </w:r>
      <w:r w:rsidRPr="00CD59CC">
        <w:rPr>
          <w:rFonts w:ascii="Arial" w:hAnsi="Arial" w:cs="Arial"/>
          <w:iCs/>
        </w:rPr>
        <w:t>d)].</w:t>
      </w:r>
    </w:p>
    <w:p w14:paraId="06BACEC8" w14:textId="77777777" w:rsidR="00E04499" w:rsidRPr="00CD59CC" w:rsidRDefault="00E04499" w:rsidP="00CD59CC">
      <w:pPr>
        <w:rPr>
          <w:rFonts w:ascii="Arial" w:hAnsi="Arial" w:cs="Arial"/>
          <w:iCs/>
        </w:rPr>
      </w:pPr>
      <w:r w:rsidRPr="00CD59CC">
        <w:rPr>
          <w:rFonts w:ascii="Arial" w:hAnsi="Arial" w:cs="Arial"/>
          <w:iCs/>
        </w:rPr>
        <w:lastRenderedPageBreak/>
        <w:t>To</w:t>
      </w:r>
      <w:r w:rsidR="007B7640" w:rsidRPr="00CD59CC">
        <w:rPr>
          <w:rFonts w:ascii="Arial" w:hAnsi="Arial" w:cs="Arial"/>
          <w:iCs/>
        </w:rPr>
        <w:t xml:space="preserve"> </w:t>
      </w:r>
      <w:r w:rsidRPr="00CD59CC">
        <w:rPr>
          <w:rFonts w:ascii="Arial" w:hAnsi="Arial" w:cs="Arial"/>
          <w:iCs/>
        </w:rPr>
        <w:t>summarize,</w:t>
      </w:r>
      <w:r w:rsidR="007B7640" w:rsidRPr="00CD59CC">
        <w:rPr>
          <w:rFonts w:ascii="Arial" w:hAnsi="Arial" w:cs="Arial"/>
          <w:iCs/>
        </w:rPr>
        <w:t xml:space="preserve"> </w:t>
      </w:r>
      <w:r w:rsidRPr="00CD59CC">
        <w:rPr>
          <w:rFonts w:ascii="Arial" w:hAnsi="Arial" w:cs="Arial"/>
          <w:iCs/>
        </w:rPr>
        <w:t>we</w:t>
      </w:r>
      <w:r w:rsidR="007B7640" w:rsidRPr="00CD59CC">
        <w:rPr>
          <w:rFonts w:ascii="Arial" w:hAnsi="Arial" w:cs="Arial"/>
          <w:iCs/>
        </w:rPr>
        <w:t xml:space="preserve"> </w:t>
      </w:r>
      <w:r w:rsidRPr="00CD59CC">
        <w:rPr>
          <w:rFonts w:ascii="Arial" w:hAnsi="Arial" w:cs="Arial"/>
          <w:iCs/>
        </w:rPr>
        <w:t>can</w:t>
      </w:r>
      <w:r w:rsidR="007B7640" w:rsidRPr="00CD59CC">
        <w:rPr>
          <w:rFonts w:ascii="Arial" w:hAnsi="Arial" w:cs="Arial"/>
          <w:iCs/>
        </w:rPr>
        <w:t xml:space="preserve"> </w:t>
      </w:r>
      <w:r w:rsidRPr="00CD59CC">
        <w:rPr>
          <w:rFonts w:ascii="Arial" w:hAnsi="Arial" w:cs="Arial"/>
          <w:iCs/>
        </w:rPr>
        <w:t>say</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there</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no</w:t>
      </w:r>
      <w:r w:rsidR="007B7640" w:rsidRPr="00CD59CC">
        <w:rPr>
          <w:rFonts w:ascii="Arial" w:hAnsi="Arial" w:cs="Arial"/>
          <w:iCs/>
        </w:rPr>
        <w:t xml:space="preserve"> </w:t>
      </w:r>
      <w:r w:rsidRPr="00CD59CC">
        <w:rPr>
          <w:rFonts w:ascii="Arial" w:hAnsi="Arial" w:cs="Arial"/>
          <w:iCs/>
        </w:rPr>
        <w:t>judicial</w:t>
      </w:r>
      <w:r w:rsidR="007B7640" w:rsidRPr="00CD59CC">
        <w:rPr>
          <w:rFonts w:ascii="Arial" w:hAnsi="Arial" w:cs="Arial"/>
          <w:iCs/>
        </w:rPr>
        <w:t xml:space="preserve"> </w:t>
      </w:r>
      <w:r w:rsidRPr="00CD59CC">
        <w:rPr>
          <w:rFonts w:ascii="Arial" w:hAnsi="Arial" w:cs="Arial"/>
          <w:iCs/>
        </w:rPr>
        <w:t>reluctance</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accept</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result</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situational</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but</w:t>
      </w:r>
      <w:r w:rsidR="007B7640" w:rsidRPr="00CD59CC">
        <w:rPr>
          <w:rFonts w:ascii="Arial" w:hAnsi="Arial" w:cs="Arial"/>
          <w:iCs/>
        </w:rPr>
        <w:t xml:space="preserve"> </w:t>
      </w:r>
      <w:r w:rsidRPr="00CD59CC">
        <w:rPr>
          <w:rFonts w:ascii="Arial" w:hAnsi="Arial" w:cs="Arial"/>
          <w:iCs/>
        </w:rPr>
        <w:t>this</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so</w:t>
      </w:r>
      <w:r w:rsidR="007B7640" w:rsidRPr="00CD59CC">
        <w:rPr>
          <w:rFonts w:ascii="Arial" w:hAnsi="Arial" w:cs="Arial"/>
          <w:iCs/>
        </w:rPr>
        <w:t xml:space="preserve"> </w:t>
      </w:r>
      <w:r w:rsidRPr="00CD59CC">
        <w:rPr>
          <w:rFonts w:ascii="Arial" w:hAnsi="Arial" w:cs="Arial"/>
          <w:iCs/>
        </w:rPr>
        <w:t>only</w:t>
      </w:r>
      <w:r w:rsidR="007B7640" w:rsidRPr="00CD59CC">
        <w:rPr>
          <w:rFonts w:ascii="Arial" w:hAnsi="Arial" w:cs="Arial"/>
          <w:iCs/>
        </w:rPr>
        <w:t xml:space="preserve"> </w:t>
      </w:r>
      <w:r w:rsidRPr="00CD59CC">
        <w:rPr>
          <w:rFonts w:ascii="Arial" w:hAnsi="Arial" w:cs="Arial"/>
          <w:iCs/>
        </w:rPr>
        <w:t>with</w:t>
      </w:r>
      <w:r w:rsidR="007B7640" w:rsidRPr="00CD59CC">
        <w:rPr>
          <w:rFonts w:ascii="Arial" w:hAnsi="Arial" w:cs="Arial"/>
          <w:iCs/>
        </w:rPr>
        <w:t xml:space="preserve"> </w:t>
      </w:r>
      <w:r w:rsidRPr="00CD59CC">
        <w:rPr>
          <w:rFonts w:ascii="Arial" w:hAnsi="Arial" w:cs="Arial"/>
          <w:iCs/>
        </w:rPr>
        <w:t>regard</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events</w:t>
      </w:r>
      <w:r w:rsidR="007B7640" w:rsidRPr="00CD59CC">
        <w:rPr>
          <w:rFonts w:ascii="Arial" w:hAnsi="Arial" w:cs="Arial"/>
          <w:iCs/>
        </w:rPr>
        <w:t xml:space="preserve"> </w:t>
      </w:r>
      <w:r w:rsidRPr="00CD59CC">
        <w:rPr>
          <w:rFonts w:ascii="Arial" w:hAnsi="Arial" w:cs="Arial"/>
          <w:iCs/>
        </w:rPr>
        <w:t>at</w:t>
      </w:r>
      <w:r w:rsidR="007B7640" w:rsidRPr="00CD59CC">
        <w:rPr>
          <w:rFonts w:ascii="Arial" w:hAnsi="Arial" w:cs="Arial"/>
          <w:iCs/>
        </w:rPr>
        <w:t xml:space="preserve"> </w:t>
      </w:r>
      <w:r w:rsidRPr="00CD59CC">
        <w:rPr>
          <w:rFonts w:ascii="Arial" w:hAnsi="Arial" w:cs="Arial"/>
          <w:iCs/>
        </w:rPr>
        <w:t>which</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were</w:t>
      </w:r>
      <w:r w:rsidR="007B7640" w:rsidRPr="00CD59CC">
        <w:rPr>
          <w:rFonts w:ascii="Arial" w:hAnsi="Arial" w:cs="Arial"/>
          <w:iCs/>
        </w:rPr>
        <w:t xml:space="preserve"> </w:t>
      </w:r>
      <w:r w:rsidRPr="00CD59CC">
        <w:rPr>
          <w:rFonts w:ascii="Arial" w:hAnsi="Arial" w:cs="Arial"/>
          <w:iCs/>
        </w:rPr>
        <w:t>actually</w:t>
      </w:r>
      <w:r w:rsidR="007B7640" w:rsidRPr="00CD59CC">
        <w:rPr>
          <w:rFonts w:ascii="Arial" w:hAnsi="Arial" w:cs="Arial"/>
          <w:iCs/>
        </w:rPr>
        <w:t xml:space="preserve"> </w:t>
      </w:r>
      <w:r w:rsidRPr="00CD59CC">
        <w:rPr>
          <w:rFonts w:ascii="Arial" w:hAnsi="Arial" w:cs="Arial"/>
          <w:iCs/>
        </w:rPr>
        <w:t>present.</w:t>
      </w:r>
      <w:r w:rsidR="007B7640" w:rsidRPr="00CD59CC">
        <w:rPr>
          <w:rFonts w:ascii="Arial" w:hAnsi="Arial" w:cs="Arial"/>
          <w:iCs/>
        </w:rPr>
        <w:t xml:space="preserve"> </w:t>
      </w:r>
      <w:r w:rsidRPr="00CD59CC">
        <w:rPr>
          <w:rFonts w:ascii="Arial" w:hAnsi="Arial" w:cs="Arial"/>
          <w:iCs/>
        </w:rPr>
        <w:t>Testing</w:t>
      </w:r>
      <w:r w:rsidR="007B7640" w:rsidRPr="00CD59CC">
        <w:rPr>
          <w:rFonts w:ascii="Arial" w:hAnsi="Arial" w:cs="Arial"/>
          <w:iCs/>
        </w:rPr>
        <w:t xml:space="preserve"> </w:t>
      </w:r>
      <w:r w:rsidRPr="00CD59CC">
        <w:rPr>
          <w:rFonts w:ascii="Arial" w:hAnsi="Arial" w:cs="Arial"/>
          <w:iCs/>
        </w:rPr>
        <w:t>as</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proof</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general</w:t>
      </w:r>
      <w:r w:rsidR="007B7640" w:rsidRPr="00CD59CC">
        <w:rPr>
          <w:rFonts w:ascii="Arial" w:hAnsi="Arial" w:cs="Arial"/>
          <w:iCs/>
        </w:rPr>
        <w:t xml:space="preserve"> </w:t>
      </w:r>
      <w:r w:rsidRPr="00CD59CC">
        <w:rPr>
          <w:rFonts w:ascii="Arial" w:hAnsi="Arial" w:cs="Arial"/>
          <w:iCs/>
        </w:rPr>
        <w:t>discriminatory</w:t>
      </w:r>
      <w:r w:rsidR="007B7640" w:rsidRPr="00CD59CC">
        <w:rPr>
          <w:rFonts w:ascii="Arial" w:hAnsi="Arial" w:cs="Arial"/>
          <w:iCs/>
        </w:rPr>
        <w:t xml:space="preserve"> </w:t>
      </w:r>
      <w:r w:rsidRPr="00CD59CC">
        <w:rPr>
          <w:rFonts w:ascii="Arial" w:hAnsi="Arial" w:cs="Arial"/>
          <w:iCs/>
        </w:rPr>
        <w:t>pattern</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not</w:t>
      </w:r>
      <w:r w:rsidR="007B7640" w:rsidRPr="00CD59CC">
        <w:rPr>
          <w:rFonts w:ascii="Arial" w:hAnsi="Arial" w:cs="Arial"/>
          <w:iCs/>
        </w:rPr>
        <w:t xml:space="preserve"> </w:t>
      </w:r>
      <w:r w:rsidRPr="00CD59CC">
        <w:rPr>
          <w:rFonts w:ascii="Arial" w:hAnsi="Arial" w:cs="Arial"/>
          <w:iCs/>
        </w:rPr>
        <w:t>accepted</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substantiate</w:t>
      </w:r>
      <w:r w:rsidR="007B7640" w:rsidRPr="00CD59CC">
        <w:rPr>
          <w:rFonts w:ascii="Arial" w:hAnsi="Arial" w:cs="Arial"/>
          <w:iCs/>
        </w:rPr>
        <w:t xml:space="preserve"> </w:t>
      </w:r>
      <w:r w:rsidRPr="00CD59CC">
        <w:rPr>
          <w:rFonts w:ascii="Arial" w:hAnsi="Arial" w:cs="Arial"/>
          <w:iCs/>
        </w:rPr>
        <w:t>an</w:t>
      </w:r>
      <w:r w:rsidR="007B7640" w:rsidRPr="00CD59CC">
        <w:rPr>
          <w:rFonts w:ascii="Arial" w:hAnsi="Arial" w:cs="Arial"/>
          <w:iCs/>
        </w:rPr>
        <w:t xml:space="preserve"> </w:t>
      </w:r>
      <w:r w:rsidRPr="00CD59CC">
        <w:rPr>
          <w:rFonts w:ascii="Arial" w:hAnsi="Arial" w:cs="Arial"/>
          <w:iCs/>
        </w:rPr>
        <w:t>individual</w:t>
      </w:r>
      <w:r w:rsidR="007B7640" w:rsidRPr="00CD59CC">
        <w:rPr>
          <w:rFonts w:ascii="Arial" w:hAnsi="Arial" w:cs="Arial"/>
          <w:iCs/>
        </w:rPr>
        <w:t xml:space="preserve"> </w:t>
      </w:r>
      <w:r w:rsidRPr="00CD59CC">
        <w:rPr>
          <w:rFonts w:ascii="Arial" w:hAnsi="Arial" w:cs="Arial"/>
          <w:iCs/>
        </w:rPr>
        <w:t>complaint</w:t>
      </w:r>
      <w:r w:rsidR="007B7640" w:rsidRPr="00CD59CC">
        <w:rPr>
          <w:rFonts w:ascii="Arial" w:hAnsi="Arial" w:cs="Arial"/>
          <w:iCs/>
        </w:rPr>
        <w:t xml:space="preserve"> </w:t>
      </w:r>
      <w:r w:rsidRPr="00CD59CC">
        <w:rPr>
          <w:rFonts w:ascii="Arial" w:hAnsi="Arial" w:cs="Arial"/>
          <w:iCs/>
        </w:rPr>
        <w:t>if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testers</w:t>
      </w:r>
      <w:r w:rsidR="007B7640" w:rsidRPr="00CD59CC">
        <w:rPr>
          <w:rFonts w:ascii="Arial" w:hAnsi="Arial" w:cs="Arial"/>
          <w:iCs/>
        </w:rPr>
        <w:t xml:space="preserve"> </w:t>
      </w:r>
      <w:r w:rsidRPr="00CD59CC">
        <w:rPr>
          <w:rFonts w:ascii="Arial" w:hAnsi="Arial" w:cs="Arial"/>
          <w:iCs/>
        </w:rPr>
        <w:t>are</w:t>
      </w:r>
      <w:r w:rsidR="007B7640" w:rsidRPr="00CD59CC">
        <w:rPr>
          <w:rFonts w:ascii="Arial" w:hAnsi="Arial" w:cs="Arial"/>
          <w:iCs/>
        </w:rPr>
        <w:t xml:space="preserve"> </w:t>
      </w:r>
      <w:r w:rsidRPr="00CD59CC">
        <w:rPr>
          <w:rFonts w:ascii="Arial" w:hAnsi="Arial" w:cs="Arial"/>
          <w:iCs/>
        </w:rPr>
        <w:t>not</w:t>
      </w:r>
      <w:r w:rsidR="007B7640" w:rsidRPr="00CD59CC">
        <w:rPr>
          <w:rFonts w:ascii="Arial" w:hAnsi="Arial" w:cs="Arial"/>
          <w:iCs/>
        </w:rPr>
        <w:t xml:space="preserve"> </w:t>
      </w:r>
      <w:r w:rsidRPr="00CD59CC">
        <w:rPr>
          <w:rFonts w:ascii="Arial" w:hAnsi="Arial" w:cs="Arial"/>
          <w:iCs/>
        </w:rPr>
        <w:t>direct</w:t>
      </w:r>
      <w:r w:rsidR="007B7640" w:rsidRPr="00CD59CC">
        <w:rPr>
          <w:rFonts w:ascii="Arial" w:hAnsi="Arial" w:cs="Arial"/>
          <w:iCs/>
        </w:rPr>
        <w:t xml:space="preserve"> </w:t>
      </w:r>
      <w:r w:rsidRPr="00CD59CC">
        <w:rPr>
          <w:rFonts w:ascii="Arial" w:hAnsi="Arial" w:cs="Arial"/>
          <w:iCs/>
        </w:rPr>
        <w:t>witnesses</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behaviour</w:t>
      </w:r>
      <w:r w:rsidR="007B7640" w:rsidRPr="00CD59CC">
        <w:rPr>
          <w:rFonts w:ascii="Arial" w:hAnsi="Arial" w:cs="Arial"/>
          <w:iCs/>
        </w:rPr>
        <w:t xml:space="preserve"> </w:t>
      </w:r>
      <w:r w:rsidRPr="00CD59CC">
        <w:rPr>
          <w:rFonts w:ascii="Arial" w:hAnsi="Arial" w:cs="Arial"/>
          <w:iCs/>
        </w:rPr>
        <w:t>complained</w:t>
      </w:r>
      <w:r w:rsidR="007B7640" w:rsidRPr="00CD59CC">
        <w:rPr>
          <w:rFonts w:ascii="Arial" w:hAnsi="Arial" w:cs="Arial"/>
          <w:iCs/>
        </w:rPr>
        <w:t xml:space="preserve"> </w:t>
      </w:r>
      <w:r w:rsidRPr="00CD59CC">
        <w:rPr>
          <w:rFonts w:ascii="Arial" w:hAnsi="Arial" w:cs="Arial"/>
          <w:iCs/>
        </w:rPr>
        <w:t>about,</w:t>
      </w:r>
      <w:r w:rsidR="007B7640" w:rsidRPr="00CD59CC">
        <w:rPr>
          <w:rFonts w:ascii="Arial" w:hAnsi="Arial" w:cs="Arial"/>
          <w:iCs/>
        </w:rPr>
        <w:t xml:space="preserve"> </w:t>
      </w:r>
      <w:r w:rsidRPr="00CD59CC">
        <w:rPr>
          <w:rFonts w:ascii="Arial" w:hAnsi="Arial" w:cs="Arial"/>
          <w:iCs/>
        </w:rPr>
        <w:t>or</w:t>
      </w:r>
      <w:r w:rsidR="007B7640" w:rsidRPr="00CD59CC">
        <w:rPr>
          <w:rFonts w:ascii="Arial" w:hAnsi="Arial" w:cs="Arial"/>
          <w:iCs/>
        </w:rPr>
        <w:t xml:space="preserve"> </w:t>
      </w:r>
      <w:r w:rsidRPr="00CD59CC">
        <w:rPr>
          <w:rFonts w:ascii="Arial" w:hAnsi="Arial" w:cs="Arial"/>
          <w:iCs/>
        </w:rPr>
        <w:t>there</w:t>
      </w:r>
      <w:r w:rsidR="007B7640" w:rsidRPr="00CD59CC">
        <w:rPr>
          <w:rFonts w:ascii="Arial" w:hAnsi="Arial" w:cs="Arial"/>
          <w:iCs/>
        </w:rPr>
        <w:t xml:space="preserve"> </w:t>
      </w:r>
      <w:r w:rsidRPr="00CD59CC">
        <w:rPr>
          <w:rFonts w:ascii="Arial" w:hAnsi="Arial" w:cs="Arial"/>
          <w:iCs/>
        </w:rPr>
        <w:t>are</w:t>
      </w:r>
      <w:r w:rsidR="007B7640" w:rsidRPr="00CD59CC">
        <w:rPr>
          <w:rFonts w:ascii="Arial" w:hAnsi="Arial" w:cs="Arial"/>
          <w:iCs/>
        </w:rPr>
        <w:t xml:space="preserve"> </w:t>
      </w:r>
      <w:r w:rsidRPr="00CD59CC">
        <w:rPr>
          <w:rFonts w:ascii="Arial" w:hAnsi="Arial" w:cs="Arial"/>
          <w:iCs/>
        </w:rPr>
        <w:t>no</w:t>
      </w:r>
      <w:r w:rsidR="007B7640" w:rsidRPr="00CD59CC">
        <w:rPr>
          <w:rFonts w:ascii="Arial" w:hAnsi="Arial" w:cs="Arial"/>
          <w:iCs/>
        </w:rPr>
        <w:t xml:space="preserve"> </w:t>
      </w:r>
      <w:r w:rsidRPr="00CD59CC">
        <w:rPr>
          <w:rFonts w:ascii="Arial" w:hAnsi="Arial" w:cs="Arial"/>
          <w:iCs/>
        </w:rPr>
        <w:t>other</w:t>
      </w:r>
      <w:r w:rsidR="007B7640" w:rsidRPr="00CD59CC">
        <w:rPr>
          <w:rFonts w:ascii="Arial" w:hAnsi="Arial" w:cs="Arial"/>
          <w:iCs/>
        </w:rPr>
        <w:t xml:space="preserve"> </w:t>
      </w:r>
      <w:r w:rsidRPr="00CD59CC">
        <w:rPr>
          <w:rFonts w:ascii="Arial" w:hAnsi="Arial" w:cs="Arial"/>
          <w:iCs/>
        </w:rPr>
        <w:t>indirect</w:t>
      </w:r>
      <w:r w:rsidR="007B7640" w:rsidRPr="00CD59CC">
        <w:rPr>
          <w:rFonts w:ascii="Arial" w:hAnsi="Arial" w:cs="Arial"/>
          <w:iCs/>
        </w:rPr>
        <w:t xml:space="preserve"> </w:t>
      </w:r>
      <w:r w:rsidRPr="00CD59CC">
        <w:rPr>
          <w:rFonts w:ascii="Arial" w:hAnsi="Arial" w:cs="Arial"/>
          <w:iCs/>
        </w:rPr>
        <w:t>pieces</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evidence</w:t>
      </w:r>
      <w:r w:rsidR="007B7640" w:rsidRPr="00CD59CC">
        <w:rPr>
          <w:rFonts w:ascii="Arial" w:hAnsi="Arial" w:cs="Arial"/>
          <w:iCs/>
        </w:rPr>
        <w:t xml:space="preserve"> </w:t>
      </w:r>
      <w:r w:rsidRPr="00CD59CC">
        <w:rPr>
          <w:rFonts w:ascii="Arial" w:hAnsi="Arial" w:cs="Arial"/>
          <w:iCs/>
        </w:rPr>
        <w:t>confirming</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individual</w:t>
      </w:r>
      <w:r w:rsidR="007B7640" w:rsidRPr="00CD59CC">
        <w:rPr>
          <w:rFonts w:ascii="Arial" w:hAnsi="Arial" w:cs="Arial"/>
          <w:iCs/>
        </w:rPr>
        <w:t xml:space="preserve"> </w:t>
      </w:r>
      <w:r w:rsidRPr="00CD59CC">
        <w:rPr>
          <w:rFonts w:ascii="Arial" w:hAnsi="Arial" w:cs="Arial"/>
          <w:iCs/>
        </w:rPr>
        <w:t>complaint.</w:t>
      </w:r>
    </w:p>
    <w:p w14:paraId="479B9131" w14:textId="77777777" w:rsidR="00E04499" w:rsidRPr="00CD59CC" w:rsidRDefault="00E04499" w:rsidP="00CD59CC">
      <w:pPr>
        <w:tabs>
          <w:tab w:val="num" w:pos="567"/>
        </w:tabs>
        <w:ind w:left="567" w:hanging="567"/>
        <w:rPr>
          <w:rFonts w:ascii="Arial" w:hAnsi="Arial" w:cs="Arial"/>
          <w:bCs/>
          <w:iCs/>
        </w:rPr>
      </w:pPr>
    </w:p>
    <w:p w14:paraId="361DEA08" w14:textId="77777777" w:rsidR="002B5BCD" w:rsidRPr="00CD59CC" w:rsidRDefault="002B5BCD" w:rsidP="00CD59CC">
      <w:pPr>
        <w:numPr>
          <w:ilvl w:val="0"/>
          <w:numId w:val="5"/>
        </w:numPr>
        <w:ind w:left="567" w:hanging="567"/>
        <w:rPr>
          <w:rFonts w:ascii="Arial" w:hAnsi="Arial" w:cs="Arial"/>
          <w:bCs/>
          <w:i/>
          <w:iCs/>
        </w:rPr>
      </w:pPr>
      <w:r w:rsidRPr="00CD59CC">
        <w:rPr>
          <w:rFonts w:ascii="Arial" w:hAnsi="Arial" w:cs="Arial"/>
          <w:bCs/>
          <w:i/>
          <w:iCs/>
        </w:rPr>
        <w:t>Outline</w:t>
      </w:r>
      <w:r w:rsidR="007B7640" w:rsidRPr="00CD59CC">
        <w:rPr>
          <w:rFonts w:ascii="Arial" w:hAnsi="Arial" w:cs="Arial"/>
          <w:bCs/>
          <w:i/>
          <w:iCs/>
        </w:rPr>
        <w:t xml:space="preserve"> </w:t>
      </w:r>
      <w:r w:rsidRPr="00CD59CC">
        <w:rPr>
          <w:rFonts w:ascii="Arial" w:hAnsi="Arial" w:cs="Arial"/>
          <w:bCs/>
          <w:i/>
          <w:iCs/>
          <w:u w:val="single"/>
        </w:rPr>
        <w:t>important</w:t>
      </w:r>
      <w:r w:rsidR="007B7640" w:rsidRPr="00CD59CC">
        <w:rPr>
          <w:rFonts w:ascii="Arial" w:hAnsi="Arial" w:cs="Arial"/>
          <w:bCs/>
          <w:i/>
          <w:iCs/>
        </w:rPr>
        <w:t xml:space="preserve"> </w:t>
      </w:r>
      <w:r w:rsidRPr="00CD59CC">
        <w:rPr>
          <w:rFonts w:ascii="Arial" w:hAnsi="Arial" w:cs="Arial"/>
          <w:bCs/>
          <w:i/>
          <w:iCs/>
        </w:rPr>
        <w:t>case</w:t>
      </w:r>
      <w:r w:rsidR="007B7640" w:rsidRPr="00CD59CC">
        <w:rPr>
          <w:rFonts w:ascii="Arial" w:hAnsi="Arial" w:cs="Arial"/>
          <w:bCs/>
          <w:i/>
          <w:iCs/>
        </w:rPr>
        <w:t xml:space="preserve"> </w:t>
      </w:r>
      <w:r w:rsidRPr="00CD59CC">
        <w:rPr>
          <w:rFonts w:ascii="Arial" w:hAnsi="Arial" w:cs="Arial"/>
          <w:bCs/>
          <w:i/>
          <w:iCs/>
        </w:rPr>
        <w:t>law</w:t>
      </w:r>
      <w:r w:rsidR="007B7640" w:rsidRPr="00CD59CC">
        <w:rPr>
          <w:rFonts w:ascii="Arial" w:hAnsi="Arial" w:cs="Arial"/>
          <w:bCs/>
          <w:i/>
          <w:iCs/>
        </w:rPr>
        <w:t xml:space="preserve"> </w:t>
      </w:r>
      <w:r w:rsidRPr="00CD59CC">
        <w:rPr>
          <w:rFonts w:ascii="Arial" w:hAnsi="Arial" w:cs="Arial"/>
          <w:bCs/>
          <w:i/>
          <w:iCs/>
        </w:rPr>
        <w:t>within</w:t>
      </w:r>
      <w:r w:rsidR="007B7640" w:rsidRPr="00CD59CC">
        <w:rPr>
          <w:rFonts w:ascii="Arial" w:hAnsi="Arial" w:cs="Arial"/>
          <w:bCs/>
          <w:i/>
          <w:iCs/>
        </w:rPr>
        <w:t xml:space="preserve"> </w:t>
      </w:r>
      <w:r w:rsidRPr="00CD59CC">
        <w:rPr>
          <w:rFonts w:ascii="Arial" w:hAnsi="Arial" w:cs="Arial"/>
          <w:bCs/>
          <w:i/>
          <w:iCs/>
        </w:rPr>
        <w:t>the</w:t>
      </w:r>
      <w:r w:rsidR="007B7640" w:rsidRPr="00CD59CC">
        <w:rPr>
          <w:rFonts w:ascii="Arial" w:hAnsi="Arial" w:cs="Arial"/>
          <w:bCs/>
          <w:i/>
          <w:iCs/>
        </w:rPr>
        <w:t xml:space="preserve"> </w:t>
      </w:r>
      <w:r w:rsidRPr="00CD59CC">
        <w:rPr>
          <w:rFonts w:ascii="Arial" w:hAnsi="Arial" w:cs="Arial"/>
          <w:bCs/>
          <w:i/>
          <w:iCs/>
        </w:rPr>
        <w:t>national</w:t>
      </w:r>
      <w:r w:rsidR="007B7640" w:rsidRPr="00CD59CC">
        <w:rPr>
          <w:rFonts w:ascii="Arial" w:hAnsi="Arial" w:cs="Arial"/>
          <w:bCs/>
          <w:i/>
          <w:iCs/>
        </w:rPr>
        <w:t xml:space="preserve"> </w:t>
      </w:r>
      <w:r w:rsidRPr="00CD59CC">
        <w:rPr>
          <w:rFonts w:ascii="Arial" w:hAnsi="Arial" w:cs="Arial"/>
          <w:bCs/>
          <w:i/>
          <w:iCs/>
        </w:rPr>
        <w:t>legal</w:t>
      </w:r>
      <w:r w:rsidR="007B7640" w:rsidRPr="00CD59CC">
        <w:rPr>
          <w:rFonts w:ascii="Arial" w:hAnsi="Arial" w:cs="Arial"/>
          <w:bCs/>
          <w:i/>
          <w:iCs/>
        </w:rPr>
        <w:t xml:space="preserve"> </w:t>
      </w:r>
      <w:r w:rsidRPr="00CD59CC">
        <w:rPr>
          <w:rFonts w:ascii="Arial" w:hAnsi="Arial" w:cs="Arial"/>
          <w:bCs/>
          <w:i/>
          <w:iCs/>
        </w:rPr>
        <w:t>system</w:t>
      </w:r>
      <w:r w:rsidR="007B7640" w:rsidRPr="00CD59CC">
        <w:rPr>
          <w:rFonts w:ascii="Arial" w:hAnsi="Arial" w:cs="Arial"/>
          <w:bCs/>
          <w:i/>
          <w:iCs/>
        </w:rPr>
        <w:t xml:space="preserve"> </w:t>
      </w:r>
      <w:r w:rsidRPr="00CD59CC">
        <w:rPr>
          <w:rFonts w:ascii="Arial" w:hAnsi="Arial" w:cs="Arial"/>
          <w:bCs/>
          <w:i/>
          <w:iCs/>
        </w:rPr>
        <w:t>on</w:t>
      </w:r>
      <w:r w:rsidR="007B7640" w:rsidRPr="00CD59CC">
        <w:rPr>
          <w:rFonts w:ascii="Arial" w:hAnsi="Arial" w:cs="Arial"/>
          <w:bCs/>
          <w:i/>
          <w:iCs/>
        </w:rPr>
        <w:t xml:space="preserve"> </w:t>
      </w:r>
      <w:r w:rsidRPr="00CD59CC">
        <w:rPr>
          <w:rFonts w:ascii="Arial" w:hAnsi="Arial" w:cs="Arial"/>
          <w:bCs/>
          <w:i/>
          <w:iCs/>
        </w:rPr>
        <w:t>this</w:t>
      </w:r>
      <w:r w:rsidR="007B7640" w:rsidRPr="00CD59CC">
        <w:rPr>
          <w:rFonts w:ascii="Arial" w:hAnsi="Arial" w:cs="Arial"/>
          <w:bCs/>
          <w:i/>
          <w:iCs/>
        </w:rPr>
        <w:t xml:space="preserve"> </w:t>
      </w:r>
      <w:r w:rsidRPr="00CD59CC">
        <w:rPr>
          <w:rFonts w:ascii="Arial" w:hAnsi="Arial" w:cs="Arial"/>
          <w:bCs/>
          <w:i/>
          <w:iCs/>
        </w:rPr>
        <w:t>issue.</w:t>
      </w:r>
    </w:p>
    <w:p w14:paraId="34A7F798" w14:textId="77777777" w:rsidR="002B5BCD" w:rsidRPr="00CD59CC" w:rsidRDefault="002B5BCD" w:rsidP="00CD59CC">
      <w:pPr>
        <w:tabs>
          <w:tab w:val="num" w:pos="567"/>
        </w:tabs>
        <w:ind w:left="567" w:hanging="567"/>
        <w:rPr>
          <w:rFonts w:ascii="Arial" w:hAnsi="Arial" w:cs="Arial"/>
          <w:bCs/>
          <w:iCs/>
        </w:rPr>
      </w:pPr>
    </w:p>
    <w:p w14:paraId="2AD24F06" w14:textId="77777777" w:rsidR="00CA5F94" w:rsidRPr="00CD59CC" w:rsidRDefault="00CA5F94" w:rsidP="00CD59CC">
      <w:pPr>
        <w:rPr>
          <w:rFonts w:ascii="Arial" w:hAnsi="Arial" w:cs="Arial"/>
          <w:bCs/>
          <w:iCs/>
        </w:rPr>
      </w:pPr>
      <w:r w:rsidRPr="00CD59CC">
        <w:rPr>
          <w:rFonts w:ascii="Arial" w:hAnsi="Arial" w:cs="Arial"/>
          <w:bCs/>
          <w:iCs/>
        </w:rPr>
        <w:t>There</w:t>
      </w:r>
      <w:r w:rsidR="007B7640" w:rsidRPr="00CD59CC">
        <w:rPr>
          <w:rFonts w:ascii="Arial" w:hAnsi="Arial" w:cs="Arial"/>
          <w:bCs/>
          <w:iCs/>
        </w:rPr>
        <w:t xml:space="preserve"> </w:t>
      </w:r>
      <w:r w:rsidRPr="00CD59CC">
        <w:rPr>
          <w:rFonts w:ascii="Arial" w:hAnsi="Arial" w:cs="Arial"/>
          <w:bCs/>
          <w:iCs/>
        </w:rPr>
        <w:t>is</w:t>
      </w:r>
      <w:r w:rsidR="007B7640" w:rsidRPr="00CD59CC">
        <w:rPr>
          <w:rFonts w:ascii="Arial" w:hAnsi="Arial" w:cs="Arial"/>
          <w:bCs/>
          <w:iCs/>
        </w:rPr>
        <w:t xml:space="preserve"> </w:t>
      </w:r>
      <w:r w:rsidRPr="00CD59CC">
        <w:rPr>
          <w:rFonts w:ascii="Arial" w:hAnsi="Arial" w:cs="Arial"/>
          <w:bCs/>
          <w:iCs/>
        </w:rPr>
        <w:t>no</w:t>
      </w:r>
      <w:r w:rsidR="007B7640" w:rsidRPr="00CD59CC">
        <w:rPr>
          <w:rFonts w:ascii="Arial" w:hAnsi="Arial" w:cs="Arial"/>
          <w:bCs/>
          <w:iCs/>
        </w:rPr>
        <w:t xml:space="preserve"> </w:t>
      </w:r>
      <w:r w:rsidRPr="00CD59CC">
        <w:rPr>
          <w:rFonts w:ascii="Arial" w:hAnsi="Arial" w:cs="Arial"/>
          <w:bCs/>
          <w:iCs/>
        </w:rPr>
        <w:t>case</w:t>
      </w:r>
      <w:r w:rsidR="007B7640" w:rsidRPr="00CD59CC">
        <w:rPr>
          <w:rFonts w:ascii="Arial" w:hAnsi="Arial" w:cs="Arial"/>
          <w:bCs/>
          <w:iCs/>
        </w:rPr>
        <w:t xml:space="preserve"> </w:t>
      </w:r>
      <w:r w:rsidRPr="00CD59CC">
        <w:rPr>
          <w:rFonts w:ascii="Arial" w:hAnsi="Arial" w:cs="Arial"/>
          <w:bCs/>
          <w:iCs/>
        </w:rPr>
        <w:t>law</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which</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theoretical</w:t>
      </w:r>
      <w:r w:rsidR="007B7640" w:rsidRPr="00CD59CC">
        <w:rPr>
          <w:rFonts w:ascii="Arial" w:hAnsi="Arial" w:cs="Arial"/>
          <w:bCs/>
          <w:iCs/>
        </w:rPr>
        <w:t xml:space="preserve"> </w:t>
      </w:r>
      <w:r w:rsidRPr="00CD59CC">
        <w:rPr>
          <w:rFonts w:ascii="Arial" w:hAnsi="Arial" w:cs="Arial"/>
          <w:bCs/>
          <w:iCs/>
        </w:rPr>
        <w:t>questions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testing</w:t>
      </w:r>
      <w:r w:rsidR="007B7640" w:rsidRPr="00CD59CC">
        <w:rPr>
          <w:rFonts w:ascii="Arial" w:hAnsi="Arial" w:cs="Arial"/>
          <w:bCs/>
          <w:iCs/>
        </w:rPr>
        <w:t xml:space="preserve"> </w:t>
      </w:r>
      <w:r w:rsidRPr="00CD59CC">
        <w:rPr>
          <w:rFonts w:ascii="Arial" w:hAnsi="Arial" w:cs="Arial"/>
          <w:bCs/>
          <w:iCs/>
        </w:rPr>
        <w:t>were</w:t>
      </w:r>
      <w:r w:rsidR="007B7640" w:rsidRPr="00CD59CC">
        <w:rPr>
          <w:rFonts w:ascii="Arial" w:hAnsi="Arial" w:cs="Arial"/>
          <w:bCs/>
          <w:iCs/>
        </w:rPr>
        <w:t xml:space="preserve"> </w:t>
      </w:r>
      <w:r w:rsidRPr="00CD59CC">
        <w:rPr>
          <w:rFonts w:ascii="Arial" w:hAnsi="Arial" w:cs="Arial"/>
          <w:bCs/>
          <w:iCs/>
        </w:rPr>
        <w:t>addressed,</w:t>
      </w:r>
      <w:r w:rsidR="007B7640" w:rsidRPr="00CD59CC">
        <w:rPr>
          <w:rFonts w:ascii="Arial" w:hAnsi="Arial" w:cs="Arial"/>
          <w:bCs/>
          <w:iCs/>
        </w:rPr>
        <w:t xml:space="preserve"> </w:t>
      </w:r>
      <w:r w:rsidRPr="00CD59CC">
        <w:rPr>
          <w:rFonts w:ascii="Arial" w:hAnsi="Arial" w:cs="Arial"/>
          <w:bCs/>
          <w:iCs/>
        </w:rPr>
        <w:t>however,</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case</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NEKI</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Supreme</w:t>
      </w:r>
      <w:r w:rsidR="007B7640" w:rsidRPr="00CD59CC">
        <w:rPr>
          <w:rFonts w:ascii="Arial" w:hAnsi="Arial" w:cs="Arial"/>
          <w:bCs/>
          <w:iCs/>
        </w:rPr>
        <w:t xml:space="preserve"> </w:t>
      </w:r>
      <w:r w:rsidRPr="00CD59CC">
        <w:rPr>
          <w:rFonts w:ascii="Arial" w:hAnsi="Arial" w:cs="Arial"/>
          <w:bCs/>
          <w:iCs/>
        </w:rPr>
        <w:t>Court</w:t>
      </w:r>
      <w:r w:rsidR="007B7640" w:rsidRPr="00CD59CC">
        <w:rPr>
          <w:rFonts w:ascii="Arial" w:hAnsi="Arial" w:cs="Arial"/>
          <w:bCs/>
          <w:iCs/>
        </w:rPr>
        <w:t xml:space="preserve"> </w:t>
      </w:r>
      <w:r w:rsidRPr="00CD59CC">
        <w:rPr>
          <w:rFonts w:ascii="Arial" w:hAnsi="Arial" w:cs="Arial"/>
          <w:bCs/>
          <w:iCs/>
        </w:rPr>
        <w:t>accepted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testimonies</w:t>
      </w:r>
      <w:r w:rsidR="007B7640" w:rsidRPr="00CD59CC">
        <w:rPr>
          <w:rFonts w:ascii="Arial" w:hAnsi="Arial" w:cs="Arial"/>
          <w:bCs/>
          <w:iCs/>
        </w:rPr>
        <w:t xml:space="preserve"> </w:t>
      </w:r>
      <w:r w:rsidRPr="00CD59CC">
        <w:rPr>
          <w:rFonts w:ascii="Arial" w:hAnsi="Arial" w:cs="Arial"/>
          <w:bCs/>
          <w:iCs/>
        </w:rPr>
        <w:t>given</w:t>
      </w:r>
      <w:r w:rsidR="007B7640" w:rsidRPr="00CD59CC">
        <w:rPr>
          <w:rFonts w:ascii="Arial" w:hAnsi="Arial" w:cs="Arial"/>
          <w:bCs/>
          <w:iCs/>
        </w:rPr>
        <w:t xml:space="preserve"> </w:t>
      </w:r>
      <w:r w:rsidRPr="00CD59CC">
        <w:rPr>
          <w:rFonts w:ascii="Arial" w:hAnsi="Arial" w:cs="Arial"/>
          <w:bCs/>
          <w:iCs/>
        </w:rPr>
        <w:t>by</w:t>
      </w:r>
      <w:r w:rsidR="007B7640" w:rsidRPr="00CD59CC">
        <w:rPr>
          <w:rFonts w:ascii="Arial" w:hAnsi="Arial" w:cs="Arial"/>
          <w:bCs/>
          <w:iCs/>
        </w:rPr>
        <w:t xml:space="preserve"> </w:t>
      </w:r>
      <w:r w:rsidRPr="00CD59CC">
        <w:rPr>
          <w:rFonts w:ascii="Arial" w:hAnsi="Arial" w:cs="Arial"/>
          <w:bCs/>
          <w:iCs/>
        </w:rPr>
        <w:t>testers</w:t>
      </w:r>
      <w:r w:rsidR="007B7640" w:rsidRPr="00CD59CC">
        <w:rPr>
          <w:rFonts w:ascii="Arial" w:hAnsi="Arial" w:cs="Arial"/>
          <w:bCs/>
          <w:iCs/>
        </w:rPr>
        <w:t xml:space="preserve"> </w:t>
      </w:r>
      <w:r w:rsidRPr="00CD59CC">
        <w:rPr>
          <w:rFonts w:ascii="Arial" w:hAnsi="Arial" w:cs="Arial"/>
          <w:bCs/>
          <w:iCs/>
        </w:rPr>
        <w:t>thus</w:t>
      </w:r>
      <w:r w:rsidR="007B7640" w:rsidRPr="00CD59CC">
        <w:rPr>
          <w:rFonts w:ascii="Arial" w:hAnsi="Arial" w:cs="Arial"/>
          <w:bCs/>
          <w:iCs/>
        </w:rPr>
        <w:t xml:space="preserve"> </w:t>
      </w:r>
      <w:r w:rsidRPr="00CD59CC">
        <w:rPr>
          <w:rFonts w:ascii="Arial" w:hAnsi="Arial" w:cs="Arial"/>
          <w:bCs/>
          <w:iCs/>
        </w:rPr>
        <w:t>tacitly</w:t>
      </w:r>
      <w:r w:rsidR="007B7640" w:rsidRPr="00CD59CC">
        <w:rPr>
          <w:rFonts w:ascii="Arial" w:hAnsi="Arial" w:cs="Arial"/>
          <w:bCs/>
          <w:iCs/>
        </w:rPr>
        <w:t xml:space="preserve"> </w:t>
      </w:r>
      <w:r w:rsidRPr="00CD59CC">
        <w:rPr>
          <w:rFonts w:ascii="Arial" w:hAnsi="Arial" w:cs="Arial"/>
          <w:bCs/>
          <w:iCs/>
        </w:rPr>
        <w:t>acknowledging</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legitimacy</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method.</w:t>
      </w:r>
      <w:r w:rsidR="007B7640" w:rsidRPr="00CD59CC">
        <w:rPr>
          <w:rFonts w:ascii="Arial" w:hAnsi="Arial" w:cs="Arial"/>
          <w:bCs/>
          <w:iCs/>
        </w:rPr>
        <w:t xml:space="preserve"> </w:t>
      </w:r>
    </w:p>
    <w:p w14:paraId="612E539F" w14:textId="77777777" w:rsidR="00CA5F94" w:rsidRPr="00CD59CC" w:rsidRDefault="00CA5F94" w:rsidP="00CD59CC">
      <w:pPr>
        <w:rPr>
          <w:rFonts w:ascii="Arial" w:hAnsi="Arial" w:cs="Arial"/>
          <w:bCs/>
          <w:iCs/>
        </w:rPr>
      </w:pPr>
    </w:p>
    <w:p w14:paraId="494AEEAD" w14:textId="77777777" w:rsidR="00CA5F94" w:rsidRPr="00CD59CC" w:rsidRDefault="00CA5F94" w:rsidP="00CD59CC">
      <w:pPr>
        <w:rPr>
          <w:rFonts w:ascii="Arial" w:hAnsi="Arial" w:cs="Arial"/>
          <w:bCs/>
          <w:iCs/>
        </w:rPr>
      </w:pPr>
      <w:r w:rsidRPr="00CD59CC">
        <w:rPr>
          <w:rFonts w:ascii="Arial" w:hAnsi="Arial" w:cs="Arial"/>
          <w:bCs/>
          <w:iCs/>
          <w:u w:val="single"/>
        </w:rPr>
        <w:t>The</w:t>
      </w:r>
      <w:r w:rsidR="007B7640" w:rsidRPr="00CD59CC">
        <w:rPr>
          <w:rFonts w:ascii="Arial" w:hAnsi="Arial" w:cs="Arial"/>
          <w:bCs/>
          <w:iCs/>
          <w:u w:val="single"/>
        </w:rPr>
        <w:t xml:space="preserve"> </w:t>
      </w:r>
      <w:r w:rsidRPr="00CD59CC">
        <w:rPr>
          <w:rFonts w:ascii="Arial" w:hAnsi="Arial" w:cs="Arial"/>
          <w:bCs/>
          <w:iCs/>
          <w:u w:val="single"/>
        </w:rPr>
        <w:t>case</w:t>
      </w:r>
      <w:r w:rsidR="007B7640" w:rsidRPr="00CD59CC">
        <w:rPr>
          <w:rFonts w:ascii="Arial" w:hAnsi="Arial" w:cs="Arial"/>
          <w:bCs/>
          <w:iCs/>
          <w:u w:val="single"/>
        </w:rPr>
        <w:t xml:space="preserve"> </w:t>
      </w:r>
      <w:r w:rsidRPr="00CD59CC">
        <w:rPr>
          <w:rFonts w:ascii="Arial" w:hAnsi="Arial" w:cs="Arial"/>
          <w:bCs/>
          <w:iCs/>
          <w:u w:val="single"/>
        </w:rPr>
        <w:t>of</w:t>
      </w:r>
      <w:r w:rsidR="007B7640" w:rsidRPr="00CD59CC">
        <w:rPr>
          <w:rFonts w:ascii="Arial" w:hAnsi="Arial" w:cs="Arial"/>
          <w:bCs/>
          <w:iCs/>
          <w:u w:val="single"/>
        </w:rPr>
        <w:t xml:space="preserve"> </w:t>
      </w:r>
      <w:r w:rsidRPr="00CD59CC">
        <w:rPr>
          <w:rFonts w:ascii="Arial" w:hAnsi="Arial" w:cs="Arial"/>
          <w:bCs/>
          <w:iCs/>
          <w:u w:val="single"/>
        </w:rPr>
        <w:t>the</w:t>
      </w:r>
      <w:r w:rsidR="007B7640" w:rsidRPr="00CD59CC">
        <w:rPr>
          <w:rFonts w:ascii="Arial" w:hAnsi="Arial" w:cs="Arial"/>
          <w:bCs/>
          <w:iCs/>
          <w:u w:val="single"/>
        </w:rPr>
        <w:t xml:space="preserve"> </w:t>
      </w:r>
      <w:r w:rsidRPr="00CD59CC">
        <w:rPr>
          <w:rFonts w:ascii="Arial" w:hAnsi="Arial" w:cs="Arial"/>
          <w:bCs/>
          <w:iCs/>
          <w:u w:val="single"/>
        </w:rPr>
        <w:t>K.L.</w:t>
      </w:r>
      <w:r w:rsidR="007B7640" w:rsidRPr="00CD59CC">
        <w:rPr>
          <w:rFonts w:ascii="Arial" w:hAnsi="Arial" w:cs="Arial"/>
          <w:bCs/>
          <w:iCs/>
          <w:u w:val="single"/>
        </w:rPr>
        <w:t xml:space="preserve"> </w:t>
      </w:r>
      <w:r w:rsidRPr="00CD59CC">
        <w:rPr>
          <w:rFonts w:ascii="Arial" w:hAnsi="Arial" w:cs="Arial"/>
          <w:bCs/>
          <w:iCs/>
          <w:u w:val="single"/>
        </w:rPr>
        <w:t>discotheque</w:t>
      </w:r>
      <w:r w:rsidRPr="00CD59CC">
        <w:rPr>
          <w:rFonts w:ascii="Arial" w:hAnsi="Arial" w:cs="Arial"/>
          <w:bCs/>
          <w:iCs/>
        </w:rPr>
        <w:t>:</w:t>
      </w:r>
      <w:r w:rsidRPr="00CD59CC">
        <w:rPr>
          <w:rStyle w:val="Lbjegyzet-karakterek"/>
          <w:rFonts w:ascii="Arial" w:hAnsi="Arial" w:cs="Arial"/>
          <w:bCs/>
          <w:iCs/>
        </w:rPr>
        <w:footnoteReference w:id="34"/>
      </w:r>
      <w:r w:rsidR="007B7640" w:rsidRPr="00CD59CC">
        <w:rPr>
          <w:rFonts w:ascii="Arial" w:hAnsi="Arial" w:cs="Arial"/>
          <w:bCs/>
          <w:iCs/>
        </w:rPr>
        <w:t xml:space="preserve"> </w:t>
      </w:r>
      <w:r w:rsidRPr="00CD59CC">
        <w:rPr>
          <w:rFonts w:ascii="Arial" w:hAnsi="Arial" w:cs="Arial"/>
          <w:bCs/>
          <w:iCs/>
        </w:rPr>
        <w:t>After</w:t>
      </w:r>
      <w:r w:rsidR="007B7640" w:rsidRPr="00CD59CC">
        <w:rPr>
          <w:rFonts w:ascii="Arial" w:hAnsi="Arial" w:cs="Arial"/>
          <w:bCs/>
          <w:iCs/>
        </w:rPr>
        <w:t xml:space="preserve"> </w:t>
      </w:r>
      <w:r w:rsidRPr="00CD59CC">
        <w:rPr>
          <w:rFonts w:ascii="Arial" w:hAnsi="Arial" w:cs="Arial"/>
          <w:bCs/>
          <w:iCs/>
        </w:rPr>
        <w:t>complaints</w:t>
      </w:r>
      <w:r w:rsidR="007B7640" w:rsidRPr="00CD59CC">
        <w:rPr>
          <w:rFonts w:ascii="Arial" w:hAnsi="Arial" w:cs="Arial"/>
          <w:bCs/>
          <w:iCs/>
        </w:rPr>
        <w:t xml:space="preserve"> </w:t>
      </w:r>
      <w:r w:rsidRPr="00CD59CC">
        <w:rPr>
          <w:rFonts w:ascii="Arial" w:hAnsi="Arial" w:cs="Arial"/>
          <w:bCs/>
          <w:iCs/>
        </w:rPr>
        <w:t>from</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Roma</w:t>
      </w:r>
      <w:r w:rsidR="007B7640" w:rsidRPr="00CD59CC">
        <w:rPr>
          <w:rFonts w:ascii="Arial" w:hAnsi="Arial" w:cs="Arial"/>
          <w:bCs/>
          <w:iCs/>
        </w:rPr>
        <w:t xml:space="preserve"> </w:t>
      </w:r>
      <w:r w:rsidRPr="00CD59CC">
        <w:rPr>
          <w:rFonts w:ascii="Arial" w:hAnsi="Arial" w:cs="Arial"/>
          <w:bCs/>
          <w:iCs/>
        </w:rPr>
        <w:t>minority</w:t>
      </w:r>
      <w:r w:rsidR="007B7640" w:rsidRPr="00CD59CC">
        <w:rPr>
          <w:rFonts w:ascii="Arial" w:hAnsi="Arial" w:cs="Arial"/>
          <w:bCs/>
          <w:iCs/>
        </w:rPr>
        <w:t xml:space="preserve"> </w:t>
      </w:r>
      <w:r w:rsidRPr="00CD59CC">
        <w:rPr>
          <w:rFonts w:ascii="Arial" w:hAnsi="Arial" w:cs="Arial"/>
          <w:bCs/>
          <w:iCs/>
        </w:rPr>
        <w:t>self-government,</w:t>
      </w:r>
      <w:r w:rsidR="007B7640" w:rsidRPr="00CD59CC">
        <w:rPr>
          <w:rFonts w:ascii="Arial" w:hAnsi="Arial" w:cs="Arial"/>
          <w:bCs/>
          <w:iCs/>
        </w:rPr>
        <w:t xml:space="preserve"> </w:t>
      </w:r>
      <w:r w:rsidRPr="00CD59CC">
        <w:rPr>
          <w:rFonts w:ascii="Arial" w:hAnsi="Arial" w:cs="Arial"/>
          <w:bCs/>
          <w:iCs/>
        </w:rPr>
        <w:t>NEKI</w:t>
      </w:r>
      <w:r w:rsidR="007B7640" w:rsidRPr="00CD59CC">
        <w:rPr>
          <w:rFonts w:ascii="Arial" w:hAnsi="Arial" w:cs="Arial"/>
          <w:bCs/>
          <w:iCs/>
        </w:rPr>
        <w:t xml:space="preserve"> </w:t>
      </w:r>
      <w:r w:rsidRPr="00CD59CC">
        <w:rPr>
          <w:rFonts w:ascii="Arial" w:hAnsi="Arial" w:cs="Arial"/>
          <w:bCs/>
          <w:iCs/>
        </w:rPr>
        <w:t>decided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conduct</w:t>
      </w:r>
      <w:r w:rsidR="007B7640" w:rsidRPr="00CD59CC">
        <w:rPr>
          <w:rFonts w:ascii="Arial" w:hAnsi="Arial" w:cs="Arial"/>
          <w:bCs/>
          <w:iCs/>
        </w:rPr>
        <w:t xml:space="preserve"> </w:t>
      </w:r>
      <w:r w:rsidRPr="00CD59CC">
        <w:rPr>
          <w:rFonts w:ascii="Arial" w:hAnsi="Arial" w:cs="Arial"/>
          <w:bCs/>
          <w:iCs/>
        </w:rPr>
        <w:t>situation</w:t>
      </w:r>
      <w:r w:rsidR="007B7640" w:rsidRPr="00CD59CC">
        <w:rPr>
          <w:rFonts w:ascii="Arial" w:hAnsi="Arial" w:cs="Arial"/>
          <w:bCs/>
          <w:iCs/>
        </w:rPr>
        <w:t xml:space="preserve"> </w:t>
      </w:r>
      <w:r w:rsidRPr="00CD59CC">
        <w:rPr>
          <w:rFonts w:ascii="Arial" w:hAnsi="Arial" w:cs="Arial"/>
          <w:bCs/>
          <w:iCs/>
        </w:rPr>
        <w:t>testing</w:t>
      </w:r>
      <w:r w:rsidR="007B7640" w:rsidRPr="00CD59CC">
        <w:rPr>
          <w:rFonts w:ascii="Arial" w:hAnsi="Arial" w:cs="Arial"/>
          <w:bCs/>
          <w:iCs/>
        </w:rPr>
        <w:t xml:space="preserve"> </w:t>
      </w:r>
      <w:r w:rsidRPr="00CD59CC">
        <w:rPr>
          <w:rFonts w:ascii="Arial" w:hAnsi="Arial" w:cs="Arial"/>
          <w:bCs/>
          <w:iCs/>
        </w:rPr>
        <w:t>at</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K.L.</w:t>
      </w:r>
      <w:r w:rsidR="007B7640" w:rsidRPr="00CD59CC">
        <w:rPr>
          <w:rFonts w:ascii="Arial" w:hAnsi="Arial" w:cs="Arial"/>
          <w:bCs/>
          <w:iCs/>
        </w:rPr>
        <w:t xml:space="preserve"> </w:t>
      </w:r>
      <w:r w:rsidRPr="00CD59CC">
        <w:rPr>
          <w:rFonts w:ascii="Arial" w:hAnsi="Arial" w:cs="Arial"/>
          <w:bCs/>
          <w:iCs/>
        </w:rPr>
        <w:t>discotheque</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D.</w:t>
      </w:r>
      <w:r w:rsidR="007B7640" w:rsidRPr="00CD59CC">
        <w:rPr>
          <w:rFonts w:ascii="Arial" w:hAnsi="Arial" w:cs="Arial"/>
          <w:bCs/>
          <w:iCs/>
        </w:rPr>
        <w:t xml:space="preserve"> </w:t>
      </w:r>
      <w:r w:rsidRPr="00CD59CC">
        <w:rPr>
          <w:rFonts w:ascii="Arial" w:hAnsi="Arial" w:cs="Arial"/>
          <w:bCs/>
          <w:iCs/>
        </w:rPr>
        <w:t>On</w:t>
      </w:r>
      <w:r w:rsidR="007B7640" w:rsidRPr="00CD59CC">
        <w:rPr>
          <w:rFonts w:ascii="Arial" w:hAnsi="Arial" w:cs="Arial"/>
          <w:bCs/>
          <w:iCs/>
        </w:rPr>
        <w:t xml:space="preserve"> </w:t>
      </w:r>
      <w:r w:rsidRPr="00CD59CC">
        <w:rPr>
          <w:rFonts w:ascii="Arial" w:hAnsi="Arial" w:cs="Arial"/>
          <w:bCs/>
          <w:iCs/>
        </w:rPr>
        <w:t>1</w:t>
      </w:r>
      <w:r w:rsidR="007B7640" w:rsidRPr="00CD59CC">
        <w:rPr>
          <w:rFonts w:ascii="Arial" w:hAnsi="Arial" w:cs="Arial"/>
          <w:bCs/>
          <w:iCs/>
        </w:rPr>
        <w:t xml:space="preserve"> </w:t>
      </w:r>
      <w:r w:rsidRPr="00CD59CC">
        <w:rPr>
          <w:rFonts w:ascii="Arial" w:hAnsi="Arial" w:cs="Arial"/>
          <w:bCs/>
          <w:iCs/>
        </w:rPr>
        <w:t>April</w:t>
      </w:r>
      <w:r w:rsidR="007B7640" w:rsidRPr="00CD59CC">
        <w:rPr>
          <w:rFonts w:ascii="Arial" w:hAnsi="Arial" w:cs="Arial"/>
          <w:bCs/>
          <w:iCs/>
        </w:rPr>
        <w:t xml:space="preserve"> </w:t>
      </w:r>
      <w:r w:rsidRPr="00CD59CC">
        <w:rPr>
          <w:rFonts w:ascii="Arial" w:hAnsi="Arial" w:cs="Arial"/>
          <w:bCs/>
          <w:iCs/>
        </w:rPr>
        <w:t>2000</w:t>
      </w:r>
      <w:r w:rsidR="007B7640" w:rsidRPr="00CD59CC">
        <w:rPr>
          <w:rFonts w:ascii="Arial" w:hAnsi="Arial" w:cs="Arial"/>
          <w:bCs/>
          <w:iCs/>
        </w:rPr>
        <w:t xml:space="preserve"> </w:t>
      </w:r>
      <w:r w:rsidRPr="00CD59CC">
        <w:rPr>
          <w:rFonts w:ascii="Arial" w:hAnsi="Arial" w:cs="Arial"/>
          <w:bCs/>
          <w:iCs/>
        </w:rPr>
        <w:t>D.</w:t>
      </w:r>
      <w:r w:rsidR="007B7640" w:rsidRPr="00CD59CC">
        <w:rPr>
          <w:rFonts w:ascii="Arial" w:hAnsi="Arial" w:cs="Arial"/>
          <w:bCs/>
          <w:iCs/>
        </w:rPr>
        <w:t xml:space="preserve"> </w:t>
      </w:r>
      <w:r w:rsidRPr="00CD59CC">
        <w:rPr>
          <w:rFonts w:ascii="Arial" w:hAnsi="Arial" w:cs="Arial"/>
          <w:bCs/>
          <w:iCs/>
        </w:rPr>
        <w:t>M.</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D.</w:t>
      </w:r>
      <w:r w:rsidR="007B7640" w:rsidRPr="00CD59CC">
        <w:rPr>
          <w:rFonts w:ascii="Arial" w:hAnsi="Arial" w:cs="Arial"/>
          <w:bCs/>
          <w:iCs/>
        </w:rPr>
        <w:t xml:space="preserve"> </w:t>
      </w:r>
      <w:r w:rsidRPr="00CD59CC">
        <w:rPr>
          <w:rFonts w:ascii="Arial" w:hAnsi="Arial" w:cs="Arial"/>
          <w:bCs/>
          <w:iCs/>
        </w:rPr>
        <w:t>B.</w:t>
      </w:r>
      <w:r w:rsidR="007B7640" w:rsidRPr="00CD59CC">
        <w:rPr>
          <w:rFonts w:ascii="Arial" w:hAnsi="Arial" w:cs="Arial"/>
          <w:bCs/>
          <w:iCs/>
        </w:rPr>
        <w:t xml:space="preserve"> </w:t>
      </w:r>
      <w:r w:rsidRPr="00CD59CC">
        <w:rPr>
          <w:rFonts w:ascii="Arial" w:hAnsi="Arial" w:cs="Arial"/>
          <w:bCs/>
          <w:iCs/>
        </w:rPr>
        <w:t>non-Roma</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B.</w:t>
      </w:r>
      <w:r w:rsidR="007B7640" w:rsidRPr="00CD59CC">
        <w:rPr>
          <w:rFonts w:ascii="Arial" w:hAnsi="Arial" w:cs="Arial"/>
          <w:bCs/>
          <w:iCs/>
        </w:rPr>
        <w:t xml:space="preserve"> </w:t>
      </w:r>
      <w:r w:rsidRPr="00CD59CC">
        <w:rPr>
          <w:rFonts w:ascii="Arial" w:hAnsi="Arial" w:cs="Arial"/>
          <w:bCs/>
          <w:iCs/>
        </w:rPr>
        <w:t>B.</w:t>
      </w:r>
      <w:r w:rsidR="007B7640" w:rsidRPr="00CD59CC">
        <w:rPr>
          <w:rFonts w:ascii="Arial" w:hAnsi="Arial" w:cs="Arial"/>
          <w:bCs/>
          <w:iCs/>
        </w:rPr>
        <w:t xml:space="preserve"> </w:t>
      </w:r>
      <w:r w:rsidRPr="00CD59CC">
        <w:rPr>
          <w:rFonts w:ascii="Arial" w:hAnsi="Arial" w:cs="Arial"/>
          <w:bCs/>
          <w:iCs/>
        </w:rPr>
        <w:t>Roma</w:t>
      </w:r>
      <w:r w:rsidR="007B7640" w:rsidRPr="00CD59CC">
        <w:rPr>
          <w:rFonts w:ascii="Arial" w:hAnsi="Arial" w:cs="Arial"/>
          <w:bCs/>
          <w:iCs/>
        </w:rPr>
        <w:t xml:space="preserve"> </w:t>
      </w:r>
      <w:r w:rsidRPr="00CD59CC">
        <w:rPr>
          <w:rFonts w:ascii="Arial" w:hAnsi="Arial" w:cs="Arial"/>
          <w:bCs/>
          <w:iCs/>
        </w:rPr>
        <w:t>volunteers</w:t>
      </w:r>
      <w:r w:rsidR="007B7640" w:rsidRPr="00CD59CC">
        <w:rPr>
          <w:rFonts w:ascii="Arial" w:hAnsi="Arial" w:cs="Arial"/>
          <w:bCs/>
          <w:iCs/>
        </w:rPr>
        <w:t xml:space="preserve"> </w:t>
      </w:r>
      <w:r w:rsidRPr="00CD59CC">
        <w:rPr>
          <w:rFonts w:ascii="Arial" w:hAnsi="Arial" w:cs="Arial"/>
          <w:bCs/>
          <w:iCs/>
        </w:rPr>
        <w:t>travelled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village.</w:t>
      </w:r>
      <w:r w:rsidR="007B7640" w:rsidRPr="00CD59CC">
        <w:rPr>
          <w:rFonts w:ascii="Arial" w:hAnsi="Arial" w:cs="Arial"/>
          <w:bCs/>
          <w:iCs/>
        </w:rPr>
        <w:t xml:space="preserve"> </w:t>
      </w:r>
    </w:p>
    <w:p w14:paraId="5AB33C9C" w14:textId="77777777" w:rsidR="00CA5F94" w:rsidRPr="00CD59CC" w:rsidRDefault="00CA5F94" w:rsidP="00CD59CC">
      <w:pPr>
        <w:rPr>
          <w:rFonts w:ascii="Arial" w:hAnsi="Arial" w:cs="Arial"/>
          <w:bCs/>
          <w:iCs/>
        </w:rPr>
      </w:pPr>
    </w:p>
    <w:p w14:paraId="29291DBE" w14:textId="77777777" w:rsidR="00CA5F94" w:rsidRPr="00CD59CC" w:rsidRDefault="00CA5F94" w:rsidP="00CD59CC">
      <w:pPr>
        <w:rPr>
          <w:rFonts w:ascii="Arial" w:hAnsi="Arial" w:cs="Arial"/>
          <w:bCs/>
          <w:iCs/>
        </w:rPr>
      </w:pP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met</w:t>
      </w:r>
      <w:r w:rsidR="007B7640" w:rsidRPr="00CD59CC">
        <w:rPr>
          <w:rFonts w:ascii="Arial" w:hAnsi="Arial" w:cs="Arial"/>
          <w:bCs/>
          <w:iCs/>
        </w:rPr>
        <w:t xml:space="preserve"> </w:t>
      </w:r>
      <w:r w:rsidRPr="00CD59CC">
        <w:rPr>
          <w:rFonts w:ascii="Arial" w:hAnsi="Arial" w:cs="Arial"/>
          <w:bCs/>
          <w:iCs/>
        </w:rPr>
        <w:t>several</w:t>
      </w:r>
      <w:r w:rsidR="007B7640" w:rsidRPr="00CD59CC">
        <w:rPr>
          <w:rFonts w:ascii="Arial" w:hAnsi="Arial" w:cs="Arial"/>
          <w:bCs/>
          <w:iCs/>
        </w:rPr>
        <w:t xml:space="preserve"> </w:t>
      </w:r>
      <w:r w:rsidRPr="00CD59CC">
        <w:rPr>
          <w:rFonts w:ascii="Arial" w:hAnsi="Arial" w:cs="Arial"/>
          <w:bCs/>
          <w:iCs/>
        </w:rPr>
        <w:t>Roma</w:t>
      </w:r>
      <w:r w:rsidR="007B7640" w:rsidRPr="00CD59CC">
        <w:rPr>
          <w:rFonts w:ascii="Arial" w:hAnsi="Arial" w:cs="Arial"/>
          <w:bCs/>
          <w:iCs/>
        </w:rPr>
        <w:t xml:space="preserve"> </w:t>
      </w:r>
      <w:r w:rsidRPr="00CD59CC">
        <w:rPr>
          <w:rFonts w:ascii="Arial" w:hAnsi="Arial" w:cs="Arial"/>
          <w:bCs/>
          <w:iCs/>
        </w:rPr>
        <w:t>youth,</w:t>
      </w:r>
      <w:r w:rsidR="007B7640" w:rsidRPr="00CD59CC">
        <w:rPr>
          <w:rFonts w:ascii="Arial" w:hAnsi="Arial" w:cs="Arial"/>
          <w:bCs/>
          <w:iCs/>
        </w:rPr>
        <w:t xml:space="preserve"> </w:t>
      </w:r>
      <w:r w:rsidRPr="00CD59CC">
        <w:rPr>
          <w:rFonts w:ascii="Arial" w:hAnsi="Arial" w:cs="Arial"/>
          <w:bCs/>
          <w:iCs/>
        </w:rPr>
        <w:t>who</w:t>
      </w:r>
      <w:r w:rsidR="007B7640" w:rsidRPr="00CD59CC">
        <w:rPr>
          <w:rFonts w:ascii="Arial" w:hAnsi="Arial" w:cs="Arial"/>
          <w:bCs/>
          <w:iCs/>
        </w:rPr>
        <w:t xml:space="preserve"> </w:t>
      </w:r>
      <w:r w:rsidRPr="00CD59CC">
        <w:rPr>
          <w:rFonts w:ascii="Arial" w:hAnsi="Arial" w:cs="Arial"/>
          <w:bCs/>
          <w:iCs/>
        </w:rPr>
        <w:t>reiterated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claims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discrimination.</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recounted</w:t>
      </w:r>
      <w:r w:rsidR="007B7640" w:rsidRPr="00CD59CC">
        <w:rPr>
          <w:rFonts w:ascii="Arial" w:hAnsi="Arial" w:cs="Arial"/>
          <w:bCs/>
          <w:iCs/>
        </w:rPr>
        <w:t xml:space="preserve"> </w:t>
      </w:r>
      <w:r w:rsidRPr="00CD59CC">
        <w:rPr>
          <w:rFonts w:ascii="Arial" w:hAnsi="Arial" w:cs="Arial"/>
          <w:bCs/>
          <w:iCs/>
        </w:rPr>
        <w:t>that</w:t>
      </w:r>
      <w:r w:rsidR="007B7640" w:rsidRPr="00CD59CC">
        <w:rPr>
          <w:rFonts w:ascii="Arial" w:hAnsi="Arial" w:cs="Arial"/>
          <w:bCs/>
          <w:iCs/>
        </w:rPr>
        <w:t xml:space="preserve"> </w:t>
      </w:r>
      <w:r w:rsidRPr="00CD59CC">
        <w:rPr>
          <w:rFonts w:ascii="Arial" w:hAnsi="Arial" w:cs="Arial"/>
          <w:bCs/>
          <w:iCs/>
        </w:rPr>
        <w:t>every</w:t>
      </w:r>
      <w:r w:rsidR="007B7640" w:rsidRPr="00CD59CC">
        <w:rPr>
          <w:rFonts w:ascii="Arial" w:hAnsi="Arial" w:cs="Arial"/>
          <w:bCs/>
          <w:iCs/>
        </w:rPr>
        <w:t xml:space="preserve"> </w:t>
      </w:r>
      <w:r w:rsidRPr="00CD59CC">
        <w:rPr>
          <w:rFonts w:ascii="Arial" w:hAnsi="Arial" w:cs="Arial"/>
          <w:bCs/>
          <w:iCs/>
        </w:rPr>
        <w:t>time</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attempted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pay</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entrance</w:t>
      </w:r>
      <w:r w:rsidR="007B7640" w:rsidRPr="00CD59CC">
        <w:rPr>
          <w:rFonts w:ascii="Arial" w:hAnsi="Arial" w:cs="Arial"/>
          <w:bCs/>
          <w:iCs/>
        </w:rPr>
        <w:t xml:space="preserve"> </w:t>
      </w:r>
      <w:r w:rsidRPr="00CD59CC">
        <w:rPr>
          <w:rFonts w:ascii="Arial" w:hAnsi="Arial" w:cs="Arial"/>
          <w:bCs/>
          <w:iCs/>
        </w:rPr>
        <w:t>fee,</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were</w:t>
      </w:r>
      <w:r w:rsidR="007B7640" w:rsidRPr="00CD59CC">
        <w:rPr>
          <w:rFonts w:ascii="Arial" w:hAnsi="Arial" w:cs="Arial"/>
          <w:bCs/>
          <w:iCs/>
        </w:rPr>
        <w:t xml:space="preserve"> </w:t>
      </w:r>
      <w:r w:rsidRPr="00CD59CC">
        <w:rPr>
          <w:rFonts w:ascii="Arial" w:hAnsi="Arial" w:cs="Arial"/>
          <w:bCs/>
          <w:iCs/>
        </w:rPr>
        <w:t>sent</w:t>
      </w:r>
      <w:r w:rsidR="007B7640" w:rsidRPr="00CD59CC">
        <w:rPr>
          <w:rFonts w:ascii="Arial" w:hAnsi="Arial" w:cs="Arial"/>
          <w:bCs/>
          <w:iCs/>
        </w:rPr>
        <w:t xml:space="preserve"> </w:t>
      </w:r>
      <w:r w:rsidRPr="00CD59CC">
        <w:rPr>
          <w:rFonts w:ascii="Arial" w:hAnsi="Arial" w:cs="Arial"/>
          <w:bCs/>
          <w:iCs/>
        </w:rPr>
        <w:t>away</w:t>
      </w:r>
      <w:r w:rsidR="007B7640" w:rsidRPr="00CD59CC">
        <w:rPr>
          <w:rFonts w:ascii="Arial" w:hAnsi="Arial" w:cs="Arial"/>
          <w:bCs/>
          <w:iCs/>
        </w:rPr>
        <w:t xml:space="preserve"> </w:t>
      </w:r>
      <w:r w:rsidRPr="00CD59CC">
        <w:rPr>
          <w:rFonts w:ascii="Arial" w:hAnsi="Arial" w:cs="Arial"/>
          <w:bCs/>
          <w:iCs/>
        </w:rPr>
        <w:t>because</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were</w:t>
      </w:r>
      <w:r w:rsidR="007B7640" w:rsidRPr="00CD59CC">
        <w:rPr>
          <w:rFonts w:ascii="Arial" w:hAnsi="Arial" w:cs="Arial"/>
          <w:bCs/>
          <w:iCs/>
        </w:rPr>
        <w:t xml:space="preserve"> </w:t>
      </w:r>
      <w:r w:rsidRPr="00CD59CC">
        <w:rPr>
          <w:rFonts w:ascii="Arial" w:hAnsi="Arial" w:cs="Arial"/>
          <w:bCs/>
          <w:iCs/>
        </w:rPr>
        <w:t>not</w:t>
      </w:r>
      <w:r w:rsidR="007B7640" w:rsidRPr="00CD59CC">
        <w:rPr>
          <w:rFonts w:ascii="Arial" w:hAnsi="Arial" w:cs="Arial"/>
          <w:bCs/>
          <w:iCs/>
        </w:rPr>
        <w:t xml:space="preserve"> </w:t>
      </w:r>
      <w:r w:rsidRPr="00CD59CC">
        <w:rPr>
          <w:rFonts w:ascii="Arial" w:hAnsi="Arial" w:cs="Arial"/>
          <w:bCs/>
          <w:iCs/>
        </w:rPr>
        <w:t>members.</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inquired</w:t>
      </w:r>
      <w:r w:rsidR="007B7640" w:rsidRPr="00CD59CC">
        <w:rPr>
          <w:rFonts w:ascii="Arial" w:hAnsi="Arial" w:cs="Arial"/>
          <w:bCs/>
          <w:iCs/>
        </w:rPr>
        <w:t xml:space="preserve"> </w:t>
      </w:r>
      <w:r w:rsidRPr="00CD59CC">
        <w:rPr>
          <w:rFonts w:ascii="Arial" w:hAnsi="Arial" w:cs="Arial"/>
          <w:bCs/>
          <w:iCs/>
        </w:rPr>
        <w:t>about</w:t>
      </w:r>
      <w:r w:rsidR="007B7640" w:rsidRPr="00CD59CC">
        <w:rPr>
          <w:rFonts w:ascii="Arial" w:hAnsi="Arial" w:cs="Arial"/>
          <w:bCs/>
          <w:iCs/>
        </w:rPr>
        <w:t xml:space="preserve"> </w:t>
      </w:r>
      <w:r w:rsidRPr="00CD59CC">
        <w:rPr>
          <w:rFonts w:ascii="Arial" w:hAnsi="Arial" w:cs="Arial"/>
          <w:bCs/>
          <w:iCs/>
        </w:rPr>
        <w:t>how</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obtain</w:t>
      </w:r>
      <w:r w:rsidR="007B7640" w:rsidRPr="00CD59CC">
        <w:rPr>
          <w:rFonts w:ascii="Arial" w:hAnsi="Arial" w:cs="Arial"/>
          <w:bCs/>
          <w:iCs/>
        </w:rPr>
        <w:t xml:space="preserve"> </w:t>
      </w:r>
      <w:r w:rsidRPr="00CD59CC">
        <w:rPr>
          <w:rFonts w:ascii="Arial" w:hAnsi="Arial" w:cs="Arial"/>
          <w:bCs/>
          <w:iCs/>
        </w:rPr>
        <w:t>membership</w:t>
      </w:r>
      <w:r w:rsidR="007B7640" w:rsidRPr="00CD59CC">
        <w:rPr>
          <w:rFonts w:ascii="Arial" w:hAnsi="Arial" w:cs="Arial"/>
          <w:bCs/>
          <w:iCs/>
        </w:rPr>
        <w:t xml:space="preserve"> </w:t>
      </w:r>
      <w:r w:rsidRPr="00CD59CC">
        <w:rPr>
          <w:rFonts w:ascii="Arial" w:hAnsi="Arial" w:cs="Arial"/>
          <w:bCs/>
          <w:iCs/>
        </w:rPr>
        <w:t>cards.</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were</w:t>
      </w:r>
      <w:r w:rsidR="007B7640" w:rsidRPr="00CD59CC">
        <w:rPr>
          <w:rFonts w:ascii="Arial" w:hAnsi="Arial" w:cs="Arial"/>
          <w:bCs/>
          <w:iCs/>
        </w:rPr>
        <w:t xml:space="preserve"> </w:t>
      </w:r>
      <w:r w:rsidRPr="00CD59CC">
        <w:rPr>
          <w:rFonts w:ascii="Arial" w:hAnsi="Arial" w:cs="Arial"/>
          <w:bCs/>
          <w:iCs/>
        </w:rPr>
        <w:t>told</w:t>
      </w:r>
      <w:r w:rsidR="007B7640" w:rsidRPr="00CD59CC">
        <w:rPr>
          <w:rFonts w:ascii="Arial" w:hAnsi="Arial" w:cs="Arial"/>
          <w:bCs/>
          <w:iCs/>
        </w:rPr>
        <w:t xml:space="preserve"> </w:t>
      </w:r>
      <w:r w:rsidRPr="00CD59CC">
        <w:rPr>
          <w:rFonts w:ascii="Arial" w:hAnsi="Arial" w:cs="Arial"/>
          <w:bCs/>
          <w:iCs/>
        </w:rPr>
        <w:t>that</w:t>
      </w:r>
      <w:r w:rsidR="007B7640" w:rsidRPr="00CD59CC">
        <w:rPr>
          <w:rFonts w:ascii="Arial" w:hAnsi="Arial" w:cs="Arial"/>
          <w:bCs/>
          <w:iCs/>
        </w:rPr>
        <w:t xml:space="preserve"> </w:t>
      </w:r>
      <w:r w:rsidRPr="00CD59CC">
        <w:rPr>
          <w:rFonts w:ascii="Arial" w:hAnsi="Arial" w:cs="Arial"/>
          <w:bCs/>
          <w:iCs/>
        </w:rPr>
        <w:t>two</w:t>
      </w:r>
      <w:r w:rsidR="007B7640" w:rsidRPr="00CD59CC">
        <w:rPr>
          <w:rFonts w:ascii="Arial" w:hAnsi="Arial" w:cs="Arial"/>
          <w:bCs/>
          <w:iCs/>
        </w:rPr>
        <w:t xml:space="preserve"> </w:t>
      </w:r>
      <w:r w:rsidRPr="00CD59CC">
        <w:rPr>
          <w:rFonts w:ascii="Arial" w:hAnsi="Arial" w:cs="Arial"/>
          <w:bCs/>
          <w:iCs/>
        </w:rPr>
        <w:t>members’</w:t>
      </w:r>
      <w:r w:rsidR="007B7640" w:rsidRPr="00CD59CC">
        <w:rPr>
          <w:rFonts w:ascii="Arial" w:hAnsi="Arial" w:cs="Arial"/>
          <w:bCs/>
          <w:iCs/>
        </w:rPr>
        <w:t xml:space="preserve"> </w:t>
      </w:r>
      <w:r w:rsidRPr="00CD59CC">
        <w:rPr>
          <w:rFonts w:ascii="Arial" w:hAnsi="Arial" w:cs="Arial"/>
          <w:bCs/>
          <w:iCs/>
        </w:rPr>
        <w:t>recommendation</w:t>
      </w:r>
      <w:r w:rsidR="007B7640" w:rsidRPr="00CD59CC">
        <w:rPr>
          <w:rFonts w:ascii="Arial" w:hAnsi="Arial" w:cs="Arial"/>
          <w:bCs/>
          <w:iCs/>
        </w:rPr>
        <w:t xml:space="preserve"> </w:t>
      </w:r>
      <w:r w:rsidRPr="00CD59CC">
        <w:rPr>
          <w:rFonts w:ascii="Arial" w:hAnsi="Arial" w:cs="Arial"/>
          <w:bCs/>
          <w:iCs/>
        </w:rPr>
        <w:t>was</w:t>
      </w:r>
      <w:r w:rsidR="007B7640" w:rsidRPr="00CD59CC">
        <w:rPr>
          <w:rFonts w:ascii="Arial" w:hAnsi="Arial" w:cs="Arial"/>
          <w:bCs/>
          <w:iCs/>
        </w:rPr>
        <w:t xml:space="preserve"> </w:t>
      </w:r>
      <w:r w:rsidRPr="00CD59CC">
        <w:rPr>
          <w:rFonts w:ascii="Arial" w:hAnsi="Arial" w:cs="Arial"/>
          <w:bCs/>
          <w:iCs/>
        </w:rPr>
        <w:t>needed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acquire</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card.</w:t>
      </w:r>
      <w:r w:rsidR="007B7640" w:rsidRPr="00CD59CC">
        <w:rPr>
          <w:rFonts w:ascii="Arial" w:hAnsi="Arial" w:cs="Arial"/>
          <w:bCs/>
          <w:iCs/>
        </w:rPr>
        <w:t xml:space="preserve"> </w:t>
      </w:r>
      <w:r w:rsidRPr="00CD59CC">
        <w:rPr>
          <w:rFonts w:ascii="Arial" w:hAnsi="Arial" w:cs="Arial"/>
          <w:bCs/>
          <w:iCs/>
        </w:rPr>
        <w:t>Sometimes,</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were</w:t>
      </w:r>
      <w:r w:rsidR="007B7640" w:rsidRPr="00CD59CC">
        <w:rPr>
          <w:rFonts w:ascii="Arial" w:hAnsi="Arial" w:cs="Arial"/>
          <w:bCs/>
          <w:iCs/>
        </w:rPr>
        <w:t xml:space="preserve"> </w:t>
      </w:r>
      <w:r w:rsidRPr="00CD59CC">
        <w:rPr>
          <w:rFonts w:ascii="Arial" w:hAnsi="Arial" w:cs="Arial"/>
          <w:bCs/>
          <w:iCs/>
        </w:rPr>
        <w:t>told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submit</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CV</w:t>
      </w:r>
      <w:r w:rsidR="007B7640" w:rsidRPr="00CD59CC">
        <w:rPr>
          <w:rFonts w:ascii="Arial" w:hAnsi="Arial" w:cs="Arial"/>
          <w:bCs/>
          <w:iCs/>
        </w:rPr>
        <w:t xml:space="preserve"> </w:t>
      </w:r>
      <w:r w:rsidRPr="00CD59CC">
        <w:rPr>
          <w:rFonts w:ascii="Arial" w:hAnsi="Arial" w:cs="Arial"/>
          <w:bCs/>
          <w:iCs/>
        </w:rPr>
        <w:t>on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basis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which</w:t>
      </w:r>
      <w:r w:rsidR="007B7640" w:rsidRPr="00CD59CC">
        <w:rPr>
          <w:rFonts w:ascii="Arial" w:hAnsi="Arial" w:cs="Arial"/>
          <w:bCs/>
          <w:iCs/>
        </w:rPr>
        <w:t xml:space="preserve"> </w:t>
      </w:r>
      <w:r w:rsidRPr="00CD59CC">
        <w:rPr>
          <w:rFonts w:ascii="Arial" w:hAnsi="Arial" w:cs="Arial"/>
          <w:bCs/>
          <w:iCs/>
        </w:rPr>
        <w:t>their</w:t>
      </w:r>
      <w:r w:rsidR="007B7640" w:rsidRPr="00CD59CC">
        <w:rPr>
          <w:rFonts w:ascii="Arial" w:hAnsi="Arial" w:cs="Arial"/>
          <w:bCs/>
          <w:iCs/>
        </w:rPr>
        <w:t xml:space="preserve"> </w:t>
      </w:r>
      <w:r w:rsidRPr="00CD59CC">
        <w:rPr>
          <w:rFonts w:ascii="Arial" w:hAnsi="Arial" w:cs="Arial"/>
          <w:bCs/>
          <w:iCs/>
        </w:rPr>
        <w:t>application</w:t>
      </w:r>
      <w:r w:rsidR="007B7640" w:rsidRPr="00CD59CC">
        <w:rPr>
          <w:rFonts w:ascii="Arial" w:hAnsi="Arial" w:cs="Arial"/>
          <w:bCs/>
          <w:iCs/>
        </w:rPr>
        <w:t xml:space="preserve"> </w:t>
      </w:r>
      <w:r w:rsidRPr="00CD59CC">
        <w:rPr>
          <w:rFonts w:ascii="Arial" w:hAnsi="Arial" w:cs="Arial"/>
          <w:bCs/>
          <w:iCs/>
        </w:rPr>
        <w:t>would</w:t>
      </w:r>
      <w:r w:rsidR="007B7640" w:rsidRPr="00CD59CC">
        <w:rPr>
          <w:rFonts w:ascii="Arial" w:hAnsi="Arial" w:cs="Arial"/>
          <w:bCs/>
          <w:iCs/>
        </w:rPr>
        <w:t xml:space="preserve"> </w:t>
      </w:r>
      <w:r w:rsidRPr="00CD59CC">
        <w:rPr>
          <w:rFonts w:ascii="Arial" w:hAnsi="Arial" w:cs="Arial"/>
          <w:bCs/>
          <w:iCs/>
        </w:rPr>
        <w:t>be</w:t>
      </w:r>
      <w:r w:rsidR="007B7640" w:rsidRPr="00CD59CC">
        <w:rPr>
          <w:rFonts w:ascii="Arial" w:hAnsi="Arial" w:cs="Arial"/>
          <w:bCs/>
          <w:iCs/>
        </w:rPr>
        <w:t xml:space="preserve"> </w:t>
      </w:r>
      <w:r w:rsidRPr="00CD59CC">
        <w:rPr>
          <w:rFonts w:ascii="Arial" w:hAnsi="Arial" w:cs="Arial"/>
          <w:bCs/>
          <w:iCs/>
        </w:rPr>
        <w:t>evaluated.</w:t>
      </w:r>
      <w:r w:rsidR="007B7640" w:rsidRPr="00CD59CC">
        <w:rPr>
          <w:rFonts w:ascii="Arial" w:hAnsi="Arial" w:cs="Arial"/>
          <w:bCs/>
          <w:iCs/>
        </w:rPr>
        <w:t xml:space="preserve"> </w:t>
      </w:r>
      <w:r w:rsidRPr="00CD59CC">
        <w:rPr>
          <w:rFonts w:ascii="Arial" w:hAnsi="Arial" w:cs="Arial"/>
          <w:bCs/>
          <w:iCs/>
        </w:rPr>
        <w:t>At</w:t>
      </w:r>
      <w:r w:rsidR="007B7640" w:rsidRPr="00CD59CC">
        <w:rPr>
          <w:rFonts w:ascii="Arial" w:hAnsi="Arial" w:cs="Arial"/>
          <w:bCs/>
          <w:iCs/>
        </w:rPr>
        <w:t xml:space="preserve"> </w:t>
      </w:r>
      <w:r w:rsidRPr="00CD59CC">
        <w:rPr>
          <w:rFonts w:ascii="Arial" w:hAnsi="Arial" w:cs="Arial"/>
          <w:bCs/>
          <w:iCs/>
        </w:rPr>
        <w:t>other</w:t>
      </w:r>
      <w:r w:rsidR="007B7640" w:rsidRPr="00CD59CC">
        <w:rPr>
          <w:rFonts w:ascii="Arial" w:hAnsi="Arial" w:cs="Arial"/>
          <w:bCs/>
          <w:iCs/>
        </w:rPr>
        <w:t xml:space="preserve"> </w:t>
      </w:r>
      <w:r w:rsidRPr="00CD59CC">
        <w:rPr>
          <w:rFonts w:ascii="Arial" w:hAnsi="Arial" w:cs="Arial"/>
          <w:bCs/>
          <w:iCs/>
        </w:rPr>
        <w:t>times,</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were</w:t>
      </w:r>
      <w:r w:rsidR="007B7640" w:rsidRPr="00CD59CC">
        <w:rPr>
          <w:rFonts w:ascii="Arial" w:hAnsi="Arial" w:cs="Arial"/>
          <w:bCs/>
          <w:iCs/>
        </w:rPr>
        <w:t xml:space="preserve"> </w:t>
      </w:r>
      <w:r w:rsidRPr="00CD59CC">
        <w:rPr>
          <w:rFonts w:ascii="Arial" w:hAnsi="Arial" w:cs="Arial"/>
          <w:bCs/>
          <w:iCs/>
        </w:rPr>
        <w:t>asked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pay</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certain</w:t>
      </w:r>
      <w:r w:rsidR="007B7640" w:rsidRPr="00CD59CC">
        <w:rPr>
          <w:rFonts w:ascii="Arial" w:hAnsi="Arial" w:cs="Arial"/>
          <w:bCs/>
          <w:iCs/>
        </w:rPr>
        <w:t xml:space="preserve"> </w:t>
      </w:r>
      <w:r w:rsidRPr="00CD59CC">
        <w:rPr>
          <w:rFonts w:ascii="Arial" w:hAnsi="Arial" w:cs="Arial"/>
          <w:bCs/>
          <w:iCs/>
        </w:rPr>
        <w:t>amount</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cash</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order</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become</w:t>
      </w:r>
      <w:r w:rsidR="007B7640" w:rsidRPr="00CD59CC">
        <w:rPr>
          <w:rFonts w:ascii="Arial" w:hAnsi="Arial" w:cs="Arial"/>
          <w:bCs/>
          <w:iCs/>
        </w:rPr>
        <w:t xml:space="preserve"> </w:t>
      </w:r>
      <w:r w:rsidRPr="00CD59CC">
        <w:rPr>
          <w:rFonts w:ascii="Arial" w:hAnsi="Arial" w:cs="Arial"/>
          <w:bCs/>
          <w:iCs/>
        </w:rPr>
        <w:t>members.</w:t>
      </w:r>
      <w:r w:rsidR="007B7640" w:rsidRPr="00CD59CC">
        <w:rPr>
          <w:rFonts w:ascii="Arial" w:hAnsi="Arial" w:cs="Arial"/>
          <w:bCs/>
          <w:iCs/>
        </w:rPr>
        <w:t xml:space="preserve"> </w:t>
      </w:r>
    </w:p>
    <w:p w14:paraId="2966B92C" w14:textId="77777777" w:rsidR="00CA5F94" w:rsidRPr="00CD59CC" w:rsidRDefault="00CA5F94" w:rsidP="00CD59CC">
      <w:pPr>
        <w:rPr>
          <w:rFonts w:ascii="Arial" w:hAnsi="Arial" w:cs="Arial"/>
          <w:bCs/>
          <w:iCs/>
        </w:rPr>
      </w:pPr>
    </w:p>
    <w:p w14:paraId="64DA9AD5" w14:textId="77777777" w:rsidR="00CA5F94" w:rsidRPr="00CD59CC" w:rsidRDefault="00CA5F94" w:rsidP="00CD59CC">
      <w:pPr>
        <w:rPr>
          <w:rFonts w:ascii="Arial" w:hAnsi="Arial" w:cs="Arial"/>
          <w:bCs/>
          <w:iCs/>
        </w:rPr>
      </w:pP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two</w:t>
      </w:r>
      <w:r w:rsidR="007B7640" w:rsidRPr="00CD59CC">
        <w:rPr>
          <w:rFonts w:ascii="Arial" w:hAnsi="Arial" w:cs="Arial"/>
          <w:bCs/>
          <w:iCs/>
        </w:rPr>
        <w:t xml:space="preserve"> </w:t>
      </w:r>
      <w:r w:rsidRPr="00CD59CC">
        <w:rPr>
          <w:rFonts w:ascii="Arial" w:hAnsi="Arial" w:cs="Arial"/>
          <w:bCs/>
          <w:iCs/>
        </w:rPr>
        <w:t>non-Roma</w:t>
      </w:r>
      <w:r w:rsidR="007B7640" w:rsidRPr="00CD59CC">
        <w:rPr>
          <w:rFonts w:ascii="Arial" w:hAnsi="Arial" w:cs="Arial"/>
          <w:bCs/>
          <w:iCs/>
        </w:rPr>
        <w:t xml:space="preserve"> </w:t>
      </w:r>
      <w:r w:rsidRPr="00CD59CC">
        <w:rPr>
          <w:rFonts w:ascii="Arial" w:hAnsi="Arial" w:cs="Arial"/>
          <w:bCs/>
          <w:iCs/>
        </w:rPr>
        <w:t>volunteers</w:t>
      </w:r>
      <w:r w:rsidR="007B7640" w:rsidRPr="00CD59CC">
        <w:rPr>
          <w:rFonts w:ascii="Arial" w:hAnsi="Arial" w:cs="Arial"/>
          <w:bCs/>
          <w:iCs/>
        </w:rPr>
        <w:t xml:space="preserve"> </w:t>
      </w:r>
      <w:r w:rsidRPr="00CD59CC">
        <w:rPr>
          <w:rFonts w:ascii="Arial" w:hAnsi="Arial" w:cs="Arial"/>
          <w:bCs/>
          <w:iCs/>
        </w:rPr>
        <w:t>purchased</w:t>
      </w:r>
      <w:r w:rsidR="007B7640" w:rsidRPr="00CD59CC">
        <w:rPr>
          <w:rFonts w:ascii="Arial" w:hAnsi="Arial" w:cs="Arial"/>
          <w:bCs/>
          <w:iCs/>
        </w:rPr>
        <w:t xml:space="preserve"> </w:t>
      </w:r>
      <w:r w:rsidRPr="00CD59CC">
        <w:rPr>
          <w:rFonts w:ascii="Arial" w:hAnsi="Arial" w:cs="Arial"/>
          <w:bCs/>
          <w:iCs/>
        </w:rPr>
        <w:t>two</w:t>
      </w:r>
      <w:r w:rsidR="007B7640" w:rsidRPr="00CD59CC">
        <w:rPr>
          <w:rFonts w:ascii="Arial" w:hAnsi="Arial" w:cs="Arial"/>
          <w:bCs/>
          <w:iCs/>
        </w:rPr>
        <w:t xml:space="preserve"> </w:t>
      </w:r>
      <w:r w:rsidRPr="00CD59CC">
        <w:rPr>
          <w:rFonts w:ascii="Arial" w:hAnsi="Arial" w:cs="Arial"/>
          <w:bCs/>
          <w:iCs/>
        </w:rPr>
        <w:t>tickets</w:t>
      </w:r>
      <w:r w:rsidR="007B7640" w:rsidRPr="00CD59CC">
        <w:rPr>
          <w:rFonts w:ascii="Arial" w:hAnsi="Arial" w:cs="Arial"/>
          <w:bCs/>
          <w:iCs/>
        </w:rPr>
        <w:t xml:space="preserve"> </w:t>
      </w:r>
      <w:r w:rsidRPr="00CD59CC">
        <w:rPr>
          <w:rFonts w:ascii="Arial" w:hAnsi="Arial" w:cs="Arial"/>
          <w:bCs/>
          <w:iCs/>
        </w:rPr>
        <w:t>at</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entrance</w:t>
      </w:r>
      <w:r w:rsidR="007B7640" w:rsidRPr="00CD59CC">
        <w:rPr>
          <w:rFonts w:ascii="Arial" w:hAnsi="Arial" w:cs="Arial"/>
          <w:bCs/>
          <w:iCs/>
        </w:rPr>
        <w:t xml:space="preserve"> </w:t>
      </w:r>
      <w:r w:rsidRPr="00CD59CC">
        <w:rPr>
          <w:rFonts w:ascii="Arial" w:hAnsi="Arial" w:cs="Arial"/>
          <w:bCs/>
          <w:iCs/>
        </w:rPr>
        <w:t>without</w:t>
      </w:r>
      <w:r w:rsidR="007B7640" w:rsidRPr="00CD59CC">
        <w:rPr>
          <w:rFonts w:ascii="Arial" w:hAnsi="Arial" w:cs="Arial"/>
          <w:bCs/>
          <w:iCs/>
        </w:rPr>
        <w:t xml:space="preserve"> </w:t>
      </w:r>
      <w:r w:rsidRPr="00CD59CC">
        <w:rPr>
          <w:rFonts w:ascii="Arial" w:hAnsi="Arial" w:cs="Arial"/>
          <w:bCs/>
          <w:iCs/>
        </w:rPr>
        <w:t>any</w:t>
      </w:r>
      <w:r w:rsidR="007B7640" w:rsidRPr="00CD59CC">
        <w:rPr>
          <w:rFonts w:ascii="Arial" w:hAnsi="Arial" w:cs="Arial"/>
          <w:bCs/>
          <w:iCs/>
        </w:rPr>
        <w:t xml:space="preserve"> </w:t>
      </w:r>
      <w:r w:rsidRPr="00CD59CC">
        <w:rPr>
          <w:rFonts w:ascii="Arial" w:hAnsi="Arial" w:cs="Arial"/>
          <w:bCs/>
          <w:iCs/>
        </w:rPr>
        <w:t>trouble</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went</w:t>
      </w:r>
      <w:r w:rsidR="007B7640" w:rsidRPr="00CD59CC">
        <w:rPr>
          <w:rFonts w:ascii="Arial" w:hAnsi="Arial" w:cs="Arial"/>
          <w:bCs/>
          <w:iCs/>
        </w:rPr>
        <w:t xml:space="preserve"> </w:t>
      </w:r>
      <w:r w:rsidRPr="00CD59CC">
        <w:rPr>
          <w:rFonts w:ascii="Arial" w:hAnsi="Arial" w:cs="Arial"/>
          <w:bCs/>
          <w:iCs/>
        </w:rPr>
        <w:t>inside.</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ordered</w:t>
      </w:r>
      <w:r w:rsidR="007B7640" w:rsidRPr="00CD59CC">
        <w:rPr>
          <w:rFonts w:ascii="Arial" w:hAnsi="Arial" w:cs="Arial"/>
          <w:bCs/>
          <w:iCs/>
        </w:rPr>
        <w:t xml:space="preserve"> </w:t>
      </w:r>
      <w:r w:rsidRPr="00CD59CC">
        <w:rPr>
          <w:rFonts w:ascii="Arial" w:hAnsi="Arial" w:cs="Arial"/>
          <w:bCs/>
          <w:iCs/>
        </w:rPr>
        <w:t>beverages</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sat</w:t>
      </w:r>
      <w:r w:rsidR="007B7640" w:rsidRPr="00CD59CC">
        <w:rPr>
          <w:rFonts w:ascii="Arial" w:hAnsi="Arial" w:cs="Arial"/>
          <w:bCs/>
          <w:iCs/>
        </w:rPr>
        <w:t xml:space="preserve"> </w:t>
      </w:r>
      <w:r w:rsidRPr="00CD59CC">
        <w:rPr>
          <w:rFonts w:ascii="Arial" w:hAnsi="Arial" w:cs="Arial"/>
          <w:bCs/>
          <w:iCs/>
        </w:rPr>
        <w:t>down</w:t>
      </w:r>
      <w:r w:rsidR="007B7640" w:rsidRPr="00CD59CC">
        <w:rPr>
          <w:rFonts w:ascii="Arial" w:hAnsi="Arial" w:cs="Arial"/>
          <w:bCs/>
          <w:iCs/>
        </w:rPr>
        <w:t xml:space="preserve"> </w:t>
      </w:r>
      <w:r w:rsidRPr="00CD59CC">
        <w:rPr>
          <w:rFonts w:ascii="Arial" w:hAnsi="Arial" w:cs="Arial"/>
          <w:bCs/>
          <w:iCs/>
        </w:rPr>
        <w:t>at</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table.</w:t>
      </w:r>
      <w:r w:rsidR="007B7640" w:rsidRPr="00CD59CC">
        <w:rPr>
          <w:rFonts w:ascii="Arial" w:hAnsi="Arial" w:cs="Arial"/>
          <w:bCs/>
          <w:iCs/>
        </w:rPr>
        <w:t xml:space="preserve"> </w:t>
      </w:r>
      <w:r w:rsidRPr="00CD59CC">
        <w:rPr>
          <w:rFonts w:ascii="Arial" w:hAnsi="Arial" w:cs="Arial"/>
          <w:bCs/>
          <w:iCs/>
        </w:rPr>
        <w:t>Twenty</w:t>
      </w:r>
      <w:r w:rsidR="007B7640" w:rsidRPr="00CD59CC">
        <w:rPr>
          <w:rFonts w:ascii="Arial" w:hAnsi="Arial" w:cs="Arial"/>
          <w:bCs/>
          <w:iCs/>
        </w:rPr>
        <w:t xml:space="preserve"> </w:t>
      </w:r>
      <w:r w:rsidRPr="00CD59CC">
        <w:rPr>
          <w:rFonts w:ascii="Arial" w:hAnsi="Arial" w:cs="Arial"/>
          <w:bCs/>
          <w:iCs/>
        </w:rPr>
        <w:t>minutes</w:t>
      </w:r>
      <w:r w:rsidR="007B7640" w:rsidRPr="00CD59CC">
        <w:rPr>
          <w:rFonts w:ascii="Arial" w:hAnsi="Arial" w:cs="Arial"/>
          <w:bCs/>
          <w:iCs/>
        </w:rPr>
        <w:t xml:space="preserve"> </w:t>
      </w:r>
      <w:r w:rsidRPr="00CD59CC">
        <w:rPr>
          <w:rFonts w:ascii="Arial" w:hAnsi="Arial" w:cs="Arial"/>
          <w:bCs/>
          <w:iCs/>
        </w:rPr>
        <w:t>later</w:t>
      </w:r>
      <w:r w:rsidR="007B7640" w:rsidRPr="00CD59CC">
        <w:rPr>
          <w:rFonts w:ascii="Arial" w:hAnsi="Arial" w:cs="Arial"/>
          <w:bCs/>
          <w:iCs/>
        </w:rPr>
        <w:t xml:space="preserve"> </w:t>
      </w:r>
      <w:r w:rsidRPr="00CD59CC">
        <w:rPr>
          <w:rFonts w:ascii="Arial" w:hAnsi="Arial" w:cs="Arial"/>
          <w:bCs/>
          <w:iCs/>
        </w:rPr>
        <w:t>an</w:t>
      </w:r>
      <w:r w:rsidR="007B7640" w:rsidRPr="00CD59CC">
        <w:rPr>
          <w:rFonts w:ascii="Arial" w:hAnsi="Arial" w:cs="Arial"/>
          <w:bCs/>
          <w:iCs/>
        </w:rPr>
        <w:t xml:space="preserve"> </w:t>
      </w:r>
      <w:r w:rsidRPr="00CD59CC">
        <w:rPr>
          <w:rFonts w:ascii="Arial" w:hAnsi="Arial" w:cs="Arial"/>
          <w:bCs/>
          <w:iCs/>
        </w:rPr>
        <w:t>employee</w:t>
      </w:r>
      <w:r w:rsidR="007B7640" w:rsidRPr="00CD59CC">
        <w:rPr>
          <w:rFonts w:ascii="Arial" w:hAnsi="Arial" w:cs="Arial"/>
          <w:bCs/>
          <w:iCs/>
        </w:rPr>
        <w:t xml:space="preserve"> </w:t>
      </w:r>
      <w:r w:rsidRPr="00CD59CC">
        <w:rPr>
          <w:rFonts w:ascii="Arial" w:hAnsi="Arial" w:cs="Arial"/>
          <w:bCs/>
          <w:iCs/>
        </w:rPr>
        <w:t>went</w:t>
      </w:r>
      <w:r w:rsidR="007B7640" w:rsidRPr="00CD59CC">
        <w:rPr>
          <w:rFonts w:ascii="Arial" w:hAnsi="Arial" w:cs="Arial"/>
          <w:bCs/>
          <w:iCs/>
        </w:rPr>
        <w:t xml:space="preserve"> </w:t>
      </w:r>
      <w:r w:rsidRPr="00CD59CC">
        <w:rPr>
          <w:rFonts w:ascii="Arial" w:hAnsi="Arial" w:cs="Arial"/>
          <w:bCs/>
          <w:iCs/>
        </w:rPr>
        <w:t>up</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them</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ask</w:t>
      </w:r>
      <w:r w:rsidR="007B7640" w:rsidRPr="00CD59CC">
        <w:rPr>
          <w:rFonts w:ascii="Arial" w:hAnsi="Arial" w:cs="Arial"/>
          <w:bCs/>
          <w:iCs/>
        </w:rPr>
        <w:t xml:space="preserve"> </w:t>
      </w:r>
      <w:r w:rsidRPr="00CD59CC">
        <w:rPr>
          <w:rFonts w:ascii="Arial" w:hAnsi="Arial" w:cs="Arial"/>
          <w:bCs/>
          <w:iCs/>
        </w:rPr>
        <w:t>whether</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had</w:t>
      </w:r>
      <w:r w:rsidR="007B7640" w:rsidRPr="00CD59CC">
        <w:rPr>
          <w:rFonts w:ascii="Arial" w:hAnsi="Arial" w:cs="Arial"/>
          <w:bCs/>
          <w:iCs/>
        </w:rPr>
        <w:t xml:space="preserve"> </w:t>
      </w:r>
      <w:r w:rsidRPr="00CD59CC">
        <w:rPr>
          <w:rFonts w:ascii="Arial" w:hAnsi="Arial" w:cs="Arial"/>
          <w:bCs/>
          <w:iCs/>
        </w:rPr>
        <w:t>membership</w:t>
      </w:r>
      <w:r w:rsidR="007B7640" w:rsidRPr="00CD59CC">
        <w:rPr>
          <w:rFonts w:ascii="Arial" w:hAnsi="Arial" w:cs="Arial"/>
          <w:bCs/>
          <w:iCs/>
        </w:rPr>
        <w:t xml:space="preserve"> </w:t>
      </w:r>
      <w:r w:rsidRPr="00CD59CC">
        <w:rPr>
          <w:rFonts w:ascii="Arial" w:hAnsi="Arial" w:cs="Arial"/>
          <w:bCs/>
          <w:iCs/>
        </w:rPr>
        <w:t>cards.</w:t>
      </w:r>
      <w:r w:rsidR="007B7640" w:rsidRPr="00CD59CC">
        <w:rPr>
          <w:rFonts w:ascii="Arial" w:hAnsi="Arial" w:cs="Arial"/>
          <w:bCs/>
          <w:iCs/>
        </w:rPr>
        <w:t xml:space="preserve"> </w:t>
      </w:r>
      <w:r w:rsidRPr="00CD59CC">
        <w:rPr>
          <w:rFonts w:ascii="Arial" w:hAnsi="Arial" w:cs="Arial"/>
          <w:bCs/>
          <w:iCs/>
        </w:rPr>
        <w:t>He</w:t>
      </w:r>
      <w:r w:rsidR="007B7640" w:rsidRPr="00CD59CC">
        <w:rPr>
          <w:rFonts w:ascii="Arial" w:hAnsi="Arial" w:cs="Arial"/>
          <w:bCs/>
          <w:iCs/>
        </w:rPr>
        <w:t xml:space="preserve"> </w:t>
      </w:r>
      <w:r w:rsidRPr="00CD59CC">
        <w:rPr>
          <w:rFonts w:ascii="Arial" w:hAnsi="Arial" w:cs="Arial"/>
          <w:bCs/>
          <w:iCs/>
        </w:rPr>
        <w:t>then</w:t>
      </w:r>
      <w:r w:rsidR="007B7640" w:rsidRPr="00CD59CC">
        <w:rPr>
          <w:rFonts w:ascii="Arial" w:hAnsi="Arial" w:cs="Arial"/>
          <w:bCs/>
          <w:iCs/>
        </w:rPr>
        <w:t xml:space="preserve"> </w:t>
      </w:r>
      <w:r w:rsidRPr="00CD59CC">
        <w:rPr>
          <w:rFonts w:ascii="Arial" w:hAnsi="Arial" w:cs="Arial"/>
          <w:bCs/>
          <w:iCs/>
        </w:rPr>
        <w:t>issued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cards</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them</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registered</w:t>
      </w:r>
      <w:r w:rsidR="007B7640" w:rsidRPr="00CD59CC">
        <w:rPr>
          <w:rFonts w:ascii="Arial" w:hAnsi="Arial" w:cs="Arial"/>
          <w:bCs/>
          <w:iCs/>
        </w:rPr>
        <w:t xml:space="preserve"> </w:t>
      </w:r>
      <w:r w:rsidRPr="00CD59CC">
        <w:rPr>
          <w:rFonts w:ascii="Arial" w:hAnsi="Arial" w:cs="Arial"/>
          <w:bCs/>
          <w:iCs/>
        </w:rPr>
        <w:t>their</w:t>
      </w:r>
      <w:r w:rsidR="007B7640" w:rsidRPr="00CD59CC">
        <w:rPr>
          <w:rFonts w:ascii="Arial" w:hAnsi="Arial" w:cs="Arial"/>
          <w:bCs/>
          <w:iCs/>
        </w:rPr>
        <w:t xml:space="preserve"> </w:t>
      </w:r>
      <w:r w:rsidRPr="00CD59CC">
        <w:rPr>
          <w:rFonts w:ascii="Arial" w:hAnsi="Arial" w:cs="Arial"/>
          <w:bCs/>
          <w:iCs/>
        </w:rPr>
        <w:t>names</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addresses</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book.</w:t>
      </w:r>
      <w:r w:rsidR="007B7640" w:rsidRPr="00CD59CC">
        <w:rPr>
          <w:rFonts w:ascii="Arial" w:hAnsi="Arial" w:cs="Arial"/>
          <w:bCs/>
          <w:iCs/>
        </w:rPr>
        <w:t xml:space="preserve"> </w:t>
      </w:r>
    </w:p>
    <w:p w14:paraId="3172D304" w14:textId="77777777" w:rsidR="00CA5F94" w:rsidRPr="00CD59CC" w:rsidRDefault="00CA5F94" w:rsidP="00CD59CC">
      <w:pPr>
        <w:rPr>
          <w:rFonts w:ascii="Arial" w:hAnsi="Arial" w:cs="Arial"/>
          <w:bCs/>
          <w:iCs/>
        </w:rPr>
      </w:pPr>
    </w:p>
    <w:p w14:paraId="1D16210A" w14:textId="77777777" w:rsidR="00CA5F94" w:rsidRPr="00CD59CC" w:rsidRDefault="00CA5F94" w:rsidP="00CD59CC">
      <w:pPr>
        <w:rPr>
          <w:rFonts w:ascii="Arial" w:hAnsi="Arial" w:cs="Arial"/>
          <w:bCs/>
          <w:iCs/>
        </w:rPr>
      </w:pPr>
      <w:r w:rsidRPr="00CD59CC">
        <w:rPr>
          <w:rFonts w:ascii="Arial" w:hAnsi="Arial" w:cs="Arial"/>
          <w:bCs/>
          <w:iCs/>
        </w:rPr>
        <w:t>Meanwhile</w:t>
      </w:r>
      <w:r w:rsidR="007B7640" w:rsidRPr="00CD59CC">
        <w:rPr>
          <w:rFonts w:ascii="Arial" w:hAnsi="Arial" w:cs="Arial"/>
          <w:bCs/>
          <w:iCs/>
        </w:rPr>
        <w:t xml:space="preserve"> </w:t>
      </w:r>
      <w:r w:rsidRPr="00CD59CC">
        <w:rPr>
          <w:rFonts w:ascii="Arial" w:hAnsi="Arial" w:cs="Arial"/>
          <w:bCs/>
          <w:iCs/>
        </w:rPr>
        <w:t>–</w:t>
      </w:r>
      <w:r w:rsidR="007B7640" w:rsidRPr="00CD59CC">
        <w:rPr>
          <w:rFonts w:ascii="Arial" w:hAnsi="Arial" w:cs="Arial"/>
          <w:bCs/>
          <w:iCs/>
        </w:rPr>
        <w:t xml:space="preserve"> </w:t>
      </w:r>
      <w:r w:rsidRPr="00CD59CC">
        <w:rPr>
          <w:rFonts w:ascii="Arial" w:hAnsi="Arial" w:cs="Arial"/>
          <w:bCs/>
          <w:iCs/>
        </w:rPr>
        <w:t>without</w:t>
      </w:r>
      <w:r w:rsidR="007B7640" w:rsidRPr="00CD59CC">
        <w:rPr>
          <w:rFonts w:ascii="Arial" w:hAnsi="Arial" w:cs="Arial"/>
          <w:bCs/>
          <w:iCs/>
        </w:rPr>
        <w:t xml:space="preserve"> </w:t>
      </w:r>
      <w:r w:rsidRPr="00CD59CC">
        <w:rPr>
          <w:rFonts w:ascii="Arial" w:hAnsi="Arial" w:cs="Arial"/>
          <w:bCs/>
          <w:iCs/>
        </w:rPr>
        <w:t>being</w:t>
      </w:r>
      <w:r w:rsidR="007B7640" w:rsidRPr="00CD59CC">
        <w:rPr>
          <w:rFonts w:ascii="Arial" w:hAnsi="Arial" w:cs="Arial"/>
          <w:bCs/>
          <w:iCs/>
        </w:rPr>
        <w:t xml:space="preserve"> </w:t>
      </w:r>
      <w:r w:rsidRPr="00CD59CC">
        <w:rPr>
          <w:rFonts w:ascii="Arial" w:hAnsi="Arial" w:cs="Arial"/>
          <w:bCs/>
          <w:iCs/>
        </w:rPr>
        <w:t>asked</w:t>
      </w:r>
      <w:r w:rsidR="007B7640" w:rsidRPr="00CD59CC">
        <w:rPr>
          <w:rFonts w:ascii="Arial" w:hAnsi="Arial" w:cs="Arial"/>
          <w:bCs/>
          <w:iCs/>
        </w:rPr>
        <w:t xml:space="preserve"> </w:t>
      </w:r>
      <w:r w:rsidRPr="00CD59CC">
        <w:rPr>
          <w:rFonts w:ascii="Arial" w:hAnsi="Arial" w:cs="Arial"/>
          <w:bCs/>
          <w:iCs/>
        </w:rPr>
        <w:t>–</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employee</w:t>
      </w:r>
      <w:r w:rsidR="007B7640" w:rsidRPr="00CD59CC">
        <w:rPr>
          <w:rFonts w:ascii="Arial" w:hAnsi="Arial" w:cs="Arial"/>
          <w:bCs/>
          <w:iCs/>
        </w:rPr>
        <w:t xml:space="preserve"> </w:t>
      </w:r>
      <w:r w:rsidRPr="00CD59CC">
        <w:rPr>
          <w:rFonts w:ascii="Arial" w:hAnsi="Arial" w:cs="Arial"/>
          <w:bCs/>
          <w:iCs/>
        </w:rPr>
        <w:t>told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non-Roma</w:t>
      </w:r>
      <w:r w:rsidR="007B7640" w:rsidRPr="00CD59CC">
        <w:rPr>
          <w:rFonts w:ascii="Arial" w:hAnsi="Arial" w:cs="Arial"/>
          <w:bCs/>
          <w:iCs/>
        </w:rPr>
        <w:t xml:space="preserve"> </w:t>
      </w:r>
      <w:r w:rsidRPr="00CD59CC">
        <w:rPr>
          <w:rFonts w:ascii="Arial" w:hAnsi="Arial" w:cs="Arial"/>
          <w:bCs/>
          <w:iCs/>
        </w:rPr>
        <w:t>volunteers,</w:t>
      </w:r>
      <w:r w:rsidR="007B7640" w:rsidRPr="00CD59CC">
        <w:rPr>
          <w:rFonts w:ascii="Arial" w:hAnsi="Arial" w:cs="Arial"/>
          <w:bCs/>
          <w:iCs/>
        </w:rPr>
        <w:t xml:space="preserve"> </w:t>
      </w:r>
      <w:r w:rsidRPr="00CD59CC">
        <w:rPr>
          <w:rFonts w:ascii="Arial" w:hAnsi="Arial" w:cs="Arial"/>
          <w:bCs/>
          <w:iCs/>
        </w:rPr>
        <w:t>that</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cards</w:t>
      </w:r>
      <w:r w:rsidR="007B7640" w:rsidRPr="00CD59CC">
        <w:rPr>
          <w:rFonts w:ascii="Arial" w:hAnsi="Arial" w:cs="Arial"/>
          <w:bCs/>
          <w:iCs/>
        </w:rPr>
        <w:t xml:space="preserve"> </w:t>
      </w:r>
      <w:r w:rsidRPr="00CD59CC">
        <w:rPr>
          <w:rFonts w:ascii="Arial" w:hAnsi="Arial" w:cs="Arial"/>
          <w:bCs/>
          <w:iCs/>
        </w:rPr>
        <w:t>are</w:t>
      </w:r>
      <w:r w:rsidR="007B7640" w:rsidRPr="00CD59CC">
        <w:rPr>
          <w:rFonts w:ascii="Arial" w:hAnsi="Arial" w:cs="Arial"/>
          <w:bCs/>
          <w:iCs/>
        </w:rPr>
        <w:t xml:space="preserve"> </w:t>
      </w:r>
      <w:r w:rsidRPr="00CD59CC">
        <w:rPr>
          <w:rFonts w:ascii="Arial" w:hAnsi="Arial" w:cs="Arial"/>
          <w:bCs/>
          <w:iCs/>
        </w:rPr>
        <w:t>necessary</w:t>
      </w:r>
      <w:r w:rsidR="007B7640" w:rsidRPr="00CD59CC">
        <w:rPr>
          <w:rFonts w:ascii="Arial" w:hAnsi="Arial" w:cs="Arial"/>
          <w:bCs/>
          <w:iCs/>
        </w:rPr>
        <w:t xml:space="preserve"> </w:t>
      </w:r>
      <w:r w:rsidRPr="00CD59CC">
        <w:rPr>
          <w:rFonts w:ascii="Arial" w:hAnsi="Arial" w:cs="Arial"/>
          <w:bCs/>
          <w:iCs/>
        </w:rPr>
        <w:t>because</w:t>
      </w:r>
      <w:r w:rsidR="007B7640" w:rsidRPr="00CD59CC">
        <w:rPr>
          <w:rFonts w:ascii="Arial" w:hAnsi="Arial" w:cs="Arial"/>
          <w:bCs/>
          <w:iCs/>
        </w:rPr>
        <w:t xml:space="preserve"> </w:t>
      </w:r>
      <w:r w:rsidRPr="00CD59CC">
        <w:rPr>
          <w:rFonts w:ascii="Arial" w:hAnsi="Arial" w:cs="Arial"/>
          <w:bCs/>
          <w:iCs/>
        </w:rPr>
        <w:t>it</w:t>
      </w:r>
      <w:r w:rsidR="007B7640" w:rsidRPr="00CD59CC">
        <w:rPr>
          <w:rFonts w:ascii="Arial" w:hAnsi="Arial" w:cs="Arial"/>
          <w:bCs/>
          <w:iCs/>
        </w:rPr>
        <w:t xml:space="preserve"> </w:t>
      </w:r>
      <w:r w:rsidRPr="00CD59CC">
        <w:rPr>
          <w:rFonts w:ascii="Arial" w:hAnsi="Arial" w:cs="Arial"/>
          <w:bCs/>
          <w:iCs/>
        </w:rPr>
        <w:t>is</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only</w:t>
      </w:r>
      <w:r w:rsidR="007B7640" w:rsidRPr="00CD59CC">
        <w:rPr>
          <w:rFonts w:ascii="Arial" w:hAnsi="Arial" w:cs="Arial"/>
          <w:bCs/>
          <w:iCs/>
        </w:rPr>
        <w:t xml:space="preserve"> </w:t>
      </w:r>
      <w:r w:rsidRPr="00CD59CC">
        <w:rPr>
          <w:rFonts w:ascii="Arial" w:hAnsi="Arial" w:cs="Arial"/>
          <w:bCs/>
          <w:iCs/>
        </w:rPr>
        <w:t>way</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prevent</w:t>
      </w:r>
      <w:r w:rsidR="007B7640" w:rsidRPr="00CD59CC">
        <w:rPr>
          <w:rFonts w:ascii="Arial" w:hAnsi="Arial" w:cs="Arial"/>
          <w:bCs/>
          <w:iCs/>
        </w:rPr>
        <w:t xml:space="preserve"> </w:t>
      </w:r>
      <w:r w:rsidRPr="00CD59CC">
        <w:rPr>
          <w:rFonts w:ascii="Arial" w:hAnsi="Arial" w:cs="Arial"/>
          <w:bCs/>
          <w:iCs/>
        </w:rPr>
        <w:t>Gypsies</w:t>
      </w:r>
      <w:r w:rsidR="007B7640" w:rsidRPr="00CD59CC">
        <w:rPr>
          <w:rFonts w:ascii="Arial" w:hAnsi="Arial" w:cs="Arial"/>
          <w:bCs/>
          <w:iCs/>
        </w:rPr>
        <w:t xml:space="preserve"> </w:t>
      </w:r>
      <w:r w:rsidRPr="00CD59CC">
        <w:rPr>
          <w:rFonts w:ascii="Arial" w:hAnsi="Arial" w:cs="Arial"/>
          <w:bCs/>
          <w:iCs/>
        </w:rPr>
        <w:t>from</w:t>
      </w:r>
      <w:r w:rsidR="007B7640" w:rsidRPr="00CD59CC">
        <w:rPr>
          <w:rFonts w:ascii="Arial" w:hAnsi="Arial" w:cs="Arial"/>
          <w:bCs/>
          <w:iCs/>
        </w:rPr>
        <w:t xml:space="preserve"> </w:t>
      </w:r>
      <w:r w:rsidRPr="00CD59CC">
        <w:rPr>
          <w:rFonts w:ascii="Arial" w:hAnsi="Arial" w:cs="Arial"/>
          <w:bCs/>
          <w:iCs/>
        </w:rPr>
        <w:t>entering.</w:t>
      </w:r>
      <w:r w:rsidR="007B7640" w:rsidRPr="00CD59CC">
        <w:rPr>
          <w:rFonts w:ascii="Arial" w:hAnsi="Arial" w:cs="Arial"/>
          <w:bCs/>
          <w:iCs/>
        </w:rPr>
        <w:t xml:space="preserve"> </w:t>
      </w:r>
      <w:r w:rsidRPr="00CD59CC">
        <w:rPr>
          <w:rFonts w:ascii="Arial" w:hAnsi="Arial" w:cs="Arial"/>
          <w:bCs/>
          <w:iCs/>
        </w:rPr>
        <w:t>Previously</w:t>
      </w:r>
      <w:r w:rsidR="007B7640" w:rsidRPr="00CD59CC">
        <w:rPr>
          <w:rFonts w:ascii="Arial" w:hAnsi="Arial" w:cs="Arial"/>
          <w:bCs/>
          <w:iCs/>
        </w:rPr>
        <w:t xml:space="preserve"> </w:t>
      </w:r>
      <w:r w:rsidRPr="00CD59CC">
        <w:rPr>
          <w:rFonts w:ascii="Arial" w:hAnsi="Arial" w:cs="Arial"/>
          <w:bCs/>
          <w:iCs/>
        </w:rPr>
        <w:t>we</w:t>
      </w:r>
      <w:r w:rsidR="007B7640" w:rsidRPr="00CD59CC">
        <w:rPr>
          <w:rFonts w:ascii="Arial" w:hAnsi="Arial" w:cs="Arial"/>
          <w:bCs/>
          <w:iCs/>
        </w:rPr>
        <w:t xml:space="preserve"> </w:t>
      </w:r>
      <w:r w:rsidRPr="00CD59CC">
        <w:rPr>
          <w:rFonts w:ascii="Arial" w:hAnsi="Arial" w:cs="Arial"/>
          <w:bCs/>
          <w:iCs/>
        </w:rPr>
        <w:t>had</w:t>
      </w:r>
      <w:r w:rsidR="007B7640" w:rsidRPr="00CD59CC">
        <w:rPr>
          <w:rFonts w:ascii="Arial" w:hAnsi="Arial" w:cs="Arial"/>
          <w:bCs/>
          <w:iCs/>
        </w:rPr>
        <w:t xml:space="preserve"> </w:t>
      </w:r>
      <w:r w:rsidRPr="00CD59CC">
        <w:rPr>
          <w:rFonts w:ascii="Arial" w:hAnsi="Arial" w:cs="Arial"/>
          <w:bCs/>
          <w:iCs/>
        </w:rPr>
        <w:t>problems</w:t>
      </w:r>
      <w:r w:rsidR="007B7640" w:rsidRPr="00CD59CC">
        <w:rPr>
          <w:rFonts w:ascii="Arial" w:hAnsi="Arial" w:cs="Arial"/>
          <w:bCs/>
          <w:iCs/>
        </w:rPr>
        <w:t xml:space="preserve"> </w:t>
      </w:r>
      <w:r w:rsidRPr="00CD59CC">
        <w:rPr>
          <w:rFonts w:ascii="Arial" w:hAnsi="Arial" w:cs="Arial"/>
          <w:bCs/>
          <w:iCs/>
        </w:rPr>
        <w:t>with</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consumer</w:t>
      </w:r>
      <w:r w:rsidR="007B7640" w:rsidRPr="00CD59CC">
        <w:rPr>
          <w:rFonts w:ascii="Arial" w:hAnsi="Arial" w:cs="Arial"/>
          <w:bCs/>
          <w:iCs/>
        </w:rPr>
        <w:t xml:space="preserve"> </w:t>
      </w:r>
      <w:r w:rsidRPr="00CD59CC">
        <w:rPr>
          <w:rFonts w:ascii="Arial" w:hAnsi="Arial" w:cs="Arial"/>
          <w:bCs/>
          <w:iCs/>
        </w:rPr>
        <w:t>inspection</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parliamentary</w:t>
      </w:r>
      <w:r w:rsidR="007B7640" w:rsidRPr="00CD59CC">
        <w:rPr>
          <w:rFonts w:ascii="Arial" w:hAnsi="Arial" w:cs="Arial"/>
          <w:bCs/>
          <w:iCs/>
        </w:rPr>
        <w:t xml:space="preserve"> </w:t>
      </w:r>
      <w:r w:rsidRPr="00CD59CC">
        <w:rPr>
          <w:rFonts w:ascii="Arial" w:hAnsi="Arial" w:cs="Arial"/>
          <w:bCs/>
          <w:iCs/>
        </w:rPr>
        <w:t>commissioner.”</w:t>
      </w:r>
    </w:p>
    <w:p w14:paraId="74FE3547" w14:textId="77777777" w:rsidR="00CA5F94" w:rsidRPr="00CD59CC" w:rsidRDefault="00CA5F94" w:rsidP="00CD59CC">
      <w:pPr>
        <w:rPr>
          <w:rFonts w:ascii="Arial" w:hAnsi="Arial" w:cs="Arial"/>
          <w:bCs/>
          <w:iCs/>
        </w:rPr>
      </w:pPr>
    </w:p>
    <w:p w14:paraId="574ECAEB" w14:textId="77777777" w:rsidR="00CA5F94" w:rsidRPr="00CD59CC" w:rsidRDefault="00CA5F94" w:rsidP="00CD59CC">
      <w:pPr>
        <w:rPr>
          <w:rFonts w:ascii="Arial" w:hAnsi="Arial" w:cs="Arial"/>
          <w:bCs/>
          <w:iCs/>
        </w:rPr>
      </w:pPr>
      <w:r w:rsidRPr="00CD59CC">
        <w:rPr>
          <w:rFonts w:ascii="Arial" w:hAnsi="Arial" w:cs="Arial"/>
          <w:bCs/>
          <w:iCs/>
        </w:rPr>
        <w:t>Thirty</w:t>
      </w:r>
      <w:r w:rsidR="007B7640" w:rsidRPr="00CD59CC">
        <w:rPr>
          <w:rFonts w:ascii="Arial" w:hAnsi="Arial" w:cs="Arial"/>
          <w:bCs/>
          <w:iCs/>
        </w:rPr>
        <w:t xml:space="preserve"> </w:t>
      </w:r>
      <w:r w:rsidRPr="00CD59CC">
        <w:rPr>
          <w:rFonts w:ascii="Arial" w:hAnsi="Arial" w:cs="Arial"/>
          <w:bCs/>
          <w:iCs/>
        </w:rPr>
        <w:t>minutes</w:t>
      </w:r>
      <w:r w:rsidR="007B7640" w:rsidRPr="00CD59CC">
        <w:rPr>
          <w:rFonts w:ascii="Arial" w:hAnsi="Arial" w:cs="Arial"/>
          <w:bCs/>
          <w:iCs/>
        </w:rPr>
        <w:t xml:space="preserve"> </w:t>
      </w:r>
      <w:r w:rsidRPr="00CD59CC">
        <w:rPr>
          <w:rFonts w:ascii="Arial" w:hAnsi="Arial" w:cs="Arial"/>
          <w:bCs/>
          <w:iCs/>
        </w:rPr>
        <w:t>later</w:t>
      </w:r>
      <w:r w:rsidR="007B7640" w:rsidRPr="00CD59CC">
        <w:rPr>
          <w:rFonts w:ascii="Arial" w:hAnsi="Arial" w:cs="Arial"/>
          <w:bCs/>
          <w:iCs/>
        </w:rPr>
        <w:t xml:space="preserve"> </w:t>
      </w:r>
      <w:r w:rsidRPr="00CD59CC">
        <w:rPr>
          <w:rFonts w:ascii="Arial" w:hAnsi="Arial" w:cs="Arial"/>
          <w:bCs/>
          <w:iCs/>
        </w:rPr>
        <w:t>B.</w:t>
      </w:r>
      <w:r w:rsidR="007B7640" w:rsidRPr="00CD59CC">
        <w:rPr>
          <w:rFonts w:ascii="Arial" w:hAnsi="Arial" w:cs="Arial"/>
          <w:bCs/>
          <w:iCs/>
        </w:rPr>
        <w:t xml:space="preserve"> </w:t>
      </w:r>
      <w:r w:rsidRPr="00CD59CC">
        <w:rPr>
          <w:rFonts w:ascii="Arial" w:hAnsi="Arial" w:cs="Arial"/>
          <w:bCs/>
          <w:iCs/>
        </w:rPr>
        <w:t>B.,</w:t>
      </w:r>
      <w:r w:rsidR="007B7640" w:rsidRPr="00CD59CC">
        <w:rPr>
          <w:rFonts w:ascii="Arial" w:hAnsi="Arial" w:cs="Arial"/>
          <w:bCs/>
          <w:iCs/>
        </w:rPr>
        <w:t xml:space="preserve"> </w:t>
      </w:r>
      <w:r w:rsidRPr="00CD59CC">
        <w:rPr>
          <w:rFonts w:ascii="Arial" w:hAnsi="Arial" w:cs="Arial"/>
          <w:bCs/>
          <w:iCs/>
        </w:rPr>
        <w:t>Roma</w:t>
      </w:r>
      <w:r w:rsidR="007B7640" w:rsidRPr="00CD59CC">
        <w:rPr>
          <w:rFonts w:ascii="Arial" w:hAnsi="Arial" w:cs="Arial"/>
          <w:bCs/>
          <w:iCs/>
        </w:rPr>
        <w:t xml:space="preserve"> </w:t>
      </w:r>
      <w:r w:rsidRPr="00CD59CC">
        <w:rPr>
          <w:rFonts w:ascii="Arial" w:hAnsi="Arial" w:cs="Arial"/>
          <w:bCs/>
          <w:iCs/>
        </w:rPr>
        <w:t>volunteer</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P.</w:t>
      </w:r>
      <w:r w:rsidR="007B7640" w:rsidRPr="00CD59CC">
        <w:rPr>
          <w:rFonts w:ascii="Arial" w:hAnsi="Arial" w:cs="Arial"/>
          <w:bCs/>
          <w:iCs/>
        </w:rPr>
        <w:t xml:space="preserve"> </w:t>
      </w:r>
      <w:r w:rsidRPr="00CD59CC">
        <w:rPr>
          <w:rFonts w:ascii="Arial" w:hAnsi="Arial" w:cs="Arial"/>
          <w:bCs/>
          <w:iCs/>
        </w:rPr>
        <w:t>M.,</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local</w:t>
      </w:r>
      <w:r w:rsidR="007B7640" w:rsidRPr="00CD59CC">
        <w:rPr>
          <w:rFonts w:ascii="Arial" w:hAnsi="Arial" w:cs="Arial"/>
          <w:bCs/>
          <w:iCs/>
        </w:rPr>
        <w:t xml:space="preserve"> </w:t>
      </w:r>
      <w:r w:rsidRPr="00CD59CC">
        <w:rPr>
          <w:rFonts w:ascii="Arial" w:hAnsi="Arial" w:cs="Arial"/>
          <w:bCs/>
          <w:iCs/>
        </w:rPr>
        <w:t>Roma</w:t>
      </w:r>
      <w:r w:rsidR="007B7640" w:rsidRPr="00CD59CC">
        <w:rPr>
          <w:rFonts w:ascii="Arial" w:hAnsi="Arial" w:cs="Arial"/>
          <w:bCs/>
          <w:iCs/>
        </w:rPr>
        <w:t xml:space="preserve"> </w:t>
      </w:r>
      <w:r w:rsidRPr="00CD59CC">
        <w:rPr>
          <w:rFonts w:ascii="Arial" w:hAnsi="Arial" w:cs="Arial"/>
          <w:bCs/>
          <w:iCs/>
        </w:rPr>
        <w:t>youth</w:t>
      </w:r>
      <w:r w:rsidR="007B7640" w:rsidRPr="00CD59CC">
        <w:rPr>
          <w:rFonts w:ascii="Arial" w:hAnsi="Arial" w:cs="Arial"/>
          <w:bCs/>
          <w:iCs/>
        </w:rPr>
        <w:t xml:space="preserve"> </w:t>
      </w:r>
      <w:r w:rsidRPr="00CD59CC">
        <w:rPr>
          <w:rFonts w:ascii="Arial" w:hAnsi="Arial" w:cs="Arial"/>
          <w:bCs/>
          <w:iCs/>
        </w:rPr>
        <w:t>also</w:t>
      </w:r>
      <w:r w:rsidR="007B7640" w:rsidRPr="00CD59CC">
        <w:rPr>
          <w:rFonts w:ascii="Arial" w:hAnsi="Arial" w:cs="Arial"/>
          <w:bCs/>
          <w:iCs/>
        </w:rPr>
        <w:t xml:space="preserve"> </w:t>
      </w:r>
      <w:r w:rsidRPr="00CD59CC">
        <w:rPr>
          <w:rFonts w:ascii="Arial" w:hAnsi="Arial" w:cs="Arial"/>
          <w:bCs/>
          <w:iCs/>
        </w:rPr>
        <w:t>set</w:t>
      </w:r>
      <w:r w:rsidR="007B7640" w:rsidRPr="00CD59CC">
        <w:rPr>
          <w:rFonts w:ascii="Arial" w:hAnsi="Arial" w:cs="Arial"/>
          <w:bCs/>
          <w:iCs/>
        </w:rPr>
        <w:t xml:space="preserve"> </w:t>
      </w:r>
      <w:r w:rsidRPr="00CD59CC">
        <w:rPr>
          <w:rFonts w:ascii="Arial" w:hAnsi="Arial" w:cs="Arial"/>
          <w:bCs/>
          <w:iCs/>
        </w:rPr>
        <w:t>out</w:t>
      </w:r>
      <w:r w:rsidR="007B7640" w:rsidRPr="00CD59CC">
        <w:rPr>
          <w:rFonts w:ascii="Arial" w:hAnsi="Arial" w:cs="Arial"/>
          <w:bCs/>
          <w:iCs/>
        </w:rPr>
        <w:t xml:space="preserve"> </w:t>
      </w:r>
      <w:r w:rsidRPr="00CD59CC">
        <w:rPr>
          <w:rFonts w:ascii="Arial" w:hAnsi="Arial" w:cs="Arial"/>
          <w:bCs/>
          <w:iCs/>
        </w:rPr>
        <w:t>for</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discotheque.</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also</w:t>
      </w:r>
      <w:r w:rsidR="007B7640" w:rsidRPr="00CD59CC">
        <w:rPr>
          <w:rFonts w:ascii="Arial" w:hAnsi="Arial" w:cs="Arial"/>
          <w:bCs/>
          <w:iCs/>
        </w:rPr>
        <w:t xml:space="preserve"> </w:t>
      </w:r>
      <w:r w:rsidRPr="00CD59CC">
        <w:rPr>
          <w:rFonts w:ascii="Arial" w:hAnsi="Arial" w:cs="Arial"/>
          <w:bCs/>
          <w:iCs/>
        </w:rPr>
        <w:t>wanted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buy</w:t>
      </w:r>
      <w:r w:rsidR="007B7640" w:rsidRPr="00CD59CC">
        <w:rPr>
          <w:rFonts w:ascii="Arial" w:hAnsi="Arial" w:cs="Arial"/>
          <w:bCs/>
          <w:iCs/>
        </w:rPr>
        <w:t xml:space="preserve"> </w:t>
      </w:r>
      <w:r w:rsidRPr="00CD59CC">
        <w:rPr>
          <w:rFonts w:ascii="Arial" w:hAnsi="Arial" w:cs="Arial"/>
          <w:bCs/>
          <w:iCs/>
        </w:rPr>
        <w:t>two</w:t>
      </w:r>
      <w:r w:rsidR="007B7640" w:rsidRPr="00CD59CC">
        <w:rPr>
          <w:rFonts w:ascii="Arial" w:hAnsi="Arial" w:cs="Arial"/>
          <w:bCs/>
          <w:iCs/>
        </w:rPr>
        <w:t xml:space="preserve"> </w:t>
      </w:r>
      <w:r w:rsidRPr="00CD59CC">
        <w:rPr>
          <w:rFonts w:ascii="Arial" w:hAnsi="Arial" w:cs="Arial"/>
          <w:bCs/>
          <w:iCs/>
        </w:rPr>
        <w:t>tickets</w:t>
      </w:r>
      <w:r w:rsidR="007B7640" w:rsidRPr="00CD59CC">
        <w:rPr>
          <w:rFonts w:ascii="Arial" w:hAnsi="Arial" w:cs="Arial"/>
          <w:bCs/>
          <w:iCs/>
        </w:rPr>
        <w:t xml:space="preserve"> </w:t>
      </w:r>
      <w:r w:rsidRPr="00CD59CC">
        <w:rPr>
          <w:rFonts w:ascii="Arial" w:hAnsi="Arial" w:cs="Arial"/>
          <w:bCs/>
          <w:iCs/>
        </w:rPr>
        <w:t>at</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door</w:t>
      </w:r>
      <w:r w:rsidR="007B7640" w:rsidRPr="00CD59CC">
        <w:rPr>
          <w:rFonts w:ascii="Arial" w:hAnsi="Arial" w:cs="Arial"/>
          <w:bCs/>
          <w:iCs/>
        </w:rPr>
        <w:t xml:space="preserve"> </w:t>
      </w:r>
      <w:r w:rsidRPr="00CD59CC">
        <w:rPr>
          <w:rFonts w:ascii="Arial" w:hAnsi="Arial" w:cs="Arial"/>
          <w:bCs/>
          <w:iCs/>
        </w:rPr>
        <w:t>but</w:t>
      </w:r>
      <w:r w:rsidR="007B7640" w:rsidRPr="00CD59CC">
        <w:rPr>
          <w:rFonts w:ascii="Arial" w:hAnsi="Arial" w:cs="Arial"/>
          <w:bCs/>
          <w:iCs/>
        </w:rPr>
        <w:t xml:space="preserve"> </w:t>
      </w:r>
      <w:r w:rsidRPr="00CD59CC">
        <w:rPr>
          <w:rFonts w:ascii="Arial" w:hAnsi="Arial" w:cs="Arial"/>
          <w:bCs/>
          <w:iCs/>
        </w:rPr>
        <w:t>were</w:t>
      </w:r>
      <w:r w:rsidR="007B7640" w:rsidRPr="00CD59CC">
        <w:rPr>
          <w:rFonts w:ascii="Arial" w:hAnsi="Arial" w:cs="Arial"/>
          <w:bCs/>
          <w:iCs/>
        </w:rPr>
        <w:t xml:space="preserve"> </w:t>
      </w:r>
      <w:r w:rsidRPr="00CD59CC">
        <w:rPr>
          <w:rFonts w:ascii="Arial" w:hAnsi="Arial" w:cs="Arial"/>
          <w:bCs/>
          <w:iCs/>
        </w:rPr>
        <w:t>refused,</w:t>
      </w:r>
      <w:r w:rsidR="007B7640" w:rsidRPr="00CD59CC">
        <w:rPr>
          <w:rFonts w:ascii="Arial" w:hAnsi="Arial" w:cs="Arial"/>
          <w:bCs/>
          <w:iCs/>
        </w:rPr>
        <w:t xml:space="preserve"> </w:t>
      </w: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did</w:t>
      </w:r>
      <w:r w:rsidR="007B7640" w:rsidRPr="00CD59CC">
        <w:rPr>
          <w:rFonts w:ascii="Arial" w:hAnsi="Arial" w:cs="Arial"/>
          <w:bCs/>
          <w:iCs/>
        </w:rPr>
        <w:t xml:space="preserve"> </w:t>
      </w:r>
      <w:r w:rsidRPr="00CD59CC">
        <w:rPr>
          <w:rFonts w:ascii="Arial" w:hAnsi="Arial" w:cs="Arial"/>
          <w:bCs/>
          <w:iCs/>
        </w:rPr>
        <w:t>not</w:t>
      </w:r>
      <w:r w:rsidR="007B7640" w:rsidRPr="00CD59CC">
        <w:rPr>
          <w:rFonts w:ascii="Arial" w:hAnsi="Arial" w:cs="Arial"/>
          <w:bCs/>
          <w:iCs/>
        </w:rPr>
        <w:t xml:space="preserve"> </w:t>
      </w:r>
      <w:r w:rsidRPr="00CD59CC">
        <w:rPr>
          <w:rFonts w:ascii="Arial" w:hAnsi="Arial" w:cs="Arial"/>
          <w:bCs/>
          <w:iCs/>
        </w:rPr>
        <w:t>have</w:t>
      </w:r>
      <w:r w:rsidR="007B7640" w:rsidRPr="00CD59CC">
        <w:rPr>
          <w:rFonts w:ascii="Arial" w:hAnsi="Arial" w:cs="Arial"/>
          <w:bCs/>
          <w:iCs/>
        </w:rPr>
        <w:t xml:space="preserve"> </w:t>
      </w:r>
      <w:r w:rsidRPr="00CD59CC">
        <w:rPr>
          <w:rFonts w:ascii="Arial" w:hAnsi="Arial" w:cs="Arial"/>
          <w:bCs/>
          <w:iCs/>
        </w:rPr>
        <w:t>membership</w:t>
      </w:r>
      <w:r w:rsidR="007B7640" w:rsidRPr="00CD59CC">
        <w:rPr>
          <w:rFonts w:ascii="Arial" w:hAnsi="Arial" w:cs="Arial"/>
          <w:bCs/>
          <w:iCs/>
        </w:rPr>
        <w:t xml:space="preserve"> </w:t>
      </w:r>
      <w:r w:rsidRPr="00CD59CC">
        <w:rPr>
          <w:rFonts w:ascii="Arial" w:hAnsi="Arial" w:cs="Arial"/>
          <w:bCs/>
          <w:iCs/>
        </w:rPr>
        <w:t>cards.</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then</w:t>
      </w:r>
      <w:r w:rsidR="007B7640" w:rsidRPr="00CD59CC">
        <w:rPr>
          <w:rFonts w:ascii="Arial" w:hAnsi="Arial" w:cs="Arial"/>
          <w:bCs/>
          <w:iCs/>
        </w:rPr>
        <w:t xml:space="preserve"> </w:t>
      </w:r>
      <w:r w:rsidRPr="00CD59CC">
        <w:rPr>
          <w:rFonts w:ascii="Arial" w:hAnsi="Arial" w:cs="Arial"/>
          <w:bCs/>
          <w:iCs/>
        </w:rPr>
        <w:t>asked</w:t>
      </w:r>
      <w:r w:rsidR="007B7640" w:rsidRPr="00CD59CC">
        <w:rPr>
          <w:rFonts w:ascii="Arial" w:hAnsi="Arial" w:cs="Arial"/>
          <w:bCs/>
          <w:iCs/>
        </w:rPr>
        <w:t xml:space="preserve"> </w:t>
      </w:r>
      <w:r w:rsidRPr="00CD59CC">
        <w:rPr>
          <w:rFonts w:ascii="Arial" w:hAnsi="Arial" w:cs="Arial"/>
          <w:bCs/>
          <w:iCs/>
        </w:rPr>
        <w:t>how</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could</w:t>
      </w:r>
      <w:r w:rsidR="007B7640" w:rsidRPr="00CD59CC">
        <w:rPr>
          <w:rFonts w:ascii="Arial" w:hAnsi="Arial" w:cs="Arial"/>
          <w:bCs/>
          <w:iCs/>
        </w:rPr>
        <w:t xml:space="preserve"> </w:t>
      </w:r>
      <w:r w:rsidRPr="00CD59CC">
        <w:rPr>
          <w:rFonts w:ascii="Arial" w:hAnsi="Arial" w:cs="Arial"/>
          <w:bCs/>
          <w:iCs/>
        </w:rPr>
        <w:t>obtain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cards</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were</w:t>
      </w:r>
      <w:r w:rsidR="007B7640" w:rsidRPr="00CD59CC">
        <w:rPr>
          <w:rFonts w:ascii="Arial" w:hAnsi="Arial" w:cs="Arial"/>
          <w:bCs/>
          <w:iCs/>
        </w:rPr>
        <w:t xml:space="preserve"> </w:t>
      </w:r>
      <w:r w:rsidRPr="00CD59CC">
        <w:rPr>
          <w:rFonts w:ascii="Arial" w:hAnsi="Arial" w:cs="Arial"/>
          <w:bCs/>
          <w:iCs/>
        </w:rPr>
        <w:t>told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present</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CV</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recommendations</w:t>
      </w:r>
      <w:r w:rsidR="007B7640" w:rsidRPr="00CD59CC">
        <w:rPr>
          <w:rFonts w:ascii="Arial" w:hAnsi="Arial" w:cs="Arial"/>
          <w:bCs/>
          <w:iCs/>
        </w:rPr>
        <w:t xml:space="preserve"> </w:t>
      </w:r>
      <w:r w:rsidRPr="00CD59CC">
        <w:rPr>
          <w:rFonts w:ascii="Arial" w:hAnsi="Arial" w:cs="Arial"/>
          <w:bCs/>
          <w:iCs/>
        </w:rPr>
        <w:t>from</w:t>
      </w:r>
      <w:r w:rsidR="007B7640" w:rsidRPr="00CD59CC">
        <w:rPr>
          <w:rFonts w:ascii="Arial" w:hAnsi="Arial" w:cs="Arial"/>
          <w:bCs/>
          <w:iCs/>
        </w:rPr>
        <w:t xml:space="preserve"> </w:t>
      </w:r>
      <w:r w:rsidRPr="00CD59CC">
        <w:rPr>
          <w:rFonts w:ascii="Arial" w:hAnsi="Arial" w:cs="Arial"/>
          <w:bCs/>
          <w:iCs/>
        </w:rPr>
        <w:t>two</w:t>
      </w:r>
      <w:r w:rsidR="007B7640" w:rsidRPr="00CD59CC">
        <w:rPr>
          <w:rFonts w:ascii="Arial" w:hAnsi="Arial" w:cs="Arial"/>
          <w:bCs/>
          <w:iCs/>
        </w:rPr>
        <w:t xml:space="preserve"> </w:t>
      </w:r>
      <w:r w:rsidRPr="00CD59CC">
        <w:rPr>
          <w:rFonts w:ascii="Arial" w:hAnsi="Arial" w:cs="Arial"/>
          <w:bCs/>
          <w:iCs/>
        </w:rPr>
        <w:t>members.</w:t>
      </w:r>
      <w:r w:rsidR="007B7640" w:rsidRPr="00CD59CC">
        <w:rPr>
          <w:rFonts w:ascii="Arial" w:hAnsi="Arial" w:cs="Arial"/>
          <w:bCs/>
          <w:iCs/>
        </w:rPr>
        <w:t xml:space="preserve"> </w:t>
      </w:r>
      <w:r w:rsidRPr="00CD59CC">
        <w:rPr>
          <w:rFonts w:ascii="Arial" w:hAnsi="Arial" w:cs="Arial"/>
          <w:bCs/>
          <w:iCs/>
        </w:rPr>
        <w:t>B.</w:t>
      </w:r>
      <w:r w:rsidR="007B7640" w:rsidRPr="00CD59CC">
        <w:rPr>
          <w:rFonts w:ascii="Arial" w:hAnsi="Arial" w:cs="Arial"/>
          <w:bCs/>
          <w:iCs/>
        </w:rPr>
        <w:t xml:space="preserve"> </w:t>
      </w:r>
      <w:r w:rsidRPr="00CD59CC">
        <w:rPr>
          <w:rFonts w:ascii="Arial" w:hAnsi="Arial" w:cs="Arial"/>
          <w:bCs/>
          <w:iCs/>
        </w:rPr>
        <w:t>B.</w:t>
      </w:r>
      <w:r w:rsidR="007B7640" w:rsidRPr="00CD59CC">
        <w:rPr>
          <w:rFonts w:ascii="Arial" w:hAnsi="Arial" w:cs="Arial"/>
          <w:bCs/>
          <w:iCs/>
        </w:rPr>
        <w:t xml:space="preserve"> </w:t>
      </w:r>
      <w:r w:rsidRPr="00CD59CC">
        <w:rPr>
          <w:rFonts w:ascii="Arial" w:hAnsi="Arial" w:cs="Arial"/>
          <w:bCs/>
          <w:iCs/>
        </w:rPr>
        <w:t>then</w:t>
      </w:r>
      <w:r w:rsidR="007B7640" w:rsidRPr="00CD59CC">
        <w:rPr>
          <w:rFonts w:ascii="Arial" w:hAnsi="Arial" w:cs="Arial"/>
          <w:bCs/>
          <w:iCs/>
        </w:rPr>
        <w:t xml:space="preserve"> </w:t>
      </w:r>
      <w:r w:rsidRPr="00CD59CC">
        <w:rPr>
          <w:rFonts w:ascii="Arial" w:hAnsi="Arial" w:cs="Arial"/>
          <w:bCs/>
          <w:iCs/>
        </w:rPr>
        <w:t>asked</w:t>
      </w:r>
      <w:r w:rsidR="007B7640" w:rsidRPr="00CD59CC">
        <w:rPr>
          <w:rFonts w:ascii="Arial" w:hAnsi="Arial" w:cs="Arial"/>
          <w:bCs/>
          <w:iCs/>
        </w:rPr>
        <w:t xml:space="preserve"> </w:t>
      </w:r>
      <w:r w:rsidRPr="00CD59CC">
        <w:rPr>
          <w:rFonts w:ascii="Arial" w:hAnsi="Arial" w:cs="Arial"/>
          <w:bCs/>
          <w:iCs/>
        </w:rPr>
        <w:t>for</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book</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customers.</w:t>
      </w:r>
      <w:r w:rsidR="007B7640" w:rsidRPr="00CD59CC">
        <w:rPr>
          <w:rFonts w:ascii="Arial" w:hAnsi="Arial" w:cs="Arial"/>
          <w:bCs/>
          <w:iCs/>
        </w:rPr>
        <w:t xml:space="preserve"> </w:t>
      </w:r>
      <w:r w:rsidRPr="00CD59CC">
        <w:rPr>
          <w:rFonts w:ascii="Arial" w:hAnsi="Arial" w:cs="Arial"/>
          <w:bCs/>
          <w:iCs/>
        </w:rPr>
        <w:t>He</w:t>
      </w:r>
      <w:r w:rsidR="007B7640" w:rsidRPr="00CD59CC">
        <w:rPr>
          <w:rFonts w:ascii="Arial" w:hAnsi="Arial" w:cs="Arial"/>
          <w:bCs/>
          <w:iCs/>
        </w:rPr>
        <w:t xml:space="preserve"> </w:t>
      </w:r>
      <w:r w:rsidRPr="00CD59CC">
        <w:rPr>
          <w:rFonts w:ascii="Arial" w:hAnsi="Arial" w:cs="Arial"/>
          <w:bCs/>
          <w:iCs/>
        </w:rPr>
        <w:t>was</w:t>
      </w:r>
      <w:r w:rsidR="007B7640" w:rsidRPr="00CD59CC">
        <w:rPr>
          <w:rFonts w:ascii="Arial" w:hAnsi="Arial" w:cs="Arial"/>
          <w:bCs/>
          <w:iCs/>
        </w:rPr>
        <w:t xml:space="preserve"> </w:t>
      </w:r>
      <w:r w:rsidRPr="00CD59CC">
        <w:rPr>
          <w:rFonts w:ascii="Arial" w:hAnsi="Arial" w:cs="Arial"/>
          <w:bCs/>
          <w:iCs/>
        </w:rPr>
        <w:t>told</w:t>
      </w:r>
      <w:r w:rsidR="007B7640" w:rsidRPr="00CD59CC">
        <w:rPr>
          <w:rFonts w:ascii="Arial" w:hAnsi="Arial" w:cs="Arial"/>
          <w:bCs/>
          <w:iCs/>
        </w:rPr>
        <w:t xml:space="preserve"> </w:t>
      </w:r>
      <w:r w:rsidRPr="00CD59CC">
        <w:rPr>
          <w:rFonts w:ascii="Arial" w:hAnsi="Arial" w:cs="Arial"/>
          <w:bCs/>
          <w:iCs/>
        </w:rPr>
        <w:t>that</w:t>
      </w:r>
      <w:r w:rsidR="007B7640" w:rsidRPr="00CD59CC">
        <w:rPr>
          <w:rFonts w:ascii="Arial" w:hAnsi="Arial" w:cs="Arial"/>
          <w:bCs/>
          <w:iCs/>
        </w:rPr>
        <w:t xml:space="preserve"> </w:t>
      </w:r>
      <w:r w:rsidRPr="00CD59CC">
        <w:rPr>
          <w:rFonts w:ascii="Arial" w:hAnsi="Arial" w:cs="Arial"/>
          <w:bCs/>
          <w:iCs/>
        </w:rPr>
        <w:t>it</w:t>
      </w:r>
      <w:r w:rsidR="007B7640" w:rsidRPr="00CD59CC">
        <w:rPr>
          <w:rFonts w:ascii="Arial" w:hAnsi="Arial" w:cs="Arial"/>
          <w:bCs/>
          <w:iCs/>
        </w:rPr>
        <w:t xml:space="preserve"> </w:t>
      </w:r>
      <w:r w:rsidRPr="00CD59CC">
        <w:rPr>
          <w:rFonts w:ascii="Arial" w:hAnsi="Arial" w:cs="Arial"/>
          <w:bCs/>
          <w:iCs/>
        </w:rPr>
        <w:t>was</w:t>
      </w:r>
      <w:r w:rsidR="007B7640" w:rsidRPr="00CD59CC">
        <w:rPr>
          <w:rFonts w:ascii="Arial" w:hAnsi="Arial" w:cs="Arial"/>
          <w:bCs/>
          <w:iCs/>
        </w:rPr>
        <w:t xml:space="preserve"> </w:t>
      </w:r>
      <w:r w:rsidRPr="00CD59CC">
        <w:rPr>
          <w:rFonts w:ascii="Arial" w:hAnsi="Arial" w:cs="Arial"/>
          <w:bCs/>
          <w:iCs/>
        </w:rPr>
        <w:t>not</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discotheque</w:t>
      </w:r>
      <w:r w:rsidR="007B7640" w:rsidRPr="00CD59CC">
        <w:rPr>
          <w:rFonts w:ascii="Arial" w:hAnsi="Arial" w:cs="Arial"/>
          <w:bCs/>
          <w:iCs/>
        </w:rPr>
        <w:t xml:space="preserve"> </w:t>
      </w:r>
      <w:r w:rsidRPr="00CD59CC">
        <w:rPr>
          <w:rFonts w:ascii="Arial" w:hAnsi="Arial" w:cs="Arial"/>
          <w:bCs/>
          <w:iCs/>
        </w:rPr>
        <w:t>but</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club,</w:t>
      </w:r>
      <w:r w:rsidR="007B7640" w:rsidRPr="00CD59CC">
        <w:rPr>
          <w:rFonts w:ascii="Arial" w:hAnsi="Arial" w:cs="Arial"/>
          <w:bCs/>
          <w:iCs/>
        </w:rPr>
        <w:t xml:space="preserve"> </w:t>
      </w:r>
      <w:r w:rsidRPr="00CD59CC">
        <w:rPr>
          <w:rFonts w:ascii="Arial" w:hAnsi="Arial" w:cs="Arial"/>
          <w:bCs/>
          <w:iCs/>
        </w:rPr>
        <w:t>therefore</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did</w:t>
      </w:r>
      <w:r w:rsidR="007B7640" w:rsidRPr="00CD59CC">
        <w:rPr>
          <w:rFonts w:ascii="Arial" w:hAnsi="Arial" w:cs="Arial"/>
          <w:bCs/>
          <w:iCs/>
        </w:rPr>
        <w:t xml:space="preserve"> </w:t>
      </w:r>
      <w:r w:rsidRPr="00CD59CC">
        <w:rPr>
          <w:rFonts w:ascii="Arial" w:hAnsi="Arial" w:cs="Arial"/>
          <w:bCs/>
          <w:iCs/>
        </w:rPr>
        <w:t>not</w:t>
      </w:r>
      <w:r w:rsidR="007B7640" w:rsidRPr="00CD59CC">
        <w:rPr>
          <w:rFonts w:ascii="Arial" w:hAnsi="Arial" w:cs="Arial"/>
          <w:bCs/>
          <w:iCs/>
        </w:rPr>
        <w:t xml:space="preserve"> </w:t>
      </w:r>
      <w:r w:rsidRPr="00CD59CC">
        <w:rPr>
          <w:rFonts w:ascii="Arial" w:hAnsi="Arial" w:cs="Arial"/>
          <w:bCs/>
          <w:iCs/>
        </w:rPr>
        <w:t>have</w:t>
      </w:r>
      <w:r w:rsidR="007B7640" w:rsidRPr="00CD59CC">
        <w:rPr>
          <w:rFonts w:ascii="Arial" w:hAnsi="Arial" w:cs="Arial"/>
          <w:bCs/>
          <w:iCs/>
        </w:rPr>
        <w:t xml:space="preserve"> </w:t>
      </w:r>
      <w:r w:rsidRPr="00CD59CC">
        <w:rPr>
          <w:rFonts w:ascii="Arial" w:hAnsi="Arial" w:cs="Arial"/>
          <w:bCs/>
          <w:iCs/>
        </w:rPr>
        <w:t>such</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book.</w:t>
      </w:r>
      <w:r w:rsidR="007B7640" w:rsidRPr="00CD59CC">
        <w:rPr>
          <w:rFonts w:ascii="Arial" w:hAnsi="Arial" w:cs="Arial"/>
          <w:bCs/>
          <w:iCs/>
        </w:rPr>
        <w:t xml:space="preserve"> </w:t>
      </w:r>
      <w:r w:rsidRPr="00CD59CC">
        <w:rPr>
          <w:rFonts w:ascii="Arial" w:hAnsi="Arial" w:cs="Arial"/>
          <w:bCs/>
          <w:iCs/>
        </w:rPr>
        <w:t>Fifteen</w:t>
      </w:r>
      <w:r w:rsidR="007B7640" w:rsidRPr="00CD59CC">
        <w:rPr>
          <w:rFonts w:ascii="Arial" w:hAnsi="Arial" w:cs="Arial"/>
          <w:bCs/>
          <w:iCs/>
        </w:rPr>
        <w:t xml:space="preserve"> </w:t>
      </w:r>
      <w:r w:rsidRPr="00CD59CC">
        <w:rPr>
          <w:rFonts w:ascii="Arial" w:hAnsi="Arial" w:cs="Arial"/>
          <w:bCs/>
          <w:iCs/>
        </w:rPr>
        <w:t>minutes</w:t>
      </w:r>
      <w:r w:rsidR="007B7640" w:rsidRPr="00CD59CC">
        <w:rPr>
          <w:rFonts w:ascii="Arial" w:hAnsi="Arial" w:cs="Arial"/>
          <w:bCs/>
          <w:iCs/>
        </w:rPr>
        <w:t xml:space="preserve"> </w:t>
      </w:r>
      <w:r w:rsidRPr="00CD59CC">
        <w:rPr>
          <w:rFonts w:ascii="Arial" w:hAnsi="Arial" w:cs="Arial"/>
          <w:bCs/>
          <w:iCs/>
        </w:rPr>
        <w:t>later</w:t>
      </w:r>
      <w:r w:rsidR="007B7640" w:rsidRPr="00CD59CC">
        <w:rPr>
          <w:rFonts w:ascii="Arial" w:hAnsi="Arial" w:cs="Arial"/>
          <w:bCs/>
          <w:iCs/>
        </w:rPr>
        <w:t xml:space="preserve"> </w:t>
      </w:r>
      <w:r w:rsidRPr="00CD59CC">
        <w:rPr>
          <w:rFonts w:ascii="Arial" w:hAnsi="Arial" w:cs="Arial"/>
          <w:bCs/>
          <w:iCs/>
        </w:rPr>
        <w:lastRenderedPageBreak/>
        <w:t>three</w:t>
      </w:r>
      <w:r w:rsidR="007B7640" w:rsidRPr="00CD59CC">
        <w:rPr>
          <w:rFonts w:ascii="Arial" w:hAnsi="Arial" w:cs="Arial"/>
          <w:bCs/>
          <w:iCs/>
        </w:rPr>
        <w:t xml:space="preserve"> </w:t>
      </w:r>
      <w:r w:rsidRPr="00CD59CC">
        <w:rPr>
          <w:rFonts w:ascii="Arial" w:hAnsi="Arial" w:cs="Arial"/>
          <w:bCs/>
          <w:iCs/>
        </w:rPr>
        <w:t>local</w:t>
      </w:r>
      <w:r w:rsidR="007B7640" w:rsidRPr="00CD59CC">
        <w:rPr>
          <w:rFonts w:ascii="Arial" w:hAnsi="Arial" w:cs="Arial"/>
          <w:bCs/>
          <w:iCs/>
        </w:rPr>
        <w:t xml:space="preserve"> </w:t>
      </w:r>
      <w:r w:rsidRPr="00CD59CC">
        <w:rPr>
          <w:rFonts w:ascii="Arial" w:hAnsi="Arial" w:cs="Arial"/>
          <w:bCs/>
          <w:iCs/>
        </w:rPr>
        <w:t>Roma</w:t>
      </w:r>
      <w:r w:rsidR="007B7640" w:rsidRPr="00CD59CC">
        <w:rPr>
          <w:rFonts w:ascii="Arial" w:hAnsi="Arial" w:cs="Arial"/>
          <w:bCs/>
          <w:iCs/>
        </w:rPr>
        <w:t xml:space="preserve"> </w:t>
      </w:r>
      <w:r w:rsidRPr="00CD59CC">
        <w:rPr>
          <w:rFonts w:ascii="Arial" w:hAnsi="Arial" w:cs="Arial"/>
          <w:bCs/>
          <w:iCs/>
        </w:rPr>
        <w:t>youths</w:t>
      </w:r>
      <w:r w:rsidR="007B7640" w:rsidRPr="00CD59CC">
        <w:rPr>
          <w:rFonts w:ascii="Arial" w:hAnsi="Arial" w:cs="Arial"/>
          <w:bCs/>
          <w:iCs/>
        </w:rPr>
        <w:t xml:space="preserve"> </w:t>
      </w:r>
      <w:r w:rsidRPr="00CD59CC">
        <w:rPr>
          <w:rFonts w:ascii="Arial" w:hAnsi="Arial" w:cs="Arial"/>
          <w:bCs/>
          <w:iCs/>
        </w:rPr>
        <w:t>tried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get</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with</w:t>
      </w:r>
      <w:r w:rsidR="007B7640" w:rsidRPr="00CD59CC">
        <w:rPr>
          <w:rFonts w:ascii="Arial" w:hAnsi="Arial" w:cs="Arial"/>
          <w:bCs/>
          <w:iCs/>
        </w:rPr>
        <w:t xml:space="preserve"> </w:t>
      </w:r>
      <w:r w:rsidRPr="00CD59CC">
        <w:rPr>
          <w:rFonts w:ascii="Arial" w:hAnsi="Arial" w:cs="Arial"/>
          <w:bCs/>
          <w:iCs/>
        </w:rPr>
        <w:t>no</w:t>
      </w:r>
      <w:r w:rsidR="007B7640" w:rsidRPr="00CD59CC">
        <w:rPr>
          <w:rFonts w:ascii="Arial" w:hAnsi="Arial" w:cs="Arial"/>
          <w:bCs/>
          <w:iCs/>
        </w:rPr>
        <w:t xml:space="preserve"> </w:t>
      </w:r>
      <w:r w:rsidRPr="00CD59CC">
        <w:rPr>
          <w:rFonts w:ascii="Arial" w:hAnsi="Arial" w:cs="Arial"/>
          <w:bCs/>
          <w:iCs/>
        </w:rPr>
        <w:t>luck.</w:t>
      </w:r>
      <w:r w:rsidR="007B7640" w:rsidRPr="00CD59CC">
        <w:rPr>
          <w:rFonts w:ascii="Arial" w:hAnsi="Arial" w:cs="Arial"/>
          <w:bCs/>
          <w:iCs/>
        </w:rPr>
        <w:t xml:space="preserve"> </w:t>
      </w:r>
      <w:r w:rsidRPr="00CD59CC">
        <w:rPr>
          <w:rFonts w:ascii="Arial" w:hAnsi="Arial" w:cs="Arial"/>
          <w:bCs/>
          <w:iCs/>
        </w:rPr>
        <w:t>Following</w:t>
      </w:r>
      <w:r w:rsidR="007B7640" w:rsidRPr="00CD59CC">
        <w:rPr>
          <w:rFonts w:ascii="Arial" w:hAnsi="Arial" w:cs="Arial"/>
          <w:bCs/>
          <w:iCs/>
        </w:rPr>
        <w:t xml:space="preserve"> </w:t>
      </w:r>
      <w:r w:rsidRPr="00CD59CC">
        <w:rPr>
          <w:rFonts w:ascii="Arial" w:hAnsi="Arial" w:cs="Arial"/>
          <w:bCs/>
          <w:iCs/>
        </w:rPr>
        <w:t>their</w:t>
      </w:r>
      <w:r w:rsidR="007B7640" w:rsidRPr="00CD59CC">
        <w:rPr>
          <w:rFonts w:ascii="Arial" w:hAnsi="Arial" w:cs="Arial"/>
          <w:bCs/>
          <w:iCs/>
        </w:rPr>
        <w:t xml:space="preserve"> </w:t>
      </w:r>
      <w:r w:rsidRPr="00CD59CC">
        <w:rPr>
          <w:rFonts w:ascii="Arial" w:hAnsi="Arial" w:cs="Arial"/>
          <w:bCs/>
          <w:iCs/>
        </w:rPr>
        <w:t>return,</w:t>
      </w:r>
      <w:r w:rsidR="007B7640" w:rsidRPr="00CD59CC">
        <w:rPr>
          <w:rFonts w:ascii="Arial" w:hAnsi="Arial" w:cs="Arial"/>
          <w:bCs/>
          <w:iCs/>
        </w:rPr>
        <w:t xml:space="preserve"> </w:t>
      </w:r>
      <w:r w:rsidRPr="00CD59CC">
        <w:rPr>
          <w:rFonts w:ascii="Arial" w:hAnsi="Arial" w:cs="Arial"/>
          <w:bCs/>
          <w:iCs/>
        </w:rPr>
        <w:t>all</w:t>
      </w:r>
      <w:r w:rsidR="007B7640" w:rsidRPr="00CD59CC">
        <w:rPr>
          <w:rFonts w:ascii="Arial" w:hAnsi="Arial" w:cs="Arial"/>
          <w:bCs/>
          <w:iCs/>
        </w:rPr>
        <w:t xml:space="preserve"> </w:t>
      </w:r>
      <w:r w:rsidRPr="00CD59CC">
        <w:rPr>
          <w:rFonts w:ascii="Arial" w:hAnsi="Arial" w:cs="Arial"/>
          <w:bCs/>
          <w:iCs/>
        </w:rPr>
        <w:t>volunteers</w:t>
      </w:r>
      <w:r w:rsidR="007B7640" w:rsidRPr="00CD59CC">
        <w:rPr>
          <w:rFonts w:ascii="Arial" w:hAnsi="Arial" w:cs="Arial"/>
          <w:bCs/>
          <w:iCs/>
        </w:rPr>
        <w:t xml:space="preserve"> </w:t>
      </w:r>
      <w:r w:rsidRPr="00CD59CC">
        <w:rPr>
          <w:rFonts w:ascii="Arial" w:hAnsi="Arial" w:cs="Arial"/>
          <w:bCs/>
          <w:iCs/>
        </w:rPr>
        <w:t>filled</w:t>
      </w:r>
      <w:r w:rsidR="007B7640" w:rsidRPr="00CD59CC">
        <w:rPr>
          <w:rFonts w:ascii="Arial" w:hAnsi="Arial" w:cs="Arial"/>
          <w:bCs/>
          <w:iCs/>
        </w:rPr>
        <w:t xml:space="preserve"> </w:t>
      </w:r>
      <w:r w:rsidRPr="00CD59CC">
        <w:rPr>
          <w:rFonts w:ascii="Arial" w:hAnsi="Arial" w:cs="Arial"/>
          <w:bCs/>
          <w:iCs/>
        </w:rPr>
        <w:t>out</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detailed</w:t>
      </w:r>
      <w:r w:rsidR="007B7640" w:rsidRPr="00CD59CC">
        <w:rPr>
          <w:rFonts w:ascii="Arial" w:hAnsi="Arial" w:cs="Arial"/>
          <w:bCs/>
          <w:iCs/>
        </w:rPr>
        <w:t xml:space="preserve"> </w:t>
      </w:r>
      <w:r w:rsidRPr="00CD59CC">
        <w:rPr>
          <w:rFonts w:ascii="Arial" w:hAnsi="Arial" w:cs="Arial"/>
          <w:bCs/>
          <w:iCs/>
        </w:rPr>
        <w:t>questionnaire</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identified</w:t>
      </w:r>
      <w:r w:rsidR="007B7640" w:rsidRPr="00CD59CC">
        <w:rPr>
          <w:rFonts w:ascii="Arial" w:hAnsi="Arial" w:cs="Arial"/>
          <w:bCs/>
          <w:iCs/>
        </w:rPr>
        <w:t xml:space="preserve"> </w:t>
      </w:r>
      <w:r w:rsidRPr="00CD59CC">
        <w:rPr>
          <w:rFonts w:ascii="Arial" w:hAnsi="Arial" w:cs="Arial"/>
          <w:bCs/>
          <w:iCs/>
        </w:rPr>
        <w:t>two</w:t>
      </w:r>
      <w:r w:rsidR="007B7640" w:rsidRPr="00CD59CC">
        <w:rPr>
          <w:rFonts w:ascii="Arial" w:hAnsi="Arial" w:cs="Arial"/>
          <w:bCs/>
          <w:iCs/>
        </w:rPr>
        <w:t xml:space="preserve"> </w:t>
      </w:r>
      <w:r w:rsidRPr="00CD59CC">
        <w:rPr>
          <w:rFonts w:ascii="Arial" w:hAnsi="Arial" w:cs="Arial"/>
          <w:bCs/>
          <w:iCs/>
        </w:rPr>
        <w:t>local</w:t>
      </w:r>
      <w:r w:rsidR="007B7640" w:rsidRPr="00CD59CC">
        <w:rPr>
          <w:rFonts w:ascii="Arial" w:hAnsi="Arial" w:cs="Arial"/>
          <w:bCs/>
          <w:iCs/>
        </w:rPr>
        <w:t xml:space="preserve"> </w:t>
      </w:r>
      <w:r w:rsidRPr="00CD59CC">
        <w:rPr>
          <w:rFonts w:ascii="Arial" w:hAnsi="Arial" w:cs="Arial"/>
          <w:bCs/>
          <w:iCs/>
        </w:rPr>
        <w:t>policemen</w:t>
      </w:r>
      <w:r w:rsidR="007B7640" w:rsidRPr="00CD59CC">
        <w:rPr>
          <w:rFonts w:ascii="Arial" w:hAnsi="Arial" w:cs="Arial"/>
          <w:bCs/>
          <w:iCs/>
        </w:rPr>
        <w:t xml:space="preserve"> </w:t>
      </w:r>
      <w:r w:rsidRPr="00CD59CC">
        <w:rPr>
          <w:rFonts w:ascii="Arial" w:hAnsi="Arial" w:cs="Arial"/>
          <w:bCs/>
          <w:iCs/>
        </w:rPr>
        <w:t>whom</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claimed</w:t>
      </w:r>
      <w:r w:rsidR="007B7640" w:rsidRPr="00CD59CC">
        <w:rPr>
          <w:rFonts w:ascii="Arial" w:hAnsi="Arial" w:cs="Arial"/>
          <w:bCs/>
          <w:iCs/>
        </w:rPr>
        <w:t xml:space="preserve"> </w:t>
      </w:r>
      <w:r w:rsidRPr="00CD59CC">
        <w:rPr>
          <w:rFonts w:ascii="Arial" w:hAnsi="Arial" w:cs="Arial"/>
          <w:bCs/>
          <w:iCs/>
        </w:rPr>
        <w:t>were</w:t>
      </w:r>
      <w:r w:rsidR="007B7640" w:rsidRPr="00CD59CC">
        <w:rPr>
          <w:rFonts w:ascii="Arial" w:hAnsi="Arial" w:cs="Arial"/>
          <w:bCs/>
          <w:iCs/>
        </w:rPr>
        <w:t xml:space="preserve"> </w:t>
      </w:r>
      <w:r w:rsidRPr="00CD59CC">
        <w:rPr>
          <w:rFonts w:ascii="Arial" w:hAnsi="Arial" w:cs="Arial"/>
          <w:bCs/>
          <w:iCs/>
        </w:rPr>
        <w:t>guarding</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discotheque.</w:t>
      </w:r>
    </w:p>
    <w:p w14:paraId="04CB8965" w14:textId="77777777" w:rsidR="00CA5F94" w:rsidRPr="00CD59CC" w:rsidRDefault="00CA5F94" w:rsidP="00CD59CC">
      <w:pPr>
        <w:rPr>
          <w:rFonts w:ascii="Arial" w:hAnsi="Arial" w:cs="Arial"/>
          <w:bCs/>
          <w:iCs/>
        </w:rPr>
      </w:pPr>
    </w:p>
    <w:p w14:paraId="0F628A03" w14:textId="77777777" w:rsidR="00CA5F94" w:rsidRPr="00CD59CC" w:rsidRDefault="00CA5F94" w:rsidP="00CD59CC">
      <w:pPr>
        <w:rPr>
          <w:rFonts w:ascii="Arial" w:hAnsi="Arial" w:cs="Arial"/>
          <w:bCs/>
          <w:iCs/>
        </w:rPr>
      </w:pPr>
      <w:r w:rsidRPr="00CD59CC">
        <w:rPr>
          <w:rFonts w:ascii="Arial" w:hAnsi="Arial" w:cs="Arial"/>
          <w:bCs/>
          <w:iCs/>
        </w:rPr>
        <w:t>On</w:t>
      </w:r>
      <w:r w:rsidR="007B7640" w:rsidRPr="00CD59CC">
        <w:rPr>
          <w:rFonts w:ascii="Arial" w:hAnsi="Arial" w:cs="Arial"/>
          <w:bCs/>
          <w:iCs/>
        </w:rPr>
        <w:t xml:space="preserve"> </w:t>
      </w:r>
      <w:r w:rsidRPr="00CD59CC">
        <w:rPr>
          <w:rFonts w:ascii="Arial" w:hAnsi="Arial" w:cs="Arial"/>
          <w:bCs/>
          <w:iCs/>
        </w:rPr>
        <w:t>10</w:t>
      </w:r>
      <w:r w:rsidR="007B7640" w:rsidRPr="00CD59CC">
        <w:rPr>
          <w:rFonts w:ascii="Arial" w:hAnsi="Arial" w:cs="Arial"/>
          <w:bCs/>
          <w:iCs/>
        </w:rPr>
        <w:t xml:space="preserve"> </w:t>
      </w:r>
      <w:r w:rsidRPr="00CD59CC">
        <w:rPr>
          <w:rFonts w:ascii="Arial" w:hAnsi="Arial" w:cs="Arial"/>
          <w:bCs/>
          <w:iCs/>
        </w:rPr>
        <w:t>May</w:t>
      </w:r>
      <w:r w:rsidR="007B7640" w:rsidRPr="00CD59CC">
        <w:rPr>
          <w:rFonts w:ascii="Arial" w:hAnsi="Arial" w:cs="Arial"/>
          <w:bCs/>
          <w:iCs/>
        </w:rPr>
        <w:t xml:space="preserve"> </w:t>
      </w:r>
      <w:r w:rsidRPr="00CD59CC">
        <w:rPr>
          <w:rFonts w:ascii="Arial" w:hAnsi="Arial" w:cs="Arial"/>
          <w:bCs/>
          <w:iCs/>
        </w:rPr>
        <w:t>2000,</w:t>
      </w:r>
      <w:r w:rsidR="007B7640" w:rsidRPr="00CD59CC">
        <w:rPr>
          <w:rFonts w:ascii="Arial" w:hAnsi="Arial" w:cs="Arial"/>
          <w:bCs/>
          <w:iCs/>
        </w:rPr>
        <w:t xml:space="preserve"> </w:t>
      </w:r>
      <w:r w:rsidRPr="00CD59CC">
        <w:rPr>
          <w:rFonts w:ascii="Arial" w:hAnsi="Arial" w:cs="Arial"/>
          <w:bCs/>
          <w:iCs/>
        </w:rPr>
        <w:t>represented</w:t>
      </w:r>
      <w:r w:rsidR="007B7640" w:rsidRPr="00CD59CC">
        <w:rPr>
          <w:rFonts w:ascii="Arial" w:hAnsi="Arial" w:cs="Arial"/>
          <w:bCs/>
          <w:iCs/>
        </w:rPr>
        <w:t xml:space="preserve"> </w:t>
      </w:r>
      <w:r w:rsidRPr="00CD59CC">
        <w:rPr>
          <w:rFonts w:ascii="Arial" w:hAnsi="Arial" w:cs="Arial"/>
          <w:bCs/>
          <w:iCs/>
        </w:rPr>
        <w:t>by</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lawyer</w:t>
      </w:r>
      <w:r w:rsidR="007B7640" w:rsidRPr="00CD59CC">
        <w:rPr>
          <w:rFonts w:ascii="Arial" w:hAnsi="Arial" w:cs="Arial"/>
          <w:bCs/>
          <w:iCs/>
        </w:rPr>
        <w:t xml:space="preserve"> </w:t>
      </w:r>
      <w:r w:rsidRPr="00CD59CC">
        <w:rPr>
          <w:rFonts w:ascii="Arial" w:hAnsi="Arial" w:cs="Arial"/>
          <w:bCs/>
          <w:iCs/>
        </w:rPr>
        <w:t>paid</w:t>
      </w:r>
      <w:r w:rsidR="007B7640" w:rsidRPr="00CD59CC">
        <w:rPr>
          <w:rFonts w:ascii="Arial" w:hAnsi="Arial" w:cs="Arial"/>
          <w:bCs/>
          <w:iCs/>
        </w:rPr>
        <w:t xml:space="preserve"> </w:t>
      </w:r>
      <w:r w:rsidRPr="00CD59CC">
        <w:rPr>
          <w:rFonts w:ascii="Arial" w:hAnsi="Arial" w:cs="Arial"/>
          <w:bCs/>
          <w:iCs/>
        </w:rPr>
        <w:t>by</w:t>
      </w:r>
      <w:r w:rsidR="007B7640" w:rsidRPr="00CD59CC">
        <w:rPr>
          <w:rFonts w:ascii="Arial" w:hAnsi="Arial" w:cs="Arial"/>
          <w:bCs/>
          <w:iCs/>
        </w:rPr>
        <w:t xml:space="preserve"> </w:t>
      </w:r>
      <w:r w:rsidRPr="00CD59CC">
        <w:rPr>
          <w:rFonts w:ascii="Arial" w:hAnsi="Arial" w:cs="Arial"/>
          <w:bCs/>
          <w:iCs/>
        </w:rPr>
        <w:t>NEKI,</w:t>
      </w:r>
      <w:r w:rsidR="007B7640" w:rsidRPr="00CD59CC">
        <w:rPr>
          <w:rFonts w:ascii="Arial" w:hAnsi="Arial" w:cs="Arial"/>
          <w:bCs/>
          <w:iCs/>
        </w:rPr>
        <w:t xml:space="preserve"> </w:t>
      </w:r>
      <w:r w:rsidRPr="00CD59CC">
        <w:rPr>
          <w:rFonts w:ascii="Arial" w:hAnsi="Arial" w:cs="Arial"/>
          <w:bCs/>
          <w:iCs/>
        </w:rPr>
        <w:t>two</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Roma</w:t>
      </w:r>
      <w:r w:rsidR="007B7640" w:rsidRPr="00CD59CC">
        <w:rPr>
          <w:rFonts w:ascii="Arial" w:hAnsi="Arial" w:cs="Arial"/>
          <w:bCs/>
          <w:iCs/>
        </w:rPr>
        <w:t xml:space="preserve"> </w:t>
      </w:r>
      <w:r w:rsidRPr="00CD59CC">
        <w:rPr>
          <w:rFonts w:ascii="Arial" w:hAnsi="Arial" w:cs="Arial"/>
          <w:bCs/>
          <w:iCs/>
        </w:rPr>
        <w:t>youths</w:t>
      </w:r>
      <w:r w:rsidR="007B7640" w:rsidRPr="00CD59CC">
        <w:rPr>
          <w:rFonts w:ascii="Arial" w:hAnsi="Arial" w:cs="Arial"/>
          <w:bCs/>
          <w:iCs/>
        </w:rPr>
        <w:t xml:space="preserve"> </w:t>
      </w:r>
      <w:r w:rsidRPr="00CD59CC">
        <w:rPr>
          <w:rFonts w:ascii="Arial" w:hAnsi="Arial" w:cs="Arial"/>
          <w:bCs/>
          <w:iCs/>
        </w:rPr>
        <w:t>who</w:t>
      </w:r>
      <w:r w:rsidR="007B7640" w:rsidRPr="00CD59CC">
        <w:rPr>
          <w:rFonts w:ascii="Arial" w:hAnsi="Arial" w:cs="Arial"/>
          <w:bCs/>
          <w:iCs/>
        </w:rPr>
        <w:t xml:space="preserve"> </w:t>
      </w:r>
      <w:r w:rsidRPr="00CD59CC">
        <w:rPr>
          <w:rFonts w:ascii="Arial" w:hAnsi="Arial" w:cs="Arial"/>
          <w:bCs/>
          <w:iCs/>
        </w:rPr>
        <w:t>were</w:t>
      </w:r>
      <w:r w:rsidR="007B7640" w:rsidRPr="00CD59CC">
        <w:rPr>
          <w:rFonts w:ascii="Arial" w:hAnsi="Arial" w:cs="Arial"/>
          <w:bCs/>
          <w:iCs/>
        </w:rPr>
        <w:t xml:space="preserve"> </w:t>
      </w:r>
      <w:r w:rsidRPr="00CD59CC">
        <w:rPr>
          <w:rFonts w:ascii="Arial" w:hAnsi="Arial" w:cs="Arial"/>
          <w:bCs/>
          <w:iCs/>
        </w:rPr>
        <w:t>not</w:t>
      </w:r>
      <w:r w:rsidR="007B7640" w:rsidRPr="00CD59CC">
        <w:rPr>
          <w:rFonts w:ascii="Arial" w:hAnsi="Arial" w:cs="Arial"/>
          <w:bCs/>
          <w:iCs/>
        </w:rPr>
        <w:t xml:space="preserve"> </w:t>
      </w:r>
      <w:r w:rsidRPr="00CD59CC">
        <w:rPr>
          <w:rFonts w:ascii="Arial" w:hAnsi="Arial" w:cs="Arial"/>
          <w:bCs/>
          <w:iCs/>
        </w:rPr>
        <w:t>allowed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enter</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disco</w:t>
      </w:r>
      <w:r w:rsidR="007B7640" w:rsidRPr="00CD59CC">
        <w:rPr>
          <w:rFonts w:ascii="Arial" w:hAnsi="Arial" w:cs="Arial"/>
          <w:bCs/>
          <w:iCs/>
        </w:rPr>
        <w:t xml:space="preserve"> </w:t>
      </w:r>
      <w:r w:rsidRPr="00CD59CC">
        <w:rPr>
          <w:rFonts w:ascii="Arial" w:hAnsi="Arial" w:cs="Arial"/>
          <w:bCs/>
          <w:iCs/>
        </w:rPr>
        <w:t>filed</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lawsuit</w:t>
      </w:r>
      <w:r w:rsidR="007B7640" w:rsidRPr="00CD59CC">
        <w:rPr>
          <w:rFonts w:ascii="Arial" w:hAnsi="Arial" w:cs="Arial"/>
          <w:bCs/>
          <w:iCs/>
        </w:rPr>
        <w:t xml:space="preserve"> </w:t>
      </w:r>
      <w:r w:rsidRPr="00CD59CC">
        <w:rPr>
          <w:rFonts w:ascii="Arial" w:hAnsi="Arial" w:cs="Arial"/>
          <w:bCs/>
          <w:iCs/>
        </w:rPr>
        <w:t>against</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company</w:t>
      </w:r>
      <w:r w:rsidR="007B7640" w:rsidRPr="00CD59CC">
        <w:rPr>
          <w:rFonts w:ascii="Arial" w:hAnsi="Arial" w:cs="Arial"/>
          <w:bCs/>
          <w:iCs/>
        </w:rPr>
        <w:t xml:space="preserve"> </w:t>
      </w:r>
      <w:r w:rsidRPr="00CD59CC">
        <w:rPr>
          <w:rFonts w:ascii="Arial" w:hAnsi="Arial" w:cs="Arial"/>
          <w:bCs/>
          <w:iCs/>
        </w:rPr>
        <w:t>operating</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place.</w:t>
      </w:r>
      <w:r w:rsidR="007B7640" w:rsidRPr="00CD59CC">
        <w:rPr>
          <w:rFonts w:ascii="Arial" w:hAnsi="Arial" w:cs="Arial"/>
          <w:bCs/>
          <w:iCs/>
        </w:rPr>
        <w:t xml:space="preserve"> </w:t>
      </w:r>
    </w:p>
    <w:p w14:paraId="52554FE8" w14:textId="77777777" w:rsidR="00CA5F94" w:rsidRPr="00CD59CC" w:rsidRDefault="00CA5F94" w:rsidP="00CD59CC">
      <w:pPr>
        <w:rPr>
          <w:rFonts w:ascii="Arial" w:hAnsi="Arial" w:cs="Arial"/>
          <w:bCs/>
          <w:iCs/>
        </w:rPr>
      </w:pPr>
    </w:p>
    <w:p w14:paraId="2DE767AD" w14:textId="77777777" w:rsidR="00CA5F94" w:rsidRPr="00CD59CC" w:rsidRDefault="00CA5F94" w:rsidP="00CD59CC">
      <w:pPr>
        <w:rPr>
          <w:rFonts w:ascii="Arial" w:hAnsi="Arial" w:cs="Arial"/>
          <w:bCs/>
          <w:iCs/>
        </w:rPr>
      </w:pPr>
      <w:r w:rsidRPr="00CD59CC">
        <w:rPr>
          <w:rFonts w:ascii="Arial" w:hAnsi="Arial" w:cs="Arial"/>
          <w:bCs/>
          <w:iCs/>
        </w:rPr>
        <w:t>Both</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court</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first</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second</w:t>
      </w:r>
      <w:r w:rsidR="007B7640" w:rsidRPr="00CD59CC">
        <w:rPr>
          <w:rFonts w:ascii="Arial" w:hAnsi="Arial" w:cs="Arial"/>
          <w:bCs/>
          <w:iCs/>
        </w:rPr>
        <w:t xml:space="preserve"> </w:t>
      </w:r>
      <w:r w:rsidRPr="00CD59CC">
        <w:rPr>
          <w:rFonts w:ascii="Arial" w:hAnsi="Arial" w:cs="Arial"/>
          <w:bCs/>
          <w:iCs/>
        </w:rPr>
        <w:t>instance</w:t>
      </w:r>
      <w:r w:rsidR="007B7640" w:rsidRPr="00CD59CC">
        <w:rPr>
          <w:rFonts w:ascii="Arial" w:hAnsi="Arial" w:cs="Arial"/>
          <w:bCs/>
          <w:iCs/>
        </w:rPr>
        <w:t xml:space="preserve"> </w:t>
      </w:r>
      <w:r w:rsidRPr="00CD59CC">
        <w:rPr>
          <w:rFonts w:ascii="Arial" w:hAnsi="Arial" w:cs="Arial"/>
          <w:bCs/>
          <w:iCs/>
        </w:rPr>
        <w:t>established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violation</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plaintiffs’</w:t>
      </w:r>
      <w:r w:rsidR="007B7640" w:rsidRPr="00CD59CC">
        <w:rPr>
          <w:rFonts w:ascii="Arial" w:hAnsi="Arial" w:cs="Arial"/>
          <w:bCs/>
          <w:iCs/>
        </w:rPr>
        <w:t xml:space="preserve"> </w:t>
      </w:r>
      <w:r w:rsidRPr="00CD59CC">
        <w:rPr>
          <w:rFonts w:ascii="Arial" w:hAnsi="Arial" w:cs="Arial"/>
          <w:bCs/>
          <w:iCs/>
        </w:rPr>
        <w:t>inherent</w:t>
      </w:r>
      <w:r w:rsidR="007B7640" w:rsidRPr="00CD59CC">
        <w:rPr>
          <w:rFonts w:ascii="Arial" w:hAnsi="Arial" w:cs="Arial"/>
          <w:bCs/>
          <w:iCs/>
        </w:rPr>
        <w:t xml:space="preserve"> </w:t>
      </w:r>
      <w:r w:rsidRPr="00CD59CC">
        <w:rPr>
          <w:rFonts w:ascii="Arial" w:hAnsi="Arial" w:cs="Arial"/>
          <w:bCs/>
          <w:iCs/>
        </w:rPr>
        <w:t>right</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dignity</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non-discrimination,</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company</w:t>
      </w:r>
      <w:r w:rsidR="007B7640" w:rsidRPr="00CD59CC">
        <w:rPr>
          <w:rFonts w:ascii="Arial" w:hAnsi="Arial" w:cs="Arial"/>
          <w:bCs/>
          <w:iCs/>
        </w:rPr>
        <w:t xml:space="preserve"> </w:t>
      </w:r>
      <w:r w:rsidRPr="00CD59CC">
        <w:rPr>
          <w:rFonts w:ascii="Arial" w:hAnsi="Arial" w:cs="Arial"/>
          <w:bCs/>
          <w:iCs/>
        </w:rPr>
        <w:t>was</w:t>
      </w:r>
      <w:r w:rsidR="007B7640" w:rsidRPr="00CD59CC">
        <w:rPr>
          <w:rFonts w:ascii="Arial" w:hAnsi="Arial" w:cs="Arial"/>
          <w:bCs/>
          <w:iCs/>
        </w:rPr>
        <w:t xml:space="preserve"> </w:t>
      </w:r>
      <w:r w:rsidRPr="00CD59CC">
        <w:rPr>
          <w:rFonts w:ascii="Arial" w:hAnsi="Arial" w:cs="Arial"/>
          <w:bCs/>
          <w:iCs/>
        </w:rPr>
        <w:t>obliged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pay</w:t>
      </w:r>
      <w:r w:rsidR="007B7640" w:rsidRPr="00CD59CC">
        <w:rPr>
          <w:rFonts w:ascii="Arial" w:hAnsi="Arial" w:cs="Arial"/>
          <w:bCs/>
          <w:iCs/>
        </w:rPr>
        <w:t xml:space="preserve"> </w:t>
      </w:r>
      <w:r w:rsidRPr="00CD59CC">
        <w:rPr>
          <w:rFonts w:ascii="Arial" w:hAnsi="Arial" w:cs="Arial"/>
          <w:bCs/>
          <w:iCs/>
        </w:rPr>
        <w:t>damages.</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defendant</w:t>
      </w:r>
      <w:r w:rsidR="007B7640" w:rsidRPr="00CD59CC">
        <w:rPr>
          <w:rFonts w:ascii="Arial" w:hAnsi="Arial" w:cs="Arial"/>
          <w:bCs/>
          <w:iCs/>
        </w:rPr>
        <w:t xml:space="preserve"> </w:t>
      </w:r>
      <w:r w:rsidRPr="00CD59CC">
        <w:rPr>
          <w:rFonts w:ascii="Arial" w:hAnsi="Arial" w:cs="Arial"/>
          <w:bCs/>
          <w:iCs/>
        </w:rPr>
        <w:t>submitted</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request</w:t>
      </w:r>
      <w:r w:rsidR="007B7640" w:rsidRPr="00CD59CC">
        <w:rPr>
          <w:rFonts w:ascii="Arial" w:hAnsi="Arial" w:cs="Arial"/>
          <w:bCs/>
          <w:iCs/>
        </w:rPr>
        <w:t xml:space="preserve"> </w:t>
      </w:r>
      <w:r w:rsidRPr="00CD59CC">
        <w:rPr>
          <w:rFonts w:ascii="Arial" w:hAnsi="Arial" w:cs="Arial"/>
          <w:bCs/>
          <w:iCs/>
        </w:rPr>
        <w:t>for</w:t>
      </w:r>
      <w:r w:rsidR="007B7640" w:rsidRPr="00CD59CC">
        <w:rPr>
          <w:rFonts w:ascii="Arial" w:hAnsi="Arial" w:cs="Arial"/>
          <w:bCs/>
          <w:iCs/>
        </w:rPr>
        <w:t xml:space="preserve"> </w:t>
      </w:r>
      <w:r w:rsidRPr="00CD59CC">
        <w:rPr>
          <w:rFonts w:ascii="Arial" w:hAnsi="Arial" w:cs="Arial"/>
          <w:bCs/>
          <w:iCs/>
        </w:rPr>
        <w:t>extraordinary</w:t>
      </w:r>
      <w:r w:rsidR="007B7640" w:rsidRPr="00CD59CC">
        <w:rPr>
          <w:rFonts w:ascii="Arial" w:hAnsi="Arial" w:cs="Arial"/>
          <w:bCs/>
          <w:iCs/>
        </w:rPr>
        <w:t xml:space="preserve"> </w:t>
      </w:r>
      <w:r w:rsidRPr="00CD59CC">
        <w:rPr>
          <w:rFonts w:ascii="Arial" w:hAnsi="Arial" w:cs="Arial"/>
          <w:bCs/>
          <w:iCs/>
        </w:rPr>
        <w:t>remedy</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Supreme</w:t>
      </w:r>
      <w:r w:rsidR="007B7640" w:rsidRPr="00CD59CC">
        <w:rPr>
          <w:rFonts w:ascii="Arial" w:hAnsi="Arial" w:cs="Arial"/>
          <w:bCs/>
          <w:iCs/>
        </w:rPr>
        <w:t xml:space="preserve"> </w:t>
      </w:r>
      <w:r w:rsidRPr="00CD59CC">
        <w:rPr>
          <w:rFonts w:ascii="Arial" w:hAnsi="Arial" w:cs="Arial"/>
          <w:bCs/>
          <w:iCs/>
        </w:rPr>
        <w:t>Court.</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its</w:t>
      </w:r>
      <w:r w:rsidR="007B7640" w:rsidRPr="00CD59CC">
        <w:rPr>
          <w:rFonts w:ascii="Arial" w:hAnsi="Arial" w:cs="Arial"/>
          <w:bCs/>
          <w:iCs/>
        </w:rPr>
        <w:t xml:space="preserve"> </w:t>
      </w:r>
      <w:r w:rsidRPr="00CD59CC">
        <w:rPr>
          <w:rFonts w:ascii="Arial" w:hAnsi="Arial" w:cs="Arial"/>
          <w:bCs/>
          <w:iCs/>
        </w:rPr>
        <w:t>decision</w:t>
      </w:r>
      <w:r w:rsidR="007B7640" w:rsidRPr="00CD59CC">
        <w:rPr>
          <w:rFonts w:ascii="Arial" w:hAnsi="Arial" w:cs="Arial"/>
          <w:bCs/>
          <w:iCs/>
        </w:rPr>
        <w:t xml:space="preserve"> </w:t>
      </w:r>
      <w:r w:rsidRPr="00CD59CC">
        <w:rPr>
          <w:rFonts w:ascii="Arial" w:hAnsi="Arial" w:cs="Arial"/>
          <w:bCs/>
          <w:iCs/>
        </w:rPr>
        <w:t>(published</w:t>
      </w:r>
      <w:r w:rsidR="007B7640" w:rsidRPr="00CD59CC">
        <w:rPr>
          <w:rFonts w:ascii="Arial" w:hAnsi="Arial" w:cs="Arial"/>
          <w:bCs/>
          <w:iCs/>
        </w:rPr>
        <w:t xml:space="preserve"> </w:t>
      </w:r>
      <w:r w:rsidRPr="00CD59CC">
        <w:rPr>
          <w:rFonts w:ascii="Arial" w:hAnsi="Arial" w:cs="Arial"/>
          <w:bCs/>
          <w:iCs/>
        </w:rPr>
        <w:t>under</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number</w:t>
      </w:r>
      <w:r w:rsidR="007B7640" w:rsidRPr="00CD59CC">
        <w:rPr>
          <w:rFonts w:ascii="Arial" w:hAnsi="Arial" w:cs="Arial"/>
          <w:bCs/>
          <w:iCs/>
        </w:rPr>
        <w:t xml:space="preserve"> </w:t>
      </w:r>
      <w:r w:rsidRPr="00CD59CC">
        <w:rPr>
          <w:rFonts w:ascii="Arial" w:hAnsi="Arial" w:cs="Arial"/>
          <w:bCs/>
          <w:iCs/>
        </w:rPr>
        <w:t>EBH</w:t>
      </w:r>
      <w:r w:rsidR="007B7640" w:rsidRPr="00CD59CC">
        <w:rPr>
          <w:rFonts w:ascii="Arial" w:hAnsi="Arial" w:cs="Arial"/>
          <w:bCs/>
          <w:iCs/>
        </w:rPr>
        <w:t xml:space="preserve"> </w:t>
      </w:r>
      <w:r w:rsidRPr="00CD59CC">
        <w:rPr>
          <w:rFonts w:ascii="Arial" w:hAnsi="Arial" w:cs="Arial"/>
          <w:bCs/>
          <w:iCs/>
        </w:rPr>
        <w:t>2002.625</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official</w:t>
      </w:r>
      <w:r w:rsidR="007B7640" w:rsidRPr="00CD59CC">
        <w:rPr>
          <w:rFonts w:ascii="Arial" w:hAnsi="Arial" w:cs="Arial"/>
          <w:bCs/>
          <w:iCs/>
        </w:rPr>
        <w:t xml:space="preserve"> </w:t>
      </w:r>
      <w:r w:rsidRPr="00CD59CC">
        <w:rPr>
          <w:rFonts w:ascii="Arial" w:hAnsi="Arial" w:cs="Arial"/>
          <w:bCs/>
          <w:iCs/>
        </w:rPr>
        <w:t>journal</w:t>
      </w:r>
      <w:r w:rsidR="007B7640" w:rsidRPr="00CD59CC">
        <w:rPr>
          <w:rFonts w:ascii="Arial" w:hAnsi="Arial" w:cs="Arial"/>
          <w:bCs/>
          <w:iCs/>
        </w:rPr>
        <w:t xml:space="preserve"> </w:t>
      </w:r>
      <w:r w:rsidRPr="00CD59CC">
        <w:rPr>
          <w:rFonts w:ascii="Arial" w:hAnsi="Arial" w:cs="Arial"/>
          <w:bCs/>
          <w:iCs/>
        </w:rPr>
        <w:t>where</w:t>
      </w:r>
      <w:r w:rsidR="007B7640" w:rsidRPr="00CD59CC">
        <w:rPr>
          <w:rFonts w:ascii="Arial" w:hAnsi="Arial" w:cs="Arial"/>
          <w:bCs/>
          <w:iCs/>
        </w:rPr>
        <w:t xml:space="preserve"> </w:t>
      </w:r>
      <w:r w:rsidRPr="00CD59CC">
        <w:rPr>
          <w:rFonts w:ascii="Arial" w:hAnsi="Arial" w:cs="Arial"/>
          <w:bCs/>
          <w:iCs/>
        </w:rPr>
        <w:t>decisions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outstanding</w:t>
      </w:r>
      <w:r w:rsidR="007B7640" w:rsidRPr="00CD59CC">
        <w:rPr>
          <w:rFonts w:ascii="Arial" w:hAnsi="Arial" w:cs="Arial"/>
          <w:bCs/>
          <w:iCs/>
        </w:rPr>
        <w:t xml:space="preserve"> </w:t>
      </w:r>
      <w:r w:rsidRPr="00CD59CC">
        <w:rPr>
          <w:rFonts w:ascii="Arial" w:hAnsi="Arial" w:cs="Arial"/>
          <w:bCs/>
          <w:iCs/>
        </w:rPr>
        <w:t>theoretical</w:t>
      </w:r>
      <w:r w:rsidR="007B7640" w:rsidRPr="00CD59CC">
        <w:rPr>
          <w:rFonts w:ascii="Arial" w:hAnsi="Arial" w:cs="Arial"/>
          <w:bCs/>
          <w:iCs/>
        </w:rPr>
        <w:t xml:space="preserve"> </w:t>
      </w:r>
      <w:r w:rsidRPr="00CD59CC">
        <w:rPr>
          <w:rFonts w:ascii="Arial" w:hAnsi="Arial" w:cs="Arial"/>
          <w:bCs/>
          <w:iCs/>
        </w:rPr>
        <w:t>importance</w:t>
      </w:r>
      <w:r w:rsidR="007B7640" w:rsidRPr="00CD59CC">
        <w:rPr>
          <w:rFonts w:ascii="Arial" w:hAnsi="Arial" w:cs="Arial"/>
          <w:bCs/>
          <w:iCs/>
        </w:rPr>
        <w:t xml:space="preserve"> </w:t>
      </w:r>
      <w:r w:rsidRPr="00CD59CC">
        <w:rPr>
          <w:rFonts w:ascii="Arial" w:hAnsi="Arial" w:cs="Arial"/>
          <w:bCs/>
          <w:iCs/>
        </w:rPr>
        <w:t>are</w:t>
      </w:r>
      <w:r w:rsidR="007B7640" w:rsidRPr="00CD59CC">
        <w:rPr>
          <w:rFonts w:ascii="Arial" w:hAnsi="Arial" w:cs="Arial"/>
          <w:bCs/>
          <w:iCs/>
        </w:rPr>
        <w:t xml:space="preserve"> </w:t>
      </w:r>
      <w:r w:rsidRPr="00CD59CC">
        <w:rPr>
          <w:rFonts w:ascii="Arial" w:hAnsi="Arial" w:cs="Arial"/>
          <w:bCs/>
          <w:iCs/>
        </w:rPr>
        <w:t>collected),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Supreme</w:t>
      </w:r>
      <w:r w:rsidR="007B7640" w:rsidRPr="00CD59CC">
        <w:rPr>
          <w:rFonts w:ascii="Arial" w:hAnsi="Arial" w:cs="Arial"/>
          <w:bCs/>
          <w:iCs/>
        </w:rPr>
        <w:t xml:space="preserve"> </w:t>
      </w:r>
      <w:r w:rsidRPr="00CD59CC">
        <w:rPr>
          <w:rFonts w:ascii="Arial" w:hAnsi="Arial" w:cs="Arial"/>
          <w:bCs/>
          <w:iCs/>
        </w:rPr>
        <w:t>Court</w:t>
      </w:r>
      <w:r w:rsidR="007B7640" w:rsidRPr="00CD59CC">
        <w:rPr>
          <w:rFonts w:ascii="Arial" w:hAnsi="Arial" w:cs="Arial"/>
          <w:bCs/>
          <w:iCs/>
        </w:rPr>
        <w:t xml:space="preserve"> </w:t>
      </w:r>
      <w:r w:rsidRPr="00CD59CC">
        <w:rPr>
          <w:rFonts w:ascii="Arial" w:hAnsi="Arial" w:cs="Arial"/>
          <w:bCs/>
          <w:iCs/>
        </w:rPr>
        <w:t>approved</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second</w:t>
      </w:r>
      <w:r w:rsidR="007B7640" w:rsidRPr="00CD59CC">
        <w:rPr>
          <w:rFonts w:ascii="Arial" w:hAnsi="Arial" w:cs="Arial"/>
          <w:bCs/>
          <w:iCs/>
        </w:rPr>
        <w:t xml:space="preserve"> </w:t>
      </w:r>
      <w:r w:rsidRPr="00CD59CC">
        <w:rPr>
          <w:rFonts w:ascii="Arial" w:hAnsi="Arial" w:cs="Arial"/>
          <w:bCs/>
          <w:iCs/>
        </w:rPr>
        <w:t>instance</w:t>
      </w:r>
      <w:r w:rsidR="007B7640" w:rsidRPr="00CD59CC">
        <w:rPr>
          <w:rFonts w:ascii="Arial" w:hAnsi="Arial" w:cs="Arial"/>
          <w:bCs/>
          <w:iCs/>
        </w:rPr>
        <w:t xml:space="preserve"> </w:t>
      </w:r>
      <w:r w:rsidRPr="00CD59CC">
        <w:rPr>
          <w:rFonts w:ascii="Arial" w:hAnsi="Arial" w:cs="Arial"/>
          <w:bCs/>
          <w:iCs/>
        </w:rPr>
        <w:t>decision</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declared</w:t>
      </w:r>
      <w:r w:rsidR="007B7640" w:rsidRPr="00CD59CC">
        <w:rPr>
          <w:rFonts w:ascii="Arial" w:hAnsi="Arial" w:cs="Arial"/>
          <w:bCs/>
          <w:iCs/>
        </w:rPr>
        <w:t xml:space="preserve"> </w:t>
      </w:r>
      <w:r w:rsidRPr="00CD59CC">
        <w:rPr>
          <w:rFonts w:ascii="Arial" w:hAnsi="Arial" w:cs="Arial"/>
          <w:bCs/>
          <w:iCs/>
        </w:rPr>
        <w:t>that</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court</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second</w:t>
      </w:r>
      <w:r w:rsidR="007B7640" w:rsidRPr="00CD59CC">
        <w:rPr>
          <w:rFonts w:ascii="Arial" w:hAnsi="Arial" w:cs="Arial"/>
          <w:bCs/>
          <w:iCs/>
        </w:rPr>
        <w:t xml:space="preserve"> </w:t>
      </w:r>
      <w:r w:rsidRPr="00CD59CC">
        <w:rPr>
          <w:rFonts w:ascii="Arial" w:hAnsi="Arial" w:cs="Arial"/>
          <w:bCs/>
          <w:iCs/>
        </w:rPr>
        <w:t>instance</w:t>
      </w:r>
      <w:r w:rsidR="007B7640" w:rsidRPr="00CD59CC">
        <w:rPr>
          <w:rFonts w:ascii="Arial" w:hAnsi="Arial" w:cs="Arial"/>
          <w:bCs/>
          <w:iCs/>
        </w:rPr>
        <w:t xml:space="preserve"> </w:t>
      </w:r>
      <w:r w:rsidRPr="00CD59CC">
        <w:rPr>
          <w:rFonts w:ascii="Arial" w:hAnsi="Arial" w:cs="Arial"/>
          <w:bCs/>
          <w:iCs/>
        </w:rPr>
        <w:t>established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facts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case</w:t>
      </w:r>
      <w:r w:rsidR="007B7640" w:rsidRPr="00CD59CC">
        <w:rPr>
          <w:rFonts w:ascii="Arial" w:hAnsi="Arial" w:cs="Arial"/>
          <w:bCs/>
          <w:iCs/>
        </w:rPr>
        <w:t xml:space="preserve"> </w:t>
      </w:r>
      <w:r w:rsidRPr="00CD59CC">
        <w:rPr>
          <w:rFonts w:ascii="Arial" w:hAnsi="Arial" w:cs="Arial"/>
          <w:bCs/>
          <w:iCs/>
        </w:rPr>
        <w:t>properly</w:t>
      </w:r>
      <w:r w:rsidR="007B7640" w:rsidRPr="00CD59CC">
        <w:rPr>
          <w:rFonts w:ascii="Arial" w:hAnsi="Arial" w:cs="Arial"/>
          <w:bCs/>
          <w:iCs/>
        </w:rPr>
        <w:t xml:space="preserve"> </w:t>
      </w:r>
      <w:r w:rsidRPr="00CD59CC">
        <w:rPr>
          <w:rFonts w:ascii="Arial" w:hAnsi="Arial" w:cs="Arial"/>
          <w:bCs/>
          <w:iCs/>
        </w:rPr>
        <w:t>on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basis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available</w:t>
      </w:r>
      <w:r w:rsidR="007B7640" w:rsidRPr="00CD59CC">
        <w:rPr>
          <w:rFonts w:ascii="Arial" w:hAnsi="Arial" w:cs="Arial"/>
          <w:bCs/>
          <w:iCs/>
        </w:rPr>
        <w:t xml:space="preserve"> </w:t>
      </w:r>
      <w:r w:rsidRPr="00CD59CC">
        <w:rPr>
          <w:rFonts w:ascii="Arial" w:hAnsi="Arial" w:cs="Arial"/>
          <w:bCs/>
          <w:iCs/>
        </w:rPr>
        <w:t>evidence</w:t>
      </w:r>
      <w:r w:rsidR="007B7640" w:rsidRPr="00CD59CC">
        <w:rPr>
          <w:rFonts w:ascii="Arial" w:hAnsi="Arial" w:cs="Arial"/>
          <w:bCs/>
          <w:iCs/>
        </w:rPr>
        <w:t xml:space="preserve"> </w:t>
      </w:r>
      <w:r w:rsidRPr="00CD59CC">
        <w:rPr>
          <w:rFonts w:ascii="Arial" w:hAnsi="Arial" w:cs="Arial"/>
          <w:bCs/>
          <w:iCs/>
        </w:rPr>
        <w:t>(including</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testimonies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testers).</w:t>
      </w:r>
    </w:p>
    <w:p w14:paraId="21811D02" w14:textId="77777777" w:rsidR="00CA5F94" w:rsidRPr="00CD59CC" w:rsidRDefault="00CA5F94" w:rsidP="00CD59CC">
      <w:pPr>
        <w:rPr>
          <w:rFonts w:ascii="Arial" w:hAnsi="Arial" w:cs="Arial"/>
          <w:u w:val="single"/>
        </w:rPr>
      </w:pPr>
    </w:p>
    <w:p w14:paraId="7142A24D" w14:textId="77777777" w:rsidR="00CA5F94" w:rsidRPr="00CD59CC" w:rsidRDefault="00CA5F94" w:rsidP="00CD59CC">
      <w:pPr>
        <w:rPr>
          <w:rFonts w:ascii="Arial" w:hAnsi="Arial" w:cs="Arial"/>
        </w:rPr>
      </w:pPr>
      <w:r w:rsidRPr="00CD59CC">
        <w:rPr>
          <w:rFonts w:ascii="Arial" w:hAnsi="Arial" w:cs="Arial"/>
          <w:u w:val="single"/>
        </w:rPr>
        <w:t>Case</w:t>
      </w:r>
      <w:r w:rsidR="007B7640" w:rsidRPr="00CD59CC">
        <w:rPr>
          <w:rFonts w:ascii="Arial" w:hAnsi="Arial" w:cs="Arial"/>
          <w:u w:val="single"/>
        </w:rPr>
        <w:t xml:space="preserve"> </w:t>
      </w:r>
      <w:r w:rsidRPr="00CD59CC">
        <w:rPr>
          <w:rFonts w:ascii="Arial" w:hAnsi="Arial" w:cs="Arial"/>
          <w:u w:val="single"/>
        </w:rPr>
        <w:t>180/2006</w:t>
      </w:r>
      <w:r w:rsidR="007B7640" w:rsidRPr="00CD59CC">
        <w:rPr>
          <w:rFonts w:ascii="Arial" w:hAnsi="Arial" w:cs="Arial"/>
          <w:u w:val="single"/>
        </w:rPr>
        <w:t xml:space="preserve"> </w:t>
      </w:r>
      <w:r w:rsidRPr="00CD59CC">
        <w:rPr>
          <w:rFonts w:ascii="Arial" w:hAnsi="Arial" w:cs="Arial"/>
          <w:u w:val="single"/>
        </w:rPr>
        <w:t>of</w:t>
      </w:r>
      <w:r w:rsidR="007B7640" w:rsidRPr="00CD59CC">
        <w:rPr>
          <w:rFonts w:ascii="Arial" w:hAnsi="Arial" w:cs="Arial"/>
          <w:u w:val="single"/>
        </w:rPr>
        <w:t xml:space="preserve"> </w:t>
      </w:r>
      <w:r w:rsidRPr="00CD59CC">
        <w:rPr>
          <w:rFonts w:ascii="Arial" w:hAnsi="Arial" w:cs="Arial"/>
          <w:u w:val="single"/>
        </w:rPr>
        <w:t>the</w:t>
      </w:r>
      <w:r w:rsidR="007B7640" w:rsidRPr="00CD59CC">
        <w:rPr>
          <w:rFonts w:ascii="Arial" w:hAnsi="Arial" w:cs="Arial"/>
          <w:u w:val="single"/>
        </w:rPr>
        <w:t xml:space="preserve"> </w:t>
      </w:r>
      <w:r w:rsidRPr="00CD59CC">
        <w:rPr>
          <w:rFonts w:ascii="Arial" w:hAnsi="Arial" w:cs="Arial"/>
          <w:u w:val="single"/>
        </w:rPr>
        <w:t>Equal</w:t>
      </w:r>
      <w:r w:rsidR="007B7640" w:rsidRPr="00CD59CC">
        <w:rPr>
          <w:rFonts w:ascii="Arial" w:hAnsi="Arial" w:cs="Arial"/>
          <w:u w:val="single"/>
        </w:rPr>
        <w:t xml:space="preserve"> </w:t>
      </w:r>
      <w:r w:rsidRPr="00CD59CC">
        <w:rPr>
          <w:rFonts w:ascii="Arial" w:hAnsi="Arial" w:cs="Arial"/>
          <w:u w:val="single"/>
        </w:rPr>
        <w:t>Treatment</w:t>
      </w:r>
      <w:r w:rsidR="007B7640" w:rsidRPr="00CD59CC">
        <w:rPr>
          <w:rFonts w:ascii="Arial" w:hAnsi="Arial" w:cs="Arial"/>
          <w:u w:val="single"/>
        </w:rPr>
        <w:t xml:space="preserve"> </w:t>
      </w:r>
      <w:r w:rsidRPr="00CD59CC">
        <w:rPr>
          <w:rFonts w:ascii="Arial" w:hAnsi="Arial" w:cs="Arial"/>
          <w:u w:val="single"/>
        </w:rPr>
        <w:t>Authority</w:t>
      </w:r>
      <w:r w:rsidRPr="00CD59CC">
        <w:rPr>
          <w:rFonts w:ascii="Arial" w:hAnsi="Arial" w:cs="Arial"/>
        </w:rPr>
        <w:t>:</w:t>
      </w:r>
      <w:r w:rsidRPr="00CD59CC">
        <w:rPr>
          <w:rStyle w:val="Lbjegyzet-karakterek"/>
          <w:rFonts w:ascii="Arial" w:hAnsi="Arial" w:cs="Arial"/>
        </w:rPr>
        <w:footnoteReference w:id="35"/>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response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newspaper</w:t>
      </w:r>
      <w:r w:rsidR="007B7640" w:rsidRPr="00CD59CC">
        <w:rPr>
          <w:rFonts w:ascii="Arial" w:hAnsi="Arial" w:cs="Arial"/>
        </w:rPr>
        <w:t xml:space="preserve"> </w:t>
      </w:r>
      <w:r w:rsidRPr="00CD59CC">
        <w:rPr>
          <w:rFonts w:ascii="Arial" w:hAnsi="Arial" w:cs="Arial"/>
        </w:rPr>
        <w:t>advertisement,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w:t>
      </w:r>
      <w:r w:rsidR="007B7640" w:rsidRPr="00CD59CC">
        <w:rPr>
          <w:rFonts w:ascii="Arial" w:hAnsi="Arial" w:cs="Arial"/>
        </w:rPr>
        <w:t xml:space="preserve"> </w:t>
      </w:r>
      <w:r w:rsidRPr="00CD59CC">
        <w:rPr>
          <w:rFonts w:ascii="Arial" w:hAnsi="Arial" w:cs="Arial"/>
        </w:rPr>
        <w:t>called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recruiting</w:t>
      </w:r>
      <w:r w:rsidR="007B7640" w:rsidRPr="00CD59CC">
        <w:rPr>
          <w:rFonts w:ascii="Arial" w:hAnsi="Arial" w:cs="Arial"/>
        </w:rPr>
        <w:t xml:space="preserve"> </w:t>
      </w:r>
      <w:r w:rsidRPr="00CD59CC">
        <w:rPr>
          <w:rFonts w:ascii="Arial" w:hAnsi="Arial" w:cs="Arial"/>
        </w:rPr>
        <w:t>painters.</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met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requirements</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informed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rejected.</w:t>
      </w:r>
      <w:r w:rsidR="007B7640" w:rsidRPr="00CD59CC">
        <w:rPr>
          <w:rFonts w:ascii="Arial" w:hAnsi="Arial" w:cs="Arial"/>
        </w:rPr>
        <w:t xml:space="preserve"> </w:t>
      </w:r>
    </w:p>
    <w:p w14:paraId="2459563E" w14:textId="77777777" w:rsidR="00CA5F94" w:rsidRPr="00CD59CC" w:rsidRDefault="00CA5F94" w:rsidP="00CD59CC">
      <w:pPr>
        <w:rPr>
          <w:rFonts w:ascii="Arial" w:hAnsi="Arial" w:cs="Arial"/>
        </w:rPr>
      </w:pPr>
    </w:p>
    <w:p w14:paraId="124E3C27" w14:textId="77777777" w:rsidR="00CA5F94" w:rsidRPr="00CD59CC" w:rsidRDefault="00CA5F94"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w:t>
      </w:r>
      <w:r w:rsidR="007B7640" w:rsidRPr="00CD59CC">
        <w:rPr>
          <w:rFonts w:ascii="Arial" w:hAnsi="Arial" w:cs="Arial"/>
        </w:rPr>
        <w:t xml:space="preserve"> </w:t>
      </w:r>
      <w:r w:rsidRPr="00CD59CC">
        <w:rPr>
          <w:rFonts w:ascii="Arial" w:hAnsi="Arial" w:cs="Arial"/>
        </w:rPr>
        <w:t>sought</w:t>
      </w:r>
      <w:r w:rsidR="007B7640" w:rsidRPr="00CD59CC">
        <w:rPr>
          <w:rFonts w:ascii="Arial" w:hAnsi="Arial" w:cs="Arial"/>
        </w:rPr>
        <w:t xml:space="preserve"> </w:t>
      </w:r>
      <w:r w:rsidRPr="00CD59CC">
        <w:rPr>
          <w:rFonts w:ascii="Arial" w:hAnsi="Arial" w:cs="Arial"/>
        </w:rPr>
        <w:t>help</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NEKI,</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conducted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test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order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substantiate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suspicion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p>
    <w:p w14:paraId="5E665D69" w14:textId="77777777" w:rsidR="00CA5F94" w:rsidRPr="00CD59CC" w:rsidRDefault="00CA5F94" w:rsidP="00CD59CC">
      <w:pPr>
        <w:rPr>
          <w:rFonts w:ascii="Arial" w:hAnsi="Arial" w:cs="Arial"/>
        </w:rPr>
      </w:pPr>
    </w:p>
    <w:p w14:paraId="181A7CA8" w14:textId="77777777" w:rsidR="00CA5F94" w:rsidRPr="00CD59CC" w:rsidRDefault="00CA5F94" w:rsidP="00CD59CC">
      <w:pPr>
        <w:rPr>
          <w:rFonts w:ascii="Arial" w:hAnsi="Arial" w:cs="Arial"/>
        </w:rPr>
      </w:pPr>
      <w:r w:rsidRPr="00CD59CC">
        <w:rPr>
          <w:rFonts w:ascii="Arial" w:hAnsi="Arial" w:cs="Arial"/>
        </w:rPr>
        <w:t>Two</w:t>
      </w:r>
      <w:r w:rsidR="007B7640" w:rsidRPr="00CD59CC">
        <w:rPr>
          <w:rFonts w:ascii="Arial" w:hAnsi="Arial" w:cs="Arial"/>
        </w:rPr>
        <w:t xml:space="preserve"> </w:t>
      </w:r>
      <w:r w:rsidRPr="00CD59CC">
        <w:rPr>
          <w:rFonts w:ascii="Arial" w:hAnsi="Arial" w:cs="Arial"/>
        </w:rPr>
        <w:t>testers</w:t>
      </w:r>
      <w:r w:rsidR="007B7640" w:rsidRPr="00CD59CC">
        <w:rPr>
          <w:rFonts w:ascii="Arial" w:hAnsi="Arial" w:cs="Arial"/>
        </w:rPr>
        <w:t xml:space="preserve"> </w:t>
      </w:r>
      <w:r w:rsidRPr="00CD59CC">
        <w:rPr>
          <w:rFonts w:ascii="Arial" w:hAnsi="Arial" w:cs="Arial"/>
        </w:rPr>
        <w:t>called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them</w:t>
      </w:r>
      <w:r w:rsidR="007B7640" w:rsidRPr="00CD59CC">
        <w:rPr>
          <w:rFonts w:ascii="Arial" w:hAnsi="Arial" w:cs="Arial"/>
        </w:rPr>
        <w:t xml:space="preserve"> </w:t>
      </w:r>
      <w:r w:rsidRPr="00CD59CC">
        <w:rPr>
          <w:rFonts w:ascii="Arial" w:hAnsi="Arial" w:cs="Arial"/>
        </w:rPr>
        <w:t>claiming</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required</w:t>
      </w:r>
      <w:r w:rsidR="007B7640" w:rsidRPr="00CD59CC">
        <w:rPr>
          <w:rFonts w:ascii="Arial" w:hAnsi="Arial" w:cs="Arial"/>
        </w:rPr>
        <w:t xml:space="preserve"> </w:t>
      </w:r>
      <w:r w:rsidRPr="00CD59CC">
        <w:rPr>
          <w:rFonts w:ascii="Arial" w:hAnsi="Arial" w:cs="Arial"/>
        </w:rPr>
        <w:t>skills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experience.</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them</w:t>
      </w:r>
      <w:r w:rsidR="007B7640" w:rsidRPr="00CD59CC">
        <w:rPr>
          <w:rFonts w:ascii="Arial" w:hAnsi="Arial" w:cs="Arial"/>
        </w:rPr>
        <w:t xml:space="preserve"> </w:t>
      </w:r>
      <w:r w:rsidRPr="00CD59CC">
        <w:rPr>
          <w:rFonts w:ascii="Arial" w:hAnsi="Arial" w:cs="Arial"/>
        </w:rPr>
        <w:t>assured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drink</w:t>
      </w:r>
      <w:r w:rsidR="007B7640" w:rsidRPr="00CD59CC">
        <w:rPr>
          <w:rFonts w:ascii="Arial" w:hAnsi="Arial" w:cs="Arial"/>
        </w:rPr>
        <w:t xml:space="preserve"> </w:t>
      </w:r>
      <w:r w:rsidRPr="00CD59CC">
        <w:rPr>
          <w:rFonts w:ascii="Arial" w:hAnsi="Arial" w:cs="Arial"/>
        </w:rPr>
        <w:t>alcohol.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difference</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testers</w:t>
      </w:r>
      <w:r w:rsidR="007B7640" w:rsidRPr="00CD59CC">
        <w:rPr>
          <w:rFonts w:ascii="Arial" w:hAnsi="Arial" w:cs="Arial"/>
        </w:rPr>
        <w:t xml:space="preserve"> </w:t>
      </w:r>
      <w:r w:rsidRPr="00CD59CC">
        <w:rPr>
          <w:rFonts w:ascii="Arial" w:hAnsi="Arial" w:cs="Arial"/>
        </w:rPr>
        <w:t>introduced</w:t>
      </w:r>
      <w:r w:rsidR="007B7640" w:rsidRPr="00CD59CC">
        <w:rPr>
          <w:rFonts w:ascii="Arial" w:hAnsi="Arial" w:cs="Arial"/>
        </w:rPr>
        <w:t xml:space="preserve"> </w:t>
      </w:r>
      <w:r w:rsidRPr="00CD59CC">
        <w:rPr>
          <w:rFonts w:ascii="Arial" w:hAnsi="Arial" w:cs="Arial"/>
        </w:rPr>
        <w:t>himself</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Kolompár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typical</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name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while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used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name.</w:t>
      </w:r>
      <w:r w:rsidR="007B7640" w:rsidRPr="00CD59CC">
        <w:rPr>
          <w:rFonts w:ascii="Arial" w:hAnsi="Arial" w:cs="Arial"/>
        </w:rPr>
        <w:t xml:space="preserve"> </w:t>
      </w:r>
      <w:r w:rsidRPr="00CD59CC">
        <w:rPr>
          <w:rFonts w:ascii="Arial" w:hAnsi="Arial" w:cs="Arial"/>
        </w:rPr>
        <w:t>While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tester</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detail</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job,</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non-Roma</w:t>
      </w:r>
      <w:r w:rsidR="007B7640" w:rsidRPr="00CD59CC">
        <w:rPr>
          <w:rFonts w:ascii="Arial" w:hAnsi="Arial" w:cs="Arial"/>
        </w:rPr>
        <w:t xml:space="preserve"> </w:t>
      </w:r>
      <w:r w:rsidRPr="00CD59CC">
        <w:rPr>
          <w:rFonts w:ascii="Arial" w:hAnsi="Arial" w:cs="Arial"/>
        </w:rPr>
        <w:t>tester</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informed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length</w:t>
      </w:r>
      <w:r w:rsidR="007B7640" w:rsidRPr="00CD59CC">
        <w:rPr>
          <w:rFonts w:ascii="Arial" w:hAnsi="Arial" w:cs="Arial"/>
        </w:rPr>
        <w:t xml:space="preserve"> </w:t>
      </w:r>
      <w:r w:rsidRPr="00CD59CC">
        <w:rPr>
          <w:rFonts w:ascii="Arial" w:hAnsi="Arial" w:cs="Arial"/>
        </w:rPr>
        <w:t>about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task,</w:t>
      </w:r>
      <w:r w:rsidR="007B7640" w:rsidRPr="00CD59CC">
        <w:rPr>
          <w:rFonts w:ascii="Arial" w:hAnsi="Arial" w:cs="Arial"/>
        </w:rPr>
        <w:t xml:space="preserve"> </w:t>
      </w:r>
      <w:r w:rsidRPr="00CD59CC">
        <w:rPr>
          <w:rFonts w:ascii="Arial" w:hAnsi="Arial" w:cs="Arial"/>
        </w:rPr>
        <w:t>payment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relevant</w:t>
      </w:r>
      <w:r w:rsidR="007B7640" w:rsidRPr="00CD59CC">
        <w:rPr>
          <w:rFonts w:ascii="Arial" w:hAnsi="Arial" w:cs="Arial"/>
        </w:rPr>
        <w:t xml:space="preserve"> </w:t>
      </w:r>
      <w:r w:rsidRPr="00CD59CC">
        <w:rPr>
          <w:rFonts w:ascii="Arial" w:hAnsi="Arial" w:cs="Arial"/>
        </w:rPr>
        <w:t>circumstances.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testing,</w:t>
      </w:r>
      <w:r w:rsidR="007B7640" w:rsidRPr="00CD59CC">
        <w:rPr>
          <w:rFonts w:ascii="Arial" w:hAnsi="Arial" w:cs="Arial"/>
        </w:rPr>
        <w:t xml:space="preserve"> </w:t>
      </w:r>
      <w:r w:rsidRPr="00CD59CC">
        <w:rPr>
          <w:rFonts w:ascii="Arial" w:hAnsi="Arial" w:cs="Arial"/>
        </w:rPr>
        <w:t>NEKI</w:t>
      </w:r>
      <w:r w:rsidR="007B7640" w:rsidRPr="00CD59CC">
        <w:rPr>
          <w:rFonts w:ascii="Arial" w:hAnsi="Arial" w:cs="Arial"/>
        </w:rPr>
        <w:t xml:space="preserve"> </w:t>
      </w:r>
      <w:r w:rsidRPr="00CD59CC">
        <w:rPr>
          <w:rFonts w:ascii="Arial" w:hAnsi="Arial" w:cs="Arial"/>
        </w:rPr>
        <w:t>filed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complaint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behalf</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w:t>
      </w:r>
      <w:r w:rsidR="007B7640" w:rsidRPr="00CD59CC">
        <w:rPr>
          <w:rFonts w:ascii="Arial" w:hAnsi="Arial" w:cs="Arial"/>
        </w:rPr>
        <w:t xml:space="preserve"> </w:t>
      </w:r>
    </w:p>
    <w:p w14:paraId="4B2D0801" w14:textId="77777777" w:rsidR="00CA5F94" w:rsidRPr="00CD59CC" w:rsidRDefault="00CA5F94" w:rsidP="00CD59CC">
      <w:pPr>
        <w:rPr>
          <w:rFonts w:ascii="Arial" w:hAnsi="Arial" w:cs="Arial"/>
        </w:rPr>
      </w:pPr>
    </w:p>
    <w:p w14:paraId="1998F970" w14:textId="77777777" w:rsidR="00CA5F94" w:rsidRPr="00CD59CC" w:rsidRDefault="00CA5F94" w:rsidP="00CD59CC">
      <w:pPr>
        <w:rPr>
          <w:rFonts w:ascii="Arial" w:hAnsi="Arial" w:cs="Arial"/>
        </w:rPr>
      </w:pPr>
      <w:r w:rsidRPr="00CD59CC">
        <w:rPr>
          <w:rFonts w:ascii="Arial" w:hAnsi="Arial" w:cs="Arial"/>
        </w:rPr>
        <w:t>Taking</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consideration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testing</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pieces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itemised</w:t>
      </w:r>
      <w:r w:rsidR="007B7640" w:rsidRPr="00CD59CC">
        <w:rPr>
          <w:rFonts w:ascii="Arial" w:hAnsi="Arial" w:cs="Arial"/>
        </w:rPr>
        <w:t xml:space="preserve"> </w:t>
      </w:r>
      <w:r w:rsidRPr="00CD59CC">
        <w:rPr>
          <w:rFonts w:ascii="Arial" w:hAnsi="Arial" w:cs="Arial"/>
        </w:rPr>
        <w:t>calling</w:t>
      </w:r>
      <w:r w:rsidR="007B7640" w:rsidRPr="00CD59CC">
        <w:rPr>
          <w:rFonts w:ascii="Arial" w:hAnsi="Arial" w:cs="Arial"/>
        </w:rPr>
        <w:t xml:space="preserve"> </w:t>
      </w:r>
      <w:r w:rsidRPr="00CD59CC">
        <w:rPr>
          <w:rFonts w:ascii="Arial" w:hAnsi="Arial" w:cs="Arial"/>
        </w:rPr>
        <w:t>lists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institution</w:t>
      </w:r>
      <w:r w:rsidR="007B7640" w:rsidRPr="00CD59CC">
        <w:rPr>
          <w:rFonts w:ascii="Arial" w:hAnsi="Arial" w:cs="Arial"/>
        </w:rPr>
        <w:t xml:space="preserve"> </w:t>
      </w:r>
      <w:r w:rsidRPr="00CD59CC">
        <w:rPr>
          <w:rFonts w:ascii="Arial" w:hAnsi="Arial" w:cs="Arial"/>
        </w:rPr>
        <w:t>maintained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council,</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telephone</w:t>
      </w:r>
      <w:r w:rsidR="007B7640" w:rsidRPr="00CD59CC">
        <w:rPr>
          <w:rFonts w:ascii="Arial" w:hAnsi="Arial" w:cs="Arial"/>
        </w:rPr>
        <w:t xml:space="preserve"> </w:t>
      </w:r>
      <w:r w:rsidRPr="00CD59CC">
        <w:rPr>
          <w:rFonts w:ascii="Arial" w:hAnsi="Arial" w:cs="Arial"/>
        </w:rPr>
        <w:t>calls)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found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directly</w:t>
      </w:r>
      <w:r w:rsidR="007B7640" w:rsidRPr="00CD59CC">
        <w:rPr>
          <w:rFonts w:ascii="Arial" w:hAnsi="Arial" w:cs="Arial"/>
        </w:rPr>
        <w:t xml:space="preserve"> </w:t>
      </w:r>
      <w:r w:rsidRPr="00CD59CC">
        <w:rPr>
          <w:rFonts w:ascii="Arial" w:hAnsi="Arial" w:cs="Arial"/>
        </w:rPr>
        <w:t>discriminated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breach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imposed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fine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HUF</w:t>
      </w:r>
      <w:r w:rsidR="007B7640" w:rsidRPr="00CD59CC">
        <w:rPr>
          <w:rFonts w:ascii="Arial" w:hAnsi="Arial" w:cs="Arial"/>
        </w:rPr>
        <w:t xml:space="preserve"> </w:t>
      </w:r>
      <w:r w:rsidRPr="00CD59CC">
        <w:rPr>
          <w:rFonts w:ascii="Arial" w:hAnsi="Arial" w:cs="Arial"/>
        </w:rPr>
        <w:t>700,000</w:t>
      </w:r>
      <w:r w:rsidR="007B7640" w:rsidRPr="00CD59CC">
        <w:rPr>
          <w:rFonts w:ascii="Arial" w:hAnsi="Arial" w:cs="Arial"/>
        </w:rPr>
        <w:t xml:space="preserve"> </w:t>
      </w:r>
      <w:r w:rsidRPr="00CD59CC">
        <w:rPr>
          <w:rFonts w:ascii="Arial" w:hAnsi="Arial" w:cs="Arial"/>
        </w:rPr>
        <w:t>(EUR</w:t>
      </w:r>
      <w:r w:rsidR="007B7640" w:rsidRPr="00CD59CC">
        <w:rPr>
          <w:rFonts w:ascii="Arial" w:hAnsi="Arial" w:cs="Arial"/>
        </w:rPr>
        <w:t xml:space="preserve"> </w:t>
      </w:r>
      <w:r w:rsidRPr="00CD59CC">
        <w:rPr>
          <w:rFonts w:ascii="Arial" w:hAnsi="Arial" w:cs="Arial"/>
        </w:rPr>
        <w:t>2,330)</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him.</w:t>
      </w:r>
    </w:p>
    <w:p w14:paraId="1CA606D2" w14:textId="77777777" w:rsidR="00CA5F94" w:rsidRPr="00CD59CC" w:rsidRDefault="00CA5F94" w:rsidP="00CD59CC">
      <w:pPr>
        <w:rPr>
          <w:rFonts w:ascii="Arial" w:hAnsi="Arial" w:cs="Arial"/>
        </w:rPr>
      </w:pPr>
    </w:p>
    <w:p w14:paraId="00984C06" w14:textId="2867E8DA" w:rsidR="00CA5F94" w:rsidRDefault="00CA5F94" w:rsidP="00532AB1">
      <w:pPr>
        <w:rPr>
          <w:rFonts w:ascii="Arial" w:hAnsi="Arial" w:cs="Arial"/>
          <w:bCs/>
          <w:iCs/>
        </w:rPr>
      </w:pPr>
      <w:r w:rsidRPr="00CD59CC">
        <w:rPr>
          <w:rFonts w:ascii="Arial" w:hAnsi="Arial" w:cs="Arial"/>
          <w:bCs/>
          <w:iCs/>
        </w:rPr>
        <w:t>This</w:t>
      </w:r>
      <w:r w:rsidR="007B7640" w:rsidRPr="00CD59CC">
        <w:rPr>
          <w:rFonts w:ascii="Arial" w:hAnsi="Arial" w:cs="Arial"/>
          <w:bCs/>
          <w:iCs/>
        </w:rPr>
        <w:t xml:space="preserve"> </w:t>
      </w:r>
      <w:r w:rsidRPr="00CD59CC">
        <w:rPr>
          <w:rFonts w:ascii="Arial" w:hAnsi="Arial" w:cs="Arial"/>
          <w:bCs/>
          <w:iCs/>
        </w:rPr>
        <w:t>was</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first</w:t>
      </w:r>
      <w:r w:rsidR="007B7640" w:rsidRPr="00CD59CC">
        <w:rPr>
          <w:rFonts w:ascii="Arial" w:hAnsi="Arial" w:cs="Arial"/>
          <w:bCs/>
          <w:iCs/>
        </w:rPr>
        <w:t xml:space="preserve"> </w:t>
      </w:r>
      <w:r w:rsidRPr="00CD59CC">
        <w:rPr>
          <w:rFonts w:ascii="Arial" w:hAnsi="Arial" w:cs="Arial"/>
          <w:bCs/>
          <w:iCs/>
        </w:rPr>
        <w:t>case</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which</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result</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testing</w:t>
      </w:r>
      <w:r w:rsidR="007B7640" w:rsidRPr="00CD59CC">
        <w:rPr>
          <w:rFonts w:ascii="Arial" w:hAnsi="Arial" w:cs="Arial"/>
          <w:bCs/>
          <w:iCs/>
        </w:rPr>
        <w:t xml:space="preserve"> </w:t>
      </w:r>
      <w:r w:rsidRPr="00CD59CC">
        <w:rPr>
          <w:rFonts w:ascii="Arial" w:hAnsi="Arial" w:cs="Arial"/>
          <w:bCs/>
          <w:iCs/>
        </w:rPr>
        <w:t>was</w:t>
      </w:r>
      <w:r w:rsidR="007B7640" w:rsidRPr="00CD59CC">
        <w:rPr>
          <w:rFonts w:ascii="Arial" w:hAnsi="Arial" w:cs="Arial"/>
          <w:bCs/>
          <w:iCs/>
        </w:rPr>
        <w:t xml:space="preserve"> </w:t>
      </w:r>
      <w:r w:rsidRPr="00CD59CC">
        <w:rPr>
          <w:rFonts w:ascii="Arial" w:hAnsi="Arial" w:cs="Arial"/>
          <w:bCs/>
          <w:iCs/>
        </w:rPr>
        <w:t>taken</w:t>
      </w:r>
      <w:r w:rsidR="007B7640" w:rsidRPr="00CD59CC">
        <w:rPr>
          <w:rFonts w:ascii="Arial" w:hAnsi="Arial" w:cs="Arial"/>
          <w:bCs/>
          <w:iCs/>
        </w:rPr>
        <w:t xml:space="preserve"> </w:t>
      </w:r>
      <w:r w:rsidRPr="00CD59CC">
        <w:rPr>
          <w:rFonts w:ascii="Arial" w:hAnsi="Arial" w:cs="Arial"/>
          <w:bCs/>
          <w:iCs/>
        </w:rPr>
        <w:t>into</w:t>
      </w:r>
      <w:r w:rsidR="007B7640" w:rsidRPr="00CD59CC">
        <w:rPr>
          <w:rFonts w:ascii="Arial" w:hAnsi="Arial" w:cs="Arial"/>
          <w:bCs/>
          <w:iCs/>
        </w:rPr>
        <w:t xml:space="preserve"> </w:t>
      </w:r>
      <w:r w:rsidRPr="00CD59CC">
        <w:rPr>
          <w:rFonts w:ascii="Arial" w:hAnsi="Arial" w:cs="Arial"/>
          <w:bCs/>
          <w:iCs/>
        </w:rPr>
        <w:t>consideration</w:t>
      </w:r>
      <w:r w:rsidR="007B7640" w:rsidRPr="00CD59CC">
        <w:rPr>
          <w:rFonts w:ascii="Arial" w:hAnsi="Arial" w:cs="Arial"/>
          <w:bCs/>
          <w:iCs/>
        </w:rPr>
        <w:t xml:space="preserve"> </w:t>
      </w: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evidence</w:t>
      </w:r>
      <w:r w:rsidR="007B7640" w:rsidRPr="00CD59CC">
        <w:rPr>
          <w:rFonts w:ascii="Arial" w:hAnsi="Arial" w:cs="Arial"/>
          <w:bCs/>
          <w:iCs/>
        </w:rPr>
        <w:t xml:space="preserve"> </w:t>
      </w:r>
      <w:r w:rsidRPr="00CD59CC">
        <w:rPr>
          <w:rFonts w:ascii="Arial" w:hAnsi="Arial" w:cs="Arial"/>
          <w:bCs/>
          <w:iCs/>
        </w:rPr>
        <w:t>substantiating</w:t>
      </w:r>
      <w:r w:rsidR="007B7640" w:rsidRPr="00CD59CC">
        <w:rPr>
          <w:rFonts w:ascii="Arial" w:hAnsi="Arial" w:cs="Arial"/>
          <w:bCs/>
          <w:iCs/>
        </w:rPr>
        <w:t xml:space="preserve"> </w:t>
      </w:r>
      <w:r w:rsidRPr="00CD59CC">
        <w:rPr>
          <w:rFonts w:ascii="Arial" w:hAnsi="Arial" w:cs="Arial"/>
          <w:bCs/>
          <w:iCs/>
        </w:rPr>
        <w:t>an</w:t>
      </w:r>
      <w:r w:rsidR="007B7640" w:rsidRPr="00CD59CC">
        <w:rPr>
          <w:rFonts w:ascii="Arial" w:hAnsi="Arial" w:cs="Arial"/>
          <w:bCs/>
          <w:iCs/>
        </w:rPr>
        <w:t xml:space="preserve"> </w:t>
      </w:r>
      <w:r w:rsidRPr="00CD59CC">
        <w:rPr>
          <w:rFonts w:ascii="Arial" w:hAnsi="Arial" w:cs="Arial"/>
          <w:bCs/>
          <w:iCs/>
        </w:rPr>
        <w:t>individual</w:t>
      </w:r>
      <w:r w:rsidR="007B7640" w:rsidRPr="00CD59CC">
        <w:rPr>
          <w:rFonts w:ascii="Arial" w:hAnsi="Arial" w:cs="Arial"/>
          <w:bCs/>
          <w:iCs/>
        </w:rPr>
        <w:t xml:space="preserve"> </w:t>
      </w:r>
      <w:r w:rsidRPr="00CD59CC">
        <w:rPr>
          <w:rFonts w:ascii="Arial" w:hAnsi="Arial" w:cs="Arial"/>
          <w:bCs/>
          <w:iCs/>
        </w:rPr>
        <w:t>complaint</w:t>
      </w:r>
      <w:r w:rsidR="007B7640" w:rsidRPr="00CD59CC">
        <w:rPr>
          <w:rFonts w:ascii="Arial" w:hAnsi="Arial" w:cs="Arial"/>
          <w:bCs/>
          <w:iCs/>
        </w:rPr>
        <w:t xml:space="preserve"> </w:t>
      </w:r>
      <w:r w:rsidRPr="00CD59CC">
        <w:rPr>
          <w:rFonts w:ascii="Arial" w:hAnsi="Arial" w:cs="Arial"/>
          <w:bCs/>
          <w:iCs/>
        </w:rPr>
        <w:t>that</w:t>
      </w:r>
      <w:r w:rsidR="007B7640" w:rsidRPr="00CD59CC">
        <w:rPr>
          <w:rFonts w:ascii="Arial" w:hAnsi="Arial" w:cs="Arial"/>
          <w:bCs/>
          <w:iCs/>
        </w:rPr>
        <w:t xml:space="preserve"> </w:t>
      </w:r>
      <w:r w:rsidRPr="00CD59CC">
        <w:rPr>
          <w:rFonts w:ascii="Arial" w:hAnsi="Arial" w:cs="Arial"/>
          <w:bCs/>
          <w:iCs/>
        </w:rPr>
        <w:t>took</w:t>
      </w:r>
      <w:r w:rsidR="007B7640" w:rsidRPr="00CD59CC">
        <w:rPr>
          <w:rFonts w:ascii="Arial" w:hAnsi="Arial" w:cs="Arial"/>
          <w:bCs/>
          <w:iCs/>
        </w:rPr>
        <w:t xml:space="preserve"> </w:t>
      </w:r>
      <w:r w:rsidRPr="00CD59CC">
        <w:rPr>
          <w:rFonts w:ascii="Arial" w:hAnsi="Arial" w:cs="Arial"/>
          <w:bCs/>
          <w:iCs/>
        </w:rPr>
        <w:t>place</w:t>
      </w:r>
      <w:r w:rsidR="007B7640" w:rsidRPr="00CD59CC">
        <w:rPr>
          <w:rFonts w:ascii="Arial" w:hAnsi="Arial" w:cs="Arial"/>
          <w:bCs/>
          <w:iCs/>
        </w:rPr>
        <w:t xml:space="preserve"> </w:t>
      </w:r>
      <w:r w:rsidRPr="00CD59CC">
        <w:rPr>
          <w:rFonts w:ascii="Arial" w:hAnsi="Arial" w:cs="Arial"/>
          <w:bCs/>
          <w:iCs/>
        </w:rPr>
        <w:t>beforehand.</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judicial</w:t>
      </w:r>
      <w:r w:rsidR="007B7640" w:rsidRPr="00CD59CC">
        <w:rPr>
          <w:rFonts w:ascii="Arial" w:hAnsi="Arial" w:cs="Arial"/>
          <w:bCs/>
          <w:iCs/>
        </w:rPr>
        <w:t xml:space="preserve"> </w:t>
      </w:r>
      <w:r w:rsidRPr="00CD59CC">
        <w:rPr>
          <w:rFonts w:ascii="Arial" w:hAnsi="Arial" w:cs="Arial"/>
          <w:bCs/>
          <w:iCs/>
        </w:rPr>
        <w:t>practice</w:t>
      </w:r>
      <w:r w:rsidR="007B7640" w:rsidRPr="00CD59CC">
        <w:rPr>
          <w:rFonts w:ascii="Arial" w:hAnsi="Arial" w:cs="Arial"/>
          <w:bCs/>
          <w:iCs/>
        </w:rPr>
        <w:t xml:space="preserve"> </w:t>
      </w:r>
      <w:r w:rsidRPr="00CD59CC">
        <w:rPr>
          <w:rFonts w:ascii="Arial" w:hAnsi="Arial" w:cs="Arial"/>
          <w:bCs/>
          <w:iCs/>
        </w:rPr>
        <w:t>so</w:t>
      </w:r>
      <w:r w:rsidR="007B7640" w:rsidRPr="00CD59CC">
        <w:rPr>
          <w:rFonts w:ascii="Arial" w:hAnsi="Arial" w:cs="Arial"/>
          <w:bCs/>
          <w:iCs/>
        </w:rPr>
        <w:t xml:space="preserve"> </w:t>
      </w:r>
      <w:r w:rsidRPr="00CD59CC">
        <w:rPr>
          <w:rFonts w:ascii="Arial" w:hAnsi="Arial" w:cs="Arial"/>
          <w:bCs/>
          <w:iCs/>
        </w:rPr>
        <w:t>far,</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testimonies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testers</w:t>
      </w:r>
      <w:r w:rsidR="007B7640" w:rsidRPr="00CD59CC">
        <w:rPr>
          <w:rFonts w:ascii="Arial" w:hAnsi="Arial" w:cs="Arial"/>
          <w:bCs/>
          <w:iCs/>
        </w:rPr>
        <w:t xml:space="preserve"> </w:t>
      </w:r>
      <w:r w:rsidRPr="00CD59CC">
        <w:rPr>
          <w:rFonts w:ascii="Arial" w:hAnsi="Arial" w:cs="Arial"/>
          <w:bCs/>
          <w:iCs/>
        </w:rPr>
        <w:t>have</w:t>
      </w:r>
      <w:r w:rsidR="007B7640" w:rsidRPr="00CD59CC">
        <w:rPr>
          <w:rFonts w:ascii="Arial" w:hAnsi="Arial" w:cs="Arial"/>
          <w:bCs/>
          <w:iCs/>
        </w:rPr>
        <w:t xml:space="preserve"> </w:t>
      </w:r>
      <w:r w:rsidRPr="00CD59CC">
        <w:rPr>
          <w:rFonts w:ascii="Arial" w:hAnsi="Arial" w:cs="Arial"/>
          <w:bCs/>
          <w:iCs/>
        </w:rPr>
        <w:t>been</w:t>
      </w:r>
      <w:r w:rsidR="007B7640" w:rsidRPr="00CD59CC">
        <w:rPr>
          <w:rFonts w:ascii="Arial" w:hAnsi="Arial" w:cs="Arial"/>
          <w:bCs/>
          <w:iCs/>
        </w:rPr>
        <w:t xml:space="preserve"> </w:t>
      </w:r>
      <w:r w:rsidRPr="00CD59CC">
        <w:rPr>
          <w:rFonts w:ascii="Arial" w:hAnsi="Arial" w:cs="Arial"/>
          <w:bCs/>
          <w:iCs/>
        </w:rPr>
        <w:t>accepted</w:t>
      </w:r>
      <w:r w:rsidR="007B7640" w:rsidRPr="00CD59CC">
        <w:rPr>
          <w:rFonts w:ascii="Arial" w:hAnsi="Arial" w:cs="Arial"/>
          <w:bCs/>
          <w:iCs/>
        </w:rPr>
        <w:t xml:space="preserve"> </w:t>
      </w:r>
      <w:r w:rsidRPr="00CD59CC">
        <w:rPr>
          <w:rFonts w:ascii="Arial" w:hAnsi="Arial" w:cs="Arial"/>
          <w:bCs/>
          <w:iCs/>
        </w:rPr>
        <w:t>only</w:t>
      </w:r>
      <w:r w:rsidR="007B7640" w:rsidRPr="00CD59CC">
        <w:rPr>
          <w:rFonts w:ascii="Arial" w:hAnsi="Arial" w:cs="Arial"/>
          <w:bCs/>
          <w:iCs/>
        </w:rPr>
        <w:t xml:space="preserve"> </w:t>
      </w:r>
      <w:r w:rsidRPr="00CD59CC">
        <w:rPr>
          <w:rFonts w:ascii="Arial" w:hAnsi="Arial" w:cs="Arial"/>
          <w:bCs/>
          <w:iCs/>
        </w:rPr>
        <w:t>if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lastRenderedPageBreak/>
        <w:t>testers</w:t>
      </w:r>
      <w:r w:rsidR="007B7640" w:rsidRPr="00CD59CC">
        <w:rPr>
          <w:rFonts w:ascii="Arial" w:hAnsi="Arial" w:cs="Arial"/>
          <w:bCs/>
          <w:iCs/>
        </w:rPr>
        <w:t xml:space="preserve"> </w:t>
      </w:r>
      <w:r w:rsidRPr="00CD59CC">
        <w:rPr>
          <w:rFonts w:ascii="Arial" w:hAnsi="Arial" w:cs="Arial"/>
          <w:bCs/>
          <w:iCs/>
        </w:rPr>
        <w:t>actually</w:t>
      </w:r>
      <w:r w:rsidR="007B7640" w:rsidRPr="00CD59CC">
        <w:rPr>
          <w:rFonts w:ascii="Arial" w:hAnsi="Arial" w:cs="Arial"/>
          <w:bCs/>
          <w:iCs/>
        </w:rPr>
        <w:t xml:space="preserve"> </w:t>
      </w:r>
      <w:r w:rsidRPr="00CD59CC">
        <w:rPr>
          <w:rFonts w:ascii="Arial" w:hAnsi="Arial" w:cs="Arial"/>
          <w:bCs/>
          <w:iCs/>
        </w:rPr>
        <w:t>witnessed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complainant's</w:t>
      </w:r>
      <w:r w:rsidR="007B7640" w:rsidRPr="00CD59CC">
        <w:rPr>
          <w:rFonts w:ascii="Arial" w:hAnsi="Arial" w:cs="Arial"/>
          <w:bCs/>
          <w:iCs/>
        </w:rPr>
        <w:t xml:space="preserve"> </w:t>
      </w:r>
      <w:r w:rsidRPr="00CD59CC">
        <w:rPr>
          <w:rFonts w:ascii="Arial" w:hAnsi="Arial" w:cs="Arial"/>
          <w:bCs/>
          <w:iCs/>
        </w:rPr>
        <w:t>rights</w:t>
      </w:r>
      <w:r w:rsidR="007B7640" w:rsidRPr="00CD59CC">
        <w:rPr>
          <w:rFonts w:ascii="Arial" w:hAnsi="Arial" w:cs="Arial"/>
          <w:bCs/>
          <w:iCs/>
        </w:rPr>
        <w:t xml:space="preserve"> </w:t>
      </w:r>
      <w:r w:rsidRPr="00CD59CC">
        <w:rPr>
          <w:rFonts w:ascii="Arial" w:hAnsi="Arial" w:cs="Arial"/>
          <w:bCs/>
          <w:iCs/>
        </w:rPr>
        <w:t>being</w:t>
      </w:r>
      <w:r w:rsidR="007B7640" w:rsidRPr="00CD59CC">
        <w:rPr>
          <w:rFonts w:ascii="Arial" w:hAnsi="Arial" w:cs="Arial"/>
          <w:bCs/>
          <w:iCs/>
        </w:rPr>
        <w:t xml:space="preserve"> </w:t>
      </w:r>
      <w:r w:rsidRPr="00CD59CC">
        <w:rPr>
          <w:rFonts w:ascii="Arial" w:hAnsi="Arial" w:cs="Arial"/>
          <w:bCs/>
          <w:iCs/>
        </w:rPr>
        <w:t>violated.</w:t>
      </w:r>
      <w:r w:rsidR="00532AB1">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2009</w:t>
      </w:r>
      <w:r w:rsidR="007B7640" w:rsidRPr="00CD59CC">
        <w:rPr>
          <w:rFonts w:ascii="Arial" w:hAnsi="Arial" w:cs="Arial"/>
          <w:bCs/>
          <w:iCs/>
        </w:rPr>
        <w:t xml:space="preserve"> </w:t>
      </w:r>
      <w:r w:rsidRPr="00CD59CC">
        <w:rPr>
          <w:rFonts w:ascii="Arial" w:hAnsi="Arial" w:cs="Arial"/>
          <w:bCs/>
          <w:iCs/>
        </w:rPr>
        <w:t>case</w:t>
      </w:r>
      <w:r w:rsidR="007B7640" w:rsidRPr="00CD59CC">
        <w:rPr>
          <w:rFonts w:ascii="Arial" w:hAnsi="Arial" w:cs="Arial"/>
          <w:bCs/>
          <w:iCs/>
        </w:rPr>
        <w:t xml:space="preserve"> </w:t>
      </w:r>
      <w:r w:rsidRPr="00CD59CC">
        <w:rPr>
          <w:rFonts w:ascii="Arial" w:hAnsi="Arial" w:cs="Arial"/>
          <w:bCs/>
          <w:iCs/>
        </w:rPr>
        <w:t>testing</w:t>
      </w:r>
      <w:r w:rsidR="007B7640" w:rsidRPr="00CD59CC">
        <w:rPr>
          <w:rFonts w:ascii="Arial" w:hAnsi="Arial" w:cs="Arial"/>
          <w:bCs/>
          <w:iCs/>
        </w:rPr>
        <w:t xml:space="preserve"> </w:t>
      </w:r>
      <w:r w:rsidRPr="00CD59CC">
        <w:rPr>
          <w:rFonts w:ascii="Arial" w:hAnsi="Arial" w:cs="Arial"/>
          <w:bCs/>
          <w:iCs/>
        </w:rPr>
        <w:t>was</w:t>
      </w:r>
      <w:r w:rsidR="007B7640" w:rsidRPr="00CD59CC">
        <w:rPr>
          <w:rFonts w:ascii="Arial" w:hAnsi="Arial" w:cs="Arial"/>
          <w:bCs/>
          <w:iCs/>
        </w:rPr>
        <w:t xml:space="preserve"> </w:t>
      </w:r>
      <w:r w:rsidRPr="00CD59CC">
        <w:rPr>
          <w:rFonts w:ascii="Arial" w:hAnsi="Arial" w:cs="Arial"/>
          <w:bCs/>
          <w:iCs/>
        </w:rPr>
        <w:t>used</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prove</w:t>
      </w:r>
      <w:r w:rsidR="007B7640" w:rsidRPr="00CD59CC">
        <w:rPr>
          <w:rFonts w:ascii="Arial" w:hAnsi="Arial" w:cs="Arial"/>
          <w:bCs/>
          <w:iCs/>
        </w:rPr>
        <w:t xml:space="preserve"> </w:t>
      </w:r>
      <w:r w:rsidRPr="00CD59CC">
        <w:rPr>
          <w:rFonts w:ascii="Arial" w:hAnsi="Arial" w:cs="Arial"/>
          <w:bCs/>
          <w:iCs/>
        </w:rPr>
        <w:t>discriminatory</w:t>
      </w:r>
      <w:r w:rsidR="007B7640" w:rsidRPr="00CD59CC">
        <w:rPr>
          <w:rFonts w:ascii="Arial" w:hAnsi="Arial" w:cs="Arial"/>
          <w:bCs/>
          <w:iCs/>
        </w:rPr>
        <w:t xml:space="preserve"> </w:t>
      </w:r>
      <w:r w:rsidRPr="00CD59CC">
        <w:rPr>
          <w:rFonts w:ascii="Arial" w:hAnsi="Arial" w:cs="Arial"/>
          <w:bCs/>
          <w:iCs/>
        </w:rPr>
        <w:t>practices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Budapest</w:t>
      </w:r>
      <w:r w:rsidR="007B7640" w:rsidRPr="00CD59CC">
        <w:rPr>
          <w:rFonts w:ascii="Arial" w:hAnsi="Arial" w:cs="Arial"/>
          <w:bCs/>
          <w:iCs/>
        </w:rPr>
        <w:t xml:space="preserve"> </w:t>
      </w:r>
      <w:r w:rsidRPr="00CD59CC">
        <w:rPr>
          <w:rFonts w:ascii="Arial" w:hAnsi="Arial" w:cs="Arial"/>
          <w:bCs/>
          <w:iCs/>
        </w:rPr>
        <w:t>bar</w:t>
      </w:r>
      <w:r w:rsidR="007B7640" w:rsidRPr="00CD59CC">
        <w:rPr>
          <w:rFonts w:ascii="Arial" w:hAnsi="Arial" w:cs="Arial"/>
          <w:bCs/>
          <w:iCs/>
        </w:rPr>
        <w:t xml:space="preserve"> </w:t>
      </w:r>
      <w:r w:rsidRPr="00CD59CC">
        <w:rPr>
          <w:rFonts w:ascii="Arial" w:hAnsi="Arial" w:cs="Arial"/>
          <w:bCs/>
          <w:iCs/>
        </w:rPr>
        <w:t>that</w:t>
      </w:r>
      <w:r w:rsidR="007B7640" w:rsidRPr="00CD59CC">
        <w:rPr>
          <w:rFonts w:ascii="Arial" w:hAnsi="Arial" w:cs="Arial"/>
          <w:bCs/>
          <w:iCs/>
        </w:rPr>
        <w:t xml:space="preserve"> </w:t>
      </w:r>
      <w:r w:rsidRPr="00CD59CC">
        <w:rPr>
          <w:rFonts w:ascii="Arial" w:hAnsi="Arial" w:cs="Arial"/>
          <w:bCs/>
          <w:iCs/>
        </w:rPr>
        <w:t>regularly</w:t>
      </w:r>
      <w:r w:rsidR="007B7640" w:rsidRPr="00CD59CC">
        <w:rPr>
          <w:rFonts w:ascii="Arial" w:hAnsi="Arial" w:cs="Arial"/>
          <w:bCs/>
          <w:iCs/>
        </w:rPr>
        <w:t xml:space="preserve"> </w:t>
      </w:r>
      <w:r w:rsidRPr="00CD59CC">
        <w:rPr>
          <w:rFonts w:ascii="Arial" w:hAnsi="Arial" w:cs="Arial"/>
          <w:bCs/>
          <w:iCs/>
        </w:rPr>
        <w:t>denied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entry</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people</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African</w:t>
      </w:r>
      <w:r w:rsidR="007B7640" w:rsidRPr="00CD59CC">
        <w:rPr>
          <w:rFonts w:ascii="Arial" w:hAnsi="Arial" w:cs="Arial"/>
          <w:bCs/>
          <w:iCs/>
        </w:rPr>
        <w:t xml:space="preserve"> </w:t>
      </w:r>
      <w:r w:rsidRPr="00CD59CC">
        <w:rPr>
          <w:rFonts w:ascii="Arial" w:hAnsi="Arial" w:cs="Arial"/>
          <w:bCs/>
          <w:iCs/>
        </w:rPr>
        <w:t>origin.</w:t>
      </w:r>
      <w:r w:rsidRPr="00532AB1">
        <w:rPr>
          <w:rFonts w:ascii="Arial" w:hAnsi="Arial" w:cs="Arial"/>
          <w:vertAlign w:val="superscript"/>
        </w:rPr>
        <w:footnoteReference w:id="36"/>
      </w:r>
    </w:p>
    <w:p w14:paraId="6DA939A0" w14:textId="77777777" w:rsidR="00CD59CC" w:rsidRPr="00CD59CC" w:rsidRDefault="00CD59CC" w:rsidP="00BB4E9F">
      <w:pPr>
        <w:tabs>
          <w:tab w:val="num" w:pos="0"/>
        </w:tabs>
        <w:rPr>
          <w:rFonts w:ascii="Arial" w:hAnsi="Arial" w:cs="Arial"/>
          <w:bCs/>
          <w:iCs/>
        </w:rPr>
      </w:pPr>
    </w:p>
    <w:p w14:paraId="101498DA" w14:textId="01104727" w:rsidR="002B5BCD" w:rsidRPr="00CD59CC" w:rsidRDefault="002B5BCD" w:rsidP="00CD59CC">
      <w:pPr>
        <w:pStyle w:val="Heading2"/>
        <w:rPr>
          <w:rFonts w:cs="Arial"/>
        </w:rPr>
      </w:pPr>
      <w:bookmarkStart w:id="69" w:name="_Toc220221139"/>
      <w:bookmarkStart w:id="70" w:name="_Toc392758710"/>
      <w:bookmarkStart w:id="71" w:name="_Toc329163601"/>
      <w:bookmarkStart w:id="72" w:name="_Toc366846319"/>
      <w:r w:rsidRPr="00CD59CC">
        <w:rPr>
          <w:rFonts w:cs="Arial"/>
        </w:rPr>
        <w:t>Indirect</w:t>
      </w:r>
      <w:r w:rsidR="007B7640" w:rsidRPr="00CD59CC">
        <w:rPr>
          <w:rFonts w:cs="Arial"/>
        </w:rPr>
        <w:t xml:space="preserve"> </w:t>
      </w:r>
      <w:r w:rsidRPr="00CD59CC">
        <w:rPr>
          <w:rFonts w:cs="Arial"/>
        </w:rPr>
        <w:t>discrimination</w:t>
      </w:r>
      <w:r w:rsidR="007B7640" w:rsidRPr="00CD59CC">
        <w:rPr>
          <w:rFonts w:cs="Arial"/>
        </w:rPr>
        <w:t xml:space="preserve"> </w:t>
      </w:r>
      <w:r w:rsidRPr="00CD59CC">
        <w:rPr>
          <w:rFonts w:cs="Arial"/>
        </w:rPr>
        <w:t>(Article</w:t>
      </w:r>
      <w:r w:rsidR="007B7640" w:rsidRPr="00CD59CC">
        <w:rPr>
          <w:rFonts w:cs="Arial"/>
        </w:rPr>
        <w:t xml:space="preserve"> </w:t>
      </w:r>
      <w:r w:rsidRPr="00CD59CC">
        <w:rPr>
          <w:rFonts w:cs="Arial"/>
        </w:rPr>
        <w:t>2(2)(b))</w:t>
      </w:r>
      <w:bookmarkEnd w:id="69"/>
      <w:bookmarkEnd w:id="70"/>
      <w:bookmarkEnd w:id="71"/>
      <w:bookmarkEnd w:id="72"/>
    </w:p>
    <w:p w14:paraId="0138AD9A" w14:textId="77777777" w:rsidR="002B5BCD" w:rsidRPr="00CD59CC" w:rsidRDefault="002B5BCD" w:rsidP="00CD59CC">
      <w:pPr>
        <w:rPr>
          <w:rFonts w:ascii="Arial" w:hAnsi="Arial" w:cs="Arial"/>
        </w:rPr>
      </w:pPr>
    </w:p>
    <w:p w14:paraId="7668AE94" w14:textId="77777777" w:rsidR="002B5BCD" w:rsidRPr="00CD59CC" w:rsidRDefault="002B5BCD" w:rsidP="00CD59CC">
      <w:pPr>
        <w:numPr>
          <w:ilvl w:val="0"/>
          <w:numId w:val="6"/>
        </w:numPr>
        <w:tabs>
          <w:tab w:val="left" w:pos="567"/>
        </w:tabs>
        <w:ind w:left="567" w:hanging="567"/>
        <w:rPr>
          <w:rFonts w:ascii="Arial" w:hAnsi="Arial" w:cs="Arial"/>
          <w:i/>
        </w:rPr>
      </w:pPr>
      <w:r w:rsidRPr="00CD59CC">
        <w:rPr>
          <w:rFonts w:ascii="Arial" w:hAnsi="Arial" w:cs="Arial"/>
          <w:i/>
        </w:rPr>
        <w:t>How</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indirect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defined</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00FE5EFF" w:rsidRPr="00CD59CC">
        <w:rPr>
          <w:rFonts w:ascii="Arial" w:hAnsi="Arial" w:cs="Arial"/>
          <w:i/>
        </w:rPr>
        <w:t>on</w:t>
      </w:r>
      <w:r w:rsidR="007B7640" w:rsidRPr="00CD59CC">
        <w:rPr>
          <w:rFonts w:ascii="Arial" w:hAnsi="Arial" w:cs="Arial"/>
          <w:i/>
        </w:rPr>
        <w:t xml:space="preserve"> </w:t>
      </w:r>
      <w:r w:rsidR="00FE5EFF" w:rsidRPr="00CD59CC">
        <w:rPr>
          <w:rFonts w:ascii="Arial" w:hAnsi="Arial" w:cs="Arial"/>
          <w:i/>
        </w:rPr>
        <w:t>discrimination</w:t>
      </w:r>
      <w:r w:rsidRPr="00CD59CC">
        <w:rPr>
          <w:rFonts w:ascii="Arial" w:hAnsi="Arial" w:cs="Arial"/>
          <w:i/>
        </w:rPr>
        <w:t>?</w:t>
      </w:r>
      <w:r w:rsidR="007B7640" w:rsidRPr="00CD59CC">
        <w:rPr>
          <w:rFonts w:ascii="Arial" w:hAnsi="Arial" w:cs="Arial"/>
          <w:i/>
        </w:rPr>
        <w:t xml:space="preserve"> </w:t>
      </w:r>
      <w:r w:rsidRPr="00CD59CC">
        <w:rPr>
          <w:rFonts w:ascii="Arial" w:hAnsi="Arial" w:cs="Arial"/>
          <w:i/>
        </w:rPr>
        <w:t>Please</w:t>
      </w:r>
      <w:r w:rsidR="007B7640" w:rsidRPr="00CD59CC">
        <w:rPr>
          <w:rFonts w:ascii="Arial" w:hAnsi="Arial" w:cs="Arial"/>
          <w:i/>
        </w:rPr>
        <w:t xml:space="preserve"> </w:t>
      </w:r>
      <w:r w:rsidRPr="00CD59CC">
        <w:rPr>
          <w:rFonts w:ascii="Arial" w:hAnsi="Arial" w:cs="Arial"/>
          <w:i/>
        </w:rPr>
        <w:t>indicate</w:t>
      </w:r>
      <w:r w:rsidR="007B7640" w:rsidRPr="00CD59CC">
        <w:rPr>
          <w:rFonts w:ascii="Arial" w:hAnsi="Arial" w:cs="Arial"/>
          <w:i/>
        </w:rPr>
        <w:t xml:space="preserve"> </w:t>
      </w:r>
      <w:r w:rsidRPr="00CD59CC">
        <w:rPr>
          <w:rFonts w:ascii="Arial" w:hAnsi="Arial" w:cs="Arial"/>
          <w:i/>
        </w:rPr>
        <w:t>whether</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definition</w:t>
      </w:r>
      <w:r w:rsidR="007B7640" w:rsidRPr="00CD59CC">
        <w:rPr>
          <w:rFonts w:ascii="Arial" w:hAnsi="Arial" w:cs="Arial"/>
          <w:i/>
        </w:rPr>
        <w:t xml:space="preserve"> </w:t>
      </w:r>
      <w:r w:rsidRPr="00CD59CC">
        <w:rPr>
          <w:rFonts w:ascii="Arial" w:hAnsi="Arial" w:cs="Arial"/>
          <w:i/>
        </w:rPr>
        <w:t>complies</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those</w:t>
      </w:r>
      <w:r w:rsidR="007B7640" w:rsidRPr="00CD59CC">
        <w:rPr>
          <w:rFonts w:ascii="Arial" w:hAnsi="Arial" w:cs="Arial"/>
          <w:i/>
        </w:rPr>
        <w:t xml:space="preserve"> </w:t>
      </w:r>
      <w:r w:rsidRPr="00CD59CC">
        <w:rPr>
          <w:rFonts w:ascii="Arial" w:hAnsi="Arial" w:cs="Arial"/>
          <w:i/>
        </w:rPr>
        <w:t>given</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directives.</w:t>
      </w:r>
    </w:p>
    <w:p w14:paraId="28FE6877" w14:textId="77777777" w:rsidR="002B5BCD" w:rsidRPr="00CD59CC" w:rsidRDefault="002B5BCD" w:rsidP="00CD59CC">
      <w:pPr>
        <w:ind w:left="567" w:hanging="567"/>
        <w:rPr>
          <w:rFonts w:ascii="Arial" w:hAnsi="Arial" w:cs="Arial"/>
        </w:rPr>
      </w:pPr>
    </w:p>
    <w:p w14:paraId="42FA769F" w14:textId="77777777" w:rsidR="00A8566E" w:rsidRPr="00CD59CC" w:rsidRDefault="00A8566E"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9</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provision</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deemed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ostensibly</w:t>
      </w:r>
      <w:r w:rsidR="007B7640" w:rsidRPr="00CD59CC">
        <w:rPr>
          <w:rFonts w:ascii="Arial" w:hAnsi="Arial" w:cs="Arial"/>
        </w:rPr>
        <w:t xml:space="preserve"> </w:t>
      </w:r>
      <w:r w:rsidRPr="00CD59CC">
        <w:rPr>
          <w:rFonts w:ascii="Arial" w:hAnsi="Arial" w:cs="Arial"/>
        </w:rPr>
        <w:t>meeting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deemed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indirect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puts</w:t>
      </w:r>
      <w:r w:rsidR="007B7640" w:rsidRPr="00CD59CC">
        <w:rPr>
          <w:rFonts w:ascii="Arial" w:hAnsi="Arial" w:cs="Arial"/>
        </w:rPr>
        <w:t xml:space="preserve"> </w:t>
      </w:r>
      <w:r w:rsidRPr="00CD59CC">
        <w:rPr>
          <w:rFonts w:ascii="Arial" w:hAnsi="Arial" w:cs="Arial"/>
        </w:rPr>
        <w:t>individual</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characteristics</w:t>
      </w:r>
      <w:r w:rsidR="007B7640" w:rsidRPr="00CD59CC">
        <w:rPr>
          <w:rFonts w:ascii="Arial" w:hAnsi="Arial" w:cs="Arial"/>
        </w:rPr>
        <w:t xml:space="preserve"> </w:t>
      </w:r>
      <w:r w:rsidRPr="00CD59CC">
        <w:rPr>
          <w:rFonts w:ascii="Arial" w:hAnsi="Arial" w:cs="Arial"/>
        </w:rPr>
        <w:t>specified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significantly</w:t>
      </w:r>
      <w:r w:rsidR="007B7640" w:rsidRPr="00CD59CC">
        <w:rPr>
          <w:rFonts w:ascii="Arial" w:hAnsi="Arial" w:cs="Arial"/>
        </w:rPr>
        <w:t xml:space="preserve"> </w:t>
      </w:r>
      <w:r w:rsidRPr="00CD59CC">
        <w:rPr>
          <w:rFonts w:ascii="Arial" w:hAnsi="Arial" w:cs="Arial"/>
        </w:rPr>
        <w:t>disproportionately</w:t>
      </w:r>
      <w:r w:rsidR="007B7640" w:rsidRPr="00CD59CC">
        <w:rPr>
          <w:rFonts w:ascii="Arial" w:hAnsi="Arial" w:cs="Arial"/>
        </w:rPr>
        <w:t xml:space="preserve"> </w:t>
      </w:r>
      <w:r w:rsidRPr="00CD59CC">
        <w:rPr>
          <w:rFonts w:ascii="Arial" w:hAnsi="Arial" w:cs="Arial"/>
        </w:rPr>
        <w:t>disadvantageous</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comparable</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be.”</w:t>
      </w:r>
    </w:p>
    <w:p w14:paraId="1DA57FFD" w14:textId="77777777" w:rsidR="00A8566E" w:rsidRPr="00CD59CC" w:rsidRDefault="00A8566E" w:rsidP="00CD59CC">
      <w:pPr>
        <w:ind w:left="567" w:hanging="567"/>
        <w:rPr>
          <w:rFonts w:ascii="Arial" w:hAnsi="Arial" w:cs="Arial"/>
        </w:rPr>
      </w:pPr>
    </w:p>
    <w:p w14:paraId="712BD8A9" w14:textId="77777777" w:rsidR="002B5BCD" w:rsidRPr="00CD59CC" w:rsidRDefault="002B5BCD" w:rsidP="00CD59CC">
      <w:pPr>
        <w:numPr>
          <w:ilvl w:val="0"/>
          <w:numId w:val="6"/>
        </w:numPr>
        <w:ind w:left="567" w:hanging="567"/>
        <w:rPr>
          <w:rFonts w:ascii="Arial" w:hAnsi="Arial" w:cs="Arial"/>
          <w:i/>
        </w:rPr>
      </w:pPr>
      <w:r w:rsidRPr="00CD59CC">
        <w:rPr>
          <w:rFonts w:ascii="Arial" w:hAnsi="Arial" w:cs="Arial"/>
          <w:i/>
        </w:rPr>
        <w:t>What</w:t>
      </w:r>
      <w:r w:rsidR="007B7640" w:rsidRPr="00CD59CC">
        <w:rPr>
          <w:rFonts w:ascii="Arial" w:hAnsi="Arial" w:cs="Arial"/>
          <w:i/>
        </w:rPr>
        <w:t xml:space="preserve"> </w:t>
      </w:r>
      <w:r w:rsidRPr="00CD59CC">
        <w:rPr>
          <w:rFonts w:ascii="Arial" w:hAnsi="Arial" w:cs="Arial"/>
          <w:i/>
        </w:rPr>
        <w:t>test</w:t>
      </w:r>
      <w:r w:rsidR="007B7640" w:rsidRPr="00CD59CC">
        <w:rPr>
          <w:rFonts w:ascii="Arial" w:hAnsi="Arial" w:cs="Arial"/>
          <w:i/>
        </w:rPr>
        <w:t xml:space="preserve"> </w:t>
      </w:r>
      <w:r w:rsidRPr="00CD59CC">
        <w:rPr>
          <w:rFonts w:ascii="Arial" w:hAnsi="Arial" w:cs="Arial"/>
          <w:i/>
        </w:rPr>
        <w:t>must</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satisfied</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justify</w:t>
      </w:r>
      <w:r w:rsidR="007B7640" w:rsidRPr="00CD59CC">
        <w:rPr>
          <w:rFonts w:ascii="Arial" w:hAnsi="Arial" w:cs="Arial"/>
          <w:i/>
        </w:rPr>
        <w:t xml:space="preserve"> </w:t>
      </w:r>
      <w:r w:rsidRPr="00CD59CC">
        <w:rPr>
          <w:rFonts w:ascii="Arial" w:hAnsi="Arial" w:cs="Arial"/>
          <w:i/>
        </w:rPr>
        <w:t>indirect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What</w:t>
      </w:r>
      <w:r w:rsidR="007B7640" w:rsidRPr="00CD59CC">
        <w:rPr>
          <w:rFonts w:ascii="Arial" w:hAnsi="Arial" w:cs="Arial"/>
          <w:i/>
        </w:rPr>
        <w:t xml:space="preserve"> </w:t>
      </w:r>
      <w:r w:rsidRPr="00CD59CC">
        <w:rPr>
          <w:rFonts w:ascii="Arial" w:hAnsi="Arial" w:cs="Arial"/>
          <w:i/>
        </w:rPr>
        <w:t>are</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legitimate</w:t>
      </w:r>
      <w:r w:rsidR="007B7640" w:rsidRPr="00CD59CC">
        <w:rPr>
          <w:rFonts w:ascii="Arial" w:hAnsi="Arial" w:cs="Arial"/>
          <w:i/>
        </w:rPr>
        <w:t xml:space="preserve"> </w:t>
      </w:r>
      <w:r w:rsidRPr="00CD59CC">
        <w:rPr>
          <w:rFonts w:ascii="Arial" w:hAnsi="Arial" w:cs="Arial"/>
          <w:i/>
        </w:rPr>
        <w:t>aims</w:t>
      </w:r>
      <w:r w:rsidR="007B7640" w:rsidRPr="00CD59CC">
        <w:rPr>
          <w:rFonts w:ascii="Arial" w:hAnsi="Arial" w:cs="Arial"/>
          <w:i/>
        </w:rPr>
        <w:t xml:space="preserve"> </w:t>
      </w:r>
      <w:r w:rsidRPr="00CD59CC">
        <w:rPr>
          <w:rFonts w:ascii="Arial" w:hAnsi="Arial" w:cs="Arial"/>
          <w:i/>
        </w:rPr>
        <w:t>that</w:t>
      </w:r>
      <w:r w:rsidR="007B7640" w:rsidRPr="00CD59CC">
        <w:rPr>
          <w:rFonts w:ascii="Arial" w:hAnsi="Arial" w:cs="Arial"/>
          <w:i/>
        </w:rPr>
        <w:t xml:space="preserve"> </w:t>
      </w:r>
      <w:r w:rsidRPr="00CD59CC">
        <w:rPr>
          <w:rFonts w:ascii="Arial" w:hAnsi="Arial" w:cs="Arial"/>
          <w:i/>
        </w:rPr>
        <w:t>can</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accepted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courts?</w:t>
      </w:r>
      <w:r w:rsidR="007B7640" w:rsidRPr="00CD59CC">
        <w:rPr>
          <w:rFonts w:ascii="Arial" w:hAnsi="Arial" w:cs="Arial"/>
          <w:i/>
        </w:rPr>
        <w:t xml:space="preserve"> </w:t>
      </w:r>
      <w:r w:rsidRPr="00CD59CC">
        <w:rPr>
          <w:rFonts w:ascii="Arial" w:hAnsi="Arial" w:cs="Arial"/>
          <w:i/>
        </w:rPr>
        <w:t>Do</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legitimate</w:t>
      </w:r>
      <w:r w:rsidR="007B7640" w:rsidRPr="00CD59CC">
        <w:rPr>
          <w:rFonts w:ascii="Arial" w:hAnsi="Arial" w:cs="Arial"/>
          <w:i/>
        </w:rPr>
        <w:t xml:space="preserve"> </w:t>
      </w:r>
      <w:r w:rsidRPr="00CD59CC">
        <w:rPr>
          <w:rFonts w:ascii="Arial" w:hAnsi="Arial" w:cs="Arial"/>
          <w:i/>
        </w:rPr>
        <w:t>aims</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accepted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courts</w:t>
      </w:r>
      <w:r w:rsidR="007B7640" w:rsidRPr="00CD59CC">
        <w:rPr>
          <w:rFonts w:ascii="Arial" w:hAnsi="Arial" w:cs="Arial"/>
          <w:i/>
        </w:rPr>
        <w:t xml:space="preserve"> </w:t>
      </w:r>
      <w:r w:rsidRPr="00CD59CC">
        <w:rPr>
          <w:rFonts w:ascii="Arial" w:hAnsi="Arial" w:cs="Arial"/>
          <w:i/>
        </w:rPr>
        <w:t>have</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same</w:t>
      </w:r>
      <w:r w:rsidR="007B7640" w:rsidRPr="00CD59CC">
        <w:rPr>
          <w:rFonts w:ascii="Arial" w:hAnsi="Arial" w:cs="Arial"/>
          <w:i/>
        </w:rPr>
        <w:t xml:space="preserve"> </w:t>
      </w:r>
      <w:r w:rsidRPr="00CD59CC">
        <w:rPr>
          <w:rFonts w:ascii="Arial" w:hAnsi="Arial" w:cs="Arial"/>
          <w:i/>
        </w:rPr>
        <w:t>value</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general</w:t>
      </w:r>
      <w:r w:rsidR="007B7640" w:rsidRPr="00CD59CC">
        <w:rPr>
          <w:rFonts w:ascii="Arial" w:hAnsi="Arial" w:cs="Arial"/>
          <w:i/>
        </w:rPr>
        <w:t xml:space="preserve"> </w:t>
      </w:r>
      <w:r w:rsidRPr="00CD59CC">
        <w:rPr>
          <w:rFonts w:ascii="Arial" w:hAnsi="Arial" w:cs="Arial"/>
          <w:i/>
        </w:rPr>
        <w:t>principle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equality,</w:t>
      </w:r>
      <w:r w:rsidR="007B7640" w:rsidRPr="00CD59CC">
        <w:rPr>
          <w:rFonts w:ascii="Arial" w:hAnsi="Arial" w:cs="Arial"/>
          <w:i/>
        </w:rPr>
        <w:t xml:space="preserve"> </w:t>
      </w:r>
      <w:r w:rsidRPr="00CD59CC">
        <w:rPr>
          <w:rFonts w:ascii="Arial" w:hAnsi="Arial" w:cs="Arial"/>
          <w:i/>
        </w:rPr>
        <w:t>from</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human</w:t>
      </w:r>
      <w:r w:rsidR="007B7640" w:rsidRPr="00CD59CC">
        <w:rPr>
          <w:rFonts w:ascii="Arial" w:hAnsi="Arial" w:cs="Arial"/>
          <w:i/>
        </w:rPr>
        <w:t xml:space="preserve"> </w:t>
      </w:r>
      <w:r w:rsidRPr="00CD59CC">
        <w:rPr>
          <w:rFonts w:ascii="Arial" w:hAnsi="Arial" w:cs="Arial"/>
          <w:i/>
        </w:rPr>
        <w:t>rights</w:t>
      </w:r>
      <w:r w:rsidR="007B7640" w:rsidRPr="00CD59CC">
        <w:rPr>
          <w:rFonts w:ascii="Arial" w:hAnsi="Arial" w:cs="Arial"/>
          <w:i/>
        </w:rPr>
        <w:t xml:space="preserve"> </w:t>
      </w:r>
      <w:r w:rsidRPr="00CD59CC">
        <w:rPr>
          <w:rFonts w:ascii="Arial" w:hAnsi="Arial" w:cs="Arial"/>
          <w:i/>
        </w:rPr>
        <w:t>perspective</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prescribed</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domestic</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What</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considered</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an</w:t>
      </w:r>
      <w:r w:rsidR="007B7640" w:rsidRPr="00CD59CC">
        <w:rPr>
          <w:rFonts w:ascii="Arial" w:hAnsi="Arial" w:cs="Arial"/>
          <w:i/>
        </w:rPr>
        <w:t xml:space="preserve"> </w:t>
      </w:r>
      <w:r w:rsidRPr="00CD59CC">
        <w:rPr>
          <w:rFonts w:ascii="Arial" w:hAnsi="Arial" w:cs="Arial"/>
          <w:i/>
        </w:rPr>
        <w:t>appropriate</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necessary</w:t>
      </w:r>
      <w:r w:rsidR="007B7640" w:rsidRPr="00CD59CC">
        <w:rPr>
          <w:rFonts w:ascii="Arial" w:hAnsi="Arial" w:cs="Arial"/>
          <w:i/>
        </w:rPr>
        <w:t xml:space="preserve"> </w:t>
      </w:r>
      <w:r w:rsidRPr="00CD59CC">
        <w:rPr>
          <w:rFonts w:ascii="Arial" w:hAnsi="Arial" w:cs="Arial"/>
          <w:i/>
        </w:rPr>
        <w:t>measure</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pursue</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legitimate</w:t>
      </w:r>
      <w:r w:rsidR="007B7640" w:rsidRPr="00CD59CC">
        <w:rPr>
          <w:rFonts w:ascii="Arial" w:hAnsi="Arial" w:cs="Arial"/>
          <w:i/>
        </w:rPr>
        <w:t xml:space="preserve"> </w:t>
      </w:r>
      <w:r w:rsidRPr="00CD59CC">
        <w:rPr>
          <w:rFonts w:ascii="Arial" w:hAnsi="Arial" w:cs="Arial"/>
          <w:i/>
        </w:rPr>
        <w:t>aim?</w:t>
      </w:r>
    </w:p>
    <w:p w14:paraId="3A23BDBC" w14:textId="77777777" w:rsidR="00B97ED3" w:rsidRDefault="00B97ED3" w:rsidP="00BB4E9F">
      <w:pPr>
        <w:rPr>
          <w:rFonts w:ascii="Arial" w:hAnsi="Arial" w:cs="Arial"/>
        </w:rPr>
      </w:pPr>
    </w:p>
    <w:p w14:paraId="0832B655" w14:textId="77777777" w:rsidR="00A8566E" w:rsidRPr="00CD59CC" w:rsidRDefault="00A8566E"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makes</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distinction</w:t>
      </w:r>
      <w:r w:rsidR="007B7640" w:rsidRPr="00CD59CC">
        <w:rPr>
          <w:rFonts w:ascii="Arial" w:hAnsi="Arial" w:cs="Arial"/>
        </w:rPr>
        <w:t xml:space="preserve"> </w:t>
      </w:r>
      <w:r w:rsidRPr="00CD59CC">
        <w:rPr>
          <w:rFonts w:ascii="Arial" w:hAnsi="Arial" w:cs="Arial"/>
        </w:rPr>
        <w:t>between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justification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exempting</w:t>
      </w:r>
      <w:r w:rsidR="007B7640" w:rsidRPr="00CD59CC">
        <w:rPr>
          <w:rFonts w:ascii="Arial" w:hAnsi="Arial" w:cs="Arial"/>
        </w:rPr>
        <w:t xml:space="preserve"> </w:t>
      </w:r>
      <w:r w:rsidRPr="00CD59CC">
        <w:rPr>
          <w:rFonts w:ascii="Arial" w:hAnsi="Arial" w:cs="Arial"/>
        </w:rPr>
        <w:t>clauses</w:t>
      </w:r>
      <w:r w:rsidR="007B7640" w:rsidRPr="00CD59CC">
        <w:rPr>
          <w:rFonts w:ascii="Arial" w:hAnsi="Arial" w:cs="Arial"/>
        </w:rPr>
        <w:t xml:space="preserve"> </w:t>
      </w:r>
      <w:r w:rsidRPr="00CD59CC">
        <w:rPr>
          <w:rFonts w:ascii="Arial" w:hAnsi="Arial" w:cs="Arial"/>
        </w:rPr>
        <w:t>pertain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types.</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means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constitutional</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restricted</w:t>
      </w:r>
      <w:r w:rsidR="007B7640" w:rsidRPr="00CD59CC">
        <w:rPr>
          <w:rFonts w:ascii="Arial" w:hAnsi="Arial" w:cs="Arial"/>
        </w:rPr>
        <w:t xml:space="preserve"> </w:t>
      </w:r>
      <w:r w:rsidRPr="00CD59CC">
        <w:rPr>
          <w:rFonts w:ascii="Arial" w:hAnsi="Arial" w:cs="Arial"/>
        </w:rPr>
        <w:t>through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distinction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justified</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done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sake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enforcement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another</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whereas</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distinction</w:t>
      </w:r>
      <w:r w:rsidR="007B7640" w:rsidRPr="00CD59CC">
        <w:rPr>
          <w:rFonts w:ascii="Arial" w:hAnsi="Arial" w:cs="Arial"/>
        </w:rPr>
        <w:t xml:space="preserve"> </w:t>
      </w:r>
      <w:r w:rsidRPr="00CD59CC">
        <w:rPr>
          <w:rFonts w:ascii="Arial" w:hAnsi="Arial" w:cs="Arial"/>
        </w:rPr>
        <w:t>concerns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deemed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justification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reasonability</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applied.</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justification</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applied</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distinction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origin.</w:t>
      </w:r>
    </w:p>
    <w:p w14:paraId="1C8996F9" w14:textId="77777777" w:rsidR="00A8566E" w:rsidRPr="00CD59CC" w:rsidRDefault="00A8566E" w:rsidP="00CD59CC">
      <w:pPr>
        <w:rPr>
          <w:rFonts w:ascii="Arial" w:hAnsi="Arial" w:cs="Arial"/>
        </w:rPr>
      </w:pPr>
    </w:p>
    <w:p w14:paraId="65719BDB" w14:textId="77777777" w:rsidR="00A8566E" w:rsidRPr="00CD59CC" w:rsidRDefault="00A8566E" w:rsidP="00CD59CC">
      <w:pPr>
        <w:rPr>
          <w:rFonts w:ascii="Arial" w:hAnsi="Arial" w:cs="Arial"/>
        </w:rPr>
      </w:pPr>
      <w:r w:rsidRPr="00CD59CC">
        <w:rPr>
          <w:rFonts w:ascii="Arial" w:hAnsi="Arial" w:cs="Arial"/>
        </w:rPr>
        <w:t>There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still</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judicial</w:t>
      </w:r>
      <w:r w:rsidR="007B7640" w:rsidRPr="00CD59CC">
        <w:rPr>
          <w:rFonts w:ascii="Arial" w:hAnsi="Arial" w:cs="Arial"/>
        </w:rPr>
        <w:t xml:space="preserve"> </w:t>
      </w:r>
      <w:r w:rsidRPr="00CD59CC">
        <w:rPr>
          <w:rFonts w:ascii="Arial" w:hAnsi="Arial" w:cs="Arial"/>
        </w:rPr>
        <w:t>jurisprudence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question</w:t>
      </w:r>
      <w:r w:rsidR="007B7640" w:rsidRPr="00CD59CC">
        <w:rPr>
          <w:rFonts w:ascii="Arial" w:hAnsi="Arial" w:cs="Arial"/>
        </w:rPr>
        <w:t xml:space="preserve"> </w:t>
      </w:r>
      <w:r w:rsidRPr="00CD59CC">
        <w:rPr>
          <w:rFonts w:ascii="Arial" w:hAnsi="Arial" w:cs="Arial"/>
        </w:rPr>
        <w:t>what</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considered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appropriate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measure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pursue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legitimate</w:t>
      </w:r>
      <w:r w:rsidR="007B7640" w:rsidRPr="00CD59CC">
        <w:rPr>
          <w:rFonts w:ascii="Arial" w:hAnsi="Arial" w:cs="Arial"/>
        </w:rPr>
        <w:t xml:space="preserve"> </w:t>
      </w:r>
      <w:r w:rsidRPr="00CD59CC">
        <w:rPr>
          <w:rFonts w:ascii="Arial" w:hAnsi="Arial" w:cs="Arial"/>
        </w:rPr>
        <w:t>aim</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cannot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answered.</w:t>
      </w:r>
    </w:p>
    <w:p w14:paraId="527512C0" w14:textId="77777777" w:rsidR="00A8566E" w:rsidRPr="00CD59CC" w:rsidRDefault="00A8566E" w:rsidP="00CD59CC">
      <w:pPr>
        <w:ind w:left="567" w:hanging="567"/>
        <w:rPr>
          <w:rFonts w:ascii="Arial" w:hAnsi="Arial" w:cs="Arial"/>
        </w:rPr>
      </w:pPr>
    </w:p>
    <w:p w14:paraId="705D22B1" w14:textId="77777777" w:rsidR="002B5BCD" w:rsidRPr="00CD59CC" w:rsidRDefault="002B5BCD" w:rsidP="00CD59CC">
      <w:pPr>
        <w:numPr>
          <w:ilvl w:val="0"/>
          <w:numId w:val="6"/>
        </w:numPr>
        <w:tabs>
          <w:tab w:val="left" w:pos="567"/>
        </w:tabs>
        <w:ind w:left="567" w:hanging="567"/>
        <w:rPr>
          <w:rFonts w:ascii="Arial" w:hAnsi="Arial" w:cs="Arial"/>
          <w:i/>
        </w:rPr>
      </w:pPr>
      <w:r w:rsidRPr="00CD59CC">
        <w:rPr>
          <w:rFonts w:ascii="Arial" w:hAnsi="Arial" w:cs="Arial"/>
          <w:i/>
        </w:rPr>
        <w:t>Is</w:t>
      </w:r>
      <w:r w:rsidR="007B7640" w:rsidRPr="00CD59CC">
        <w:rPr>
          <w:rFonts w:ascii="Arial" w:hAnsi="Arial" w:cs="Arial"/>
          <w:i/>
        </w:rPr>
        <w:t xml:space="preserve"> </w:t>
      </w:r>
      <w:r w:rsidRPr="00CD59CC">
        <w:rPr>
          <w:rFonts w:ascii="Arial" w:hAnsi="Arial" w:cs="Arial"/>
          <w:i/>
        </w:rPr>
        <w:t>this</w:t>
      </w:r>
      <w:r w:rsidR="007B7640" w:rsidRPr="00CD59CC">
        <w:rPr>
          <w:rFonts w:ascii="Arial" w:hAnsi="Arial" w:cs="Arial"/>
          <w:i/>
        </w:rPr>
        <w:t xml:space="preserve"> </w:t>
      </w:r>
      <w:r w:rsidRPr="00CD59CC">
        <w:rPr>
          <w:rFonts w:ascii="Arial" w:hAnsi="Arial" w:cs="Arial"/>
          <w:i/>
        </w:rPr>
        <w:t>compatible</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Directives?</w:t>
      </w:r>
    </w:p>
    <w:p w14:paraId="4008E36D" w14:textId="77777777" w:rsidR="002B5BCD" w:rsidRPr="00CD59CC" w:rsidRDefault="002B5BCD" w:rsidP="00CD59CC">
      <w:pPr>
        <w:ind w:left="567" w:hanging="567"/>
        <w:rPr>
          <w:rFonts w:ascii="Arial" w:hAnsi="Arial" w:cs="Arial"/>
        </w:rPr>
      </w:pPr>
    </w:p>
    <w:p w14:paraId="3009A1A4" w14:textId="77777777" w:rsidR="00A8566E" w:rsidRPr="00CD59CC" w:rsidRDefault="00A8566E" w:rsidP="00CD59CC">
      <w:pPr>
        <w:rPr>
          <w:rFonts w:ascii="Arial" w:hAnsi="Arial" w:cs="Arial"/>
        </w:rPr>
      </w:pPr>
      <w:r w:rsidRPr="00CD59CC">
        <w:rPr>
          <w:rFonts w:ascii="Arial" w:hAnsi="Arial" w:cs="Arial"/>
        </w:rPr>
        <w:t>As</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pointed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7</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“unless</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stipulates</w:t>
      </w:r>
      <w:r w:rsidR="007B7640" w:rsidRPr="00CD59CC">
        <w:rPr>
          <w:rFonts w:ascii="Arial" w:hAnsi="Arial" w:cs="Arial"/>
        </w:rPr>
        <w:t xml:space="preserve"> </w:t>
      </w:r>
      <w:r w:rsidRPr="00CD59CC">
        <w:rPr>
          <w:rFonts w:ascii="Arial" w:hAnsi="Arial" w:cs="Arial"/>
        </w:rPr>
        <w:t>otherwise,</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action,</w:t>
      </w:r>
      <w:r w:rsidR="007B7640" w:rsidRPr="00CD59CC">
        <w:rPr>
          <w:rFonts w:ascii="Arial" w:hAnsi="Arial" w:cs="Arial"/>
        </w:rPr>
        <w:t xml:space="preserve"> </w:t>
      </w:r>
      <w:r w:rsidRPr="00CD59CC">
        <w:rPr>
          <w:rFonts w:ascii="Arial" w:hAnsi="Arial" w:cs="Arial"/>
        </w:rPr>
        <w:t>conduct,</w:t>
      </w:r>
      <w:r w:rsidR="007B7640" w:rsidRPr="00CD59CC">
        <w:rPr>
          <w:rFonts w:ascii="Arial" w:hAnsi="Arial" w:cs="Arial"/>
        </w:rPr>
        <w:t xml:space="preserve"> </w:t>
      </w:r>
      <w:r w:rsidRPr="00CD59CC">
        <w:rPr>
          <w:rFonts w:ascii="Arial" w:hAnsi="Arial" w:cs="Arial"/>
        </w:rPr>
        <w:t>omission,</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order</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practice</w:t>
      </w:r>
      <w:r w:rsidR="007B7640" w:rsidRPr="00CD59CC">
        <w:rPr>
          <w:rFonts w:ascii="Arial" w:hAnsi="Arial" w:cs="Arial"/>
        </w:rPr>
        <w:t xml:space="preserve"> </w:t>
      </w:r>
      <w:r w:rsidRPr="00CD59CC">
        <w:rPr>
          <w:rFonts w:ascii="Arial" w:hAnsi="Arial" w:cs="Arial"/>
        </w:rPr>
        <w:t>(hereinafter:</w:t>
      </w:r>
      <w:r w:rsidR="007B7640" w:rsidRPr="00CD59CC">
        <w:rPr>
          <w:rFonts w:ascii="Arial" w:hAnsi="Arial" w:cs="Arial"/>
        </w:rPr>
        <w:t xml:space="preserve"> </w:t>
      </w:r>
      <w:r w:rsidRPr="00CD59CC">
        <w:rPr>
          <w:rFonts w:ascii="Arial" w:hAnsi="Arial" w:cs="Arial"/>
        </w:rPr>
        <w:t>action)</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deemed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violate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restricts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aggrieved</w:t>
      </w:r>
      <w:r w:rsidR="007B7640" w:rsidRPr="00CD59CC">
        <w:rPr>
          <w:rFonts w:ascii="Arial" w:hAnsi="Arial" w:cs="Arial"/>
        </w:rPr>
        <w:t xml:space="preserve"> </w:t>
      </w:r>
      <w:r w:rsidRPr="00CD59CC">
        <w:rPr>
          <w:rFonts w:ascii="Arial" w:hAnsi="Arial" w:cs="Arial"/>
        </w:rPr>
        <w:t>party’s</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sake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enforcement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another</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restriction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absolutely</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suitable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achieving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aim</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proportionate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aim,</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lastRenderedPageBreak/>
        <w:t>cases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falling</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found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consideration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reasonable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directly</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relevant</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p>
    <w:p w14:paraId="7C8AF0A2" w14:textId="77777777" w:rsidR="00A8566E" w:rsidRPr="00CD59CC" w:rsidRDefault="00A8566E" w:rsidP="00CD59CC">
      <w:pPr>
        <w:rPr>
          <w:rFonts w:ascii="Arial" w:hAnsi="Arial" w:cs="Arial"/>
        </w:rPr>
      </w:pPr>
    </w:p>
    <w:p w14:paraId="793E71CE" w14:textId="77777777" w:rsidR="00A8566E" w:rsidRDefault="00A8566E" w:rsidP="00CD59CC">
      <w:pPr>
        <w:rPr>
          <w:rFonts w:ascii="Arial" w:hAnsi="Arial" w:cs="Arial"/>
        </w:rPr>
      </w:pP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type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exemption,</w:t>
      </w:r>
      <w:r w:rsidR="007B7640" w:rsidRPr="00CD59CC">
        <w:rPr>
          <w:rFonts w:ascii="Arial" w:hAnsi="Arial" w:cs="Arial"/>
        </w:rPr>
        <w:t xml:space="preserve"> </w:t>
      </w:r>
      <w:r w:rsidRPr="00CD59CC">
        <w:rPr>
          <w:rFonts w:ascii="Arial" w:hAnsi="Arial" w:cs="Arial"/>
        </w:rPr>
        <w:t>we</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say</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compatible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legitimate</w:t>
      </w:r>
      <w:r w:rsidR="007B7640" w:rsidRPr="00CD59CC">
        <w:rPr>
          <w:rFonts w:ascii="Arial" w:hAnsi="Arial" w:cs="Arial"/>
        </w:rPr>
        <w:t xml:space="preserve"> </w:t>
      </w:r>
      <w:r w:rsidRPr="00CD59CC">
        <w:rPr>
          <w:rFonts w:ascii="Arial" w:hAnsi="Arial" w:cs="Arial"/>
        </w:rPr>
        <w:t>aim</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enforcement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another</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well</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criteria</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“appropriateness”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“necessity”</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place.</w:t>
      </w:r>
    </w:p>
    <w:p w14:paraId="355CA9E5" w14:textId="77777777" w:rsidR="00532AB1" w:rsidRPr="00CD59CC" w:rsidRDefault="00532AB1" w:rsidP="00CD59CC">
      <w:pPr>
        <w:rPr>
          <w:rFonts w:ascii="Arial" w:hAnsi="Arial" w:cs="Arial"/>
        </w:rPr>
      </w:pPr>
    </w:p>
    <w:p w14:paraId="17F94878" w14:textId="77777777" w:rsidR="00A8566E" w:rsidRPr="00CD59CC" w:rsidRDefault="00A8566E" w:rsidP="00CD59CC">
      <w:pPr>
        <w:rPr>
          <w:rFonts w:ascii="Arial" w:hAnsi="Arial" w:cs="Arial"/>
        </w:rPr>
      </w:pP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types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exemption,</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said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reasonability”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differential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obviously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less</w:t>
      </w:r>
      <w:r w:rsidR="007B7640" w:rsidRPr="00CD59CC">
        <w:rPr>
          <w:rFonts w:ascii="Arial" w:hAnsi="Arial" w:cs="Arial"/>
        </w:rPr>
        <w:t xml:space="preserve"> </w:t>
      </w:r>
      <w:r w:rsidRPr="00CD59CC">
        <w:rPr>
          <w:rFonts w:ascii="Arial" w:hAnsi="Arial" w:cs="Arial"/>
        </w:rPr>
        <w:t>strict</w:t>
      </w:r>
      <w:r w:rsidR="007B7640" w:rsidRPr="00CD59CC">
        <w:rPr>
          <w:rFonts w:ascii="Arial" w:hAnsi="Arial" w:cs="Arial"/>
        </w:rPr>
        <w:t xml:space="preserve"> </w:t>
      </w:r>
      <w:r w:rsidRPr="00CD59CC">
        <w:rPr>
          <w:rFonts w:ascii="Arial" w:hAnsi="Arial" w:cs="Arial"/>
        </w:rPr>
        <w:t>test</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used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p>
    <w:p w14:paraId="515DDA84" w14:textId="77777777" w:rsidR="00A8566E" w:rsidRPr="00CD59CC" w:rsidRDefault="00A8566E" w:rsidP="00CD59CC">
      <w:pPr>
        <w:rPr>
          <w:rFonts w:ascii="Arial" w:hAnsi="Arial" w:cs="Arial"/>
        </w:rPr>
      </w:pPr>
    </w:p>
    <w:p w14:paraId="1894D944" w14:textId="77777777" w:rsidR="00A8566E" w:rsidRPr="00CD59CC" w:rsidRDefault="00A8566E" w:rsidP="00CD59CC">
      <w:pPr>
        <w:rPr>
          <w:rFonts w:ascii="Arial" w:hAnsi="Arial" w:cs="Arial"/>
        </w:rPr>
      </w:pPr>
      <w:r w:rsidRPr="00CD59CC">
        <w:rPr>
          <w:rFonts w:ascii="Arial" w:hAnsi="Arial" w:cs="Arial"/>
        </w:rPr>
        <w:t>This</w:t>
      </w:r>
      <w:r w:rsidR="007B7640" w:rsidRPr="00CD59CC">
        <w:rPr>
          <w:rFonts w:ascii="Arial" w:hAnsi="Arial" w:cs="Arial"/>
        </w:rPr>
        <w:t xml:space="preserve"> </w:t>
      </w:r>
      <w:r w:rsidRPr="00CD59CC">
        <w:rPr>
          <w:rFonts w:ascii="Arial" w:hAnsi="Arial" w:cs="Arial"/>
        </w:rPr>
        <w:t>terminology</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interpreted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corresponding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“legitimate</w:t>
      </w:r>
      <w:r w:rsidR="007B7640" w:rsidRPr="00CD59CC">
        <w:rPr>
          <w:rFonts w:ascii="Arial" w:hAnsi="Arial" w:cs="Arial"/>
        </w:rPr>
        <w:t xml:space="preserve"> </w:t>
      </w:r>
      <w:r w:rsidRPr="00CD59CC">
        <w:rPr>
          <w:rFonts w:ascii="Arial" w:hAnsi="Arial" w:cs="Arial"/>
        </w:rPr>
        <w:t>aim”</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aim</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found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consideration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reasonable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definitely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legitimate),</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criteria</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“appropriateness”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“necessity”</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missing</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legislation.</w:t>
      </w:r>
    </w:p>
    <w:p w14:paraId="215FBAFB" w14:textId="77777777" w:rsidR="00A8566E" w:rsidRPr="00CD59CC" w:rsidRDefault="00A8566E" w:rsidP="00CD59CC">
      <w:pPr>
        <w:ind w:left="567" w:hanging="567"/>
        <w:rPr>
          <w:rFonts w:ascii="Arial" w:hAnsi="Arial" w:cs="Arial"/>
        </w:rPr>
      </w:pPr>
    </w:p>
    <w:p w14:paraId="7094E847" w14:textId="77777777" w:rsidR="002B5BCD" w:rsidRPr="00CD59CC" w:rsidRDefault="002B5BCD" w:rsidP="00CD59CC">
      <w:pPr>
        <w:numPr>
          <w:ilvl w:val="0"/>
          <w:numId w:val="6"/>
        </w:numPr>
        <w:ind w:left="567" w:hanging="567"/>
        <w:rPr>
          <w:rFonts w:ascii="Arial" w:hAnsi="Arial" w:cs="Arial"/>
          <w:i/>
        </w:rPr>
      </w:pPr>
      <w:r w:rsidRPr="00CD59CC">
        <w:rPr>
          <w:rFonts w:ascii="Arial" w:hAnsi="Arial" w:cs="Arial"/>
          <w:i/>
        </w:rPr>
        <w:t>In</w:t>
      </w:r>
      <w:r w:rsidR="007B7640" w:rsidRPr="00CD59CC">
        <w:rPr>
          <w:rFonts w:ascii="Arial" w:hAnsi="Arial" w:cs="Arial"/>
          <w:i/>
        </w:rPr>
        <w:t xml:space="preserve"> </w:t>
      </w:r>
      <w:r w:rsidRPr="00CD59CC">
        <w:rPr>
          <w:rFonts w:ascii="Arial" w:hAnsi="Arial" w:cs="Arial"/>
          <w:i/>
        </w:rPr>
        <w:t>relation</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age</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does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specify</w:t>
      </w:r>
      <w:r w:rsidR="007B7640" w:rsidRPr="00CD59CC">
        <w:rPr>
          <w:rFonts w:ascii="Arial" w:hAnsi="Arial" w:cs="Arial"/>
          <w:i/>
        </w:rPr>
        <w:t xml:space="preserve"> </w:t>
      </w:r>
      <w:r w:rsidRPr="00CD59CC">
        <w:rPr>
          <w:rFonts w:ascii="Arial" w:hAnsi="Arial" w:cs="Arial"/>
          <w:i/>
        </w:rPr>
        <w:t>how</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comparison</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made?</w:t>
      </w:r>
    </w:p>
    <w:p w14:paraId="1B9FD55F" w14:textId="77777777" w:rsidR="002B5BCD" w:rsidRPr="00CD59CC" w:rsidRDefault="002B5BCD" w:rsidP="00CD59CC">
      <w:pPr>
        <w:ind w:left="567" w:hanging="567"/>
        <w:rPr>
          <w:rFonts w:ascii="Arial" w:hAnsi="Arial" w:cs="Arial"/>
        </w:rPr>
      </w:pPr>
    </w:p>
    <w:p w14:paraId="5DC94E70" w14:textId="77777777" w:rsidR="00A8566E" w:rsidRPr="00CD59CC" w:rsidRDefault="00A8566E" w:rsidP="00CD59CC">
      <w:pPr>
        <w:rPr>
          <w:rFonts w:ascii="Arial" w:hAnsi="Arial" w:cs="Arial"/>
        </w:rPr>
      </w:pPr>
      <w:r w:rsidRPr="00CD59CC">
        <w:rPr>
          <w:rFonts w:ascii="Arial" w:hAnsi="Arial" w:cs="Arial"/>
        </w:rPr>
        <w:t>No</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guidance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comparison</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found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legislation.</w:t>
      </w:r>
    </w:p>
    <w:p w14:paraId="0ED30FFB" w14:textId="77777777" w:rsidR="00A8566E" w:rsidRPr="00CD59CC" w:rsidRDefault="00A8566E" w:rsidP="00CD59CC">
      <w:pPr>
        <w:ind w:left="567" w:hanging="567"/>
        <w:rPr>
          <w:rFonts w:ascii="Arial" w:hAnsi="Arial" w:cs="Arial"/>
        </w:rPr>
      </w:pPr>
    </w:p>
    <w:p w14:paraId="5218DC3C" w14:textId="77777777" w:rsidR="002B5BCD" w:rsidRPr="00CD59CC" w:rsidRDefault="002B5BCD" w:rsidP="00CD59CC">
      <w:pPr>
        <w:numPr>
          <w:ilvl w:val="0"/>
          <w:numId w:val="6"/>
        </w:numPr>
        <w:ind w:left="567" w:hanging="567"/>
        <w:rPr>
          <w:rFonts w:ascii="Arial" w:hAnsi="Arial" w:cs="Arial"/>
          <w:i/>
        </w:rPr>
      </w:pPr>
      <w:r w:rsidRPr="00CD59CC">
        <w:rPr>
          <w:rFonts w:ascii="Arial" w:hAnsi="Arial" w:cs="Arial"/>
          <w:i/>
        </w:rPr>
        <w:t>Have</w:t>
      </w:r>
      <w:r w:rsidR="007B7640" w:rsidRPr="00CD59CC">
        <w:rPr>
          <w:rFonts w:ascii="Arial" w:hAnsi="Arial" w:cs="Arial"/>
          <w:i/>
        </w:rPr>
        <w:t xml:space="preserve"> </w:t>
      </w:r>
      <w:r w:rsidRPr="00CD59CC">
        <w:rPr>
          <w:rFonts w:ascii="Arial" w:hAnsi="Arial" w:cs="Arial"/>
          <w:i/>
        </w:rPr>
        <w:t>differences</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treatment</w:t>
      </w:r>
      <w:r w:rsidR="007B7640" w:rsidRPr="00CD59CC">
        <w:rPr>
          <w:rFonts w:ascii="Arial" w:hAnsi="Arial" w:cs="Arial"/>
          <w:i/>
        </w:rPr>
        <w:t xml:space="preserve"> </w:t>
      </w:r>
      <w:r w:rsidRPr="00CD59CC">
        <w:rPr>
          <w:rFonts w:ascii="Arial" w:hAnsi="Arial" w:cs="Arial"/>
          <w:i/>
        </w:rPr>
        <w:t>based</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language</w:t>
      </w:r>
      <w:r w:rsidR="007B7640" w:rsidRPr="00CD59CC">
        <w:rPr>
          <w:rFonts w:ascii="Arial" w:hAnsi="Arial" w:cs="Arial"/>
          <w:i/>
        </w:rPr>
        <w:t xml:space="preserve"> </w:t>
      </w:r>
      <w:r w:rsidRPr="00CD59CC">
        <w:rPr>
          <w:rFonts w:ascii="Arial" w:hAnsi="Arial" w:cs="Arial"/>
          <w:i/>
        </w:rPr>
        <w:t>been</w:t>
      </w:r>
      <w:r w:rsidR="007B7640" w:rsidRPr="00CD59CC">
        <w:rPr>
          <w:rFonts w:ascii="Arial" w:hAnsi="Arial" w:cs="Arial"/>
          <w:i/>
        </w:rPr>
        <w:t xml:space="preserve"> </w:t>
      </w:r>
      <w:r w:rsidRPr="00CD59CC">
        <w:rPr>
          <w:rFonts w:ascii="Arial" w:hAnsi="Arial" w:cs="Arial"/>
          <w:i/>
        </w:rPr>
        <w:t>perceived</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potential</w:t>
      </w:r>
      <w:r w:rsidR="007B7640" w:rsidRPr="00CD59CC">
        <w:rPr>
          <w:rFonts w:ascii="Arial" w:hAnsi="Arial" w:cs="Arial"/>
          <w:i/>
        </w:rPr>
        <w:t xml:space="preserve"> </w:t>
      </w:r>
      <w:r w:rsidRPr="00CD59CC">
        <w:rPr>
          <w:rFonts w:ascii="Arial" w:hAnsi="Arial" w:cs="Arial"/>
          <w:i/>
        </w:rPr>
        <w:t>indirect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racial</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ethnic</w:t>
      </w:r>
      <w:r w:rsidR="007B7640" w:rsidRPr="00CD59CC">
        <w:rPr>
          <w:rFonts w:ascii="Arial" w:hAnsi="Arial" w:cs="Arial"/>
          <w:i/>
        </w:rPr>
        <w:t xml:space="preserve"> </w:t>
      </w:r>
      <w:r w:rsidRPr="00CD59CC">
        <w:rPr>
          <w:rFonts w:ascii="Arial" w:hAnsi="Arial" w:cs="Arial"/>
          <w:i/>
        </w:rPr>
        <w:t>origin?</w:t>
      </w:r>
      <w:r w:rsidR="007B7640" w:rsidRPr="00CD59CC">
        <w:rPr>
          <w:rFonts w:ascii="Arial" w:hAnsi="Arial" w:cs="Arial"/>
          <w:i/>
        </w:rPr>
        <w:t xml:space="preserve">  </w:t>
      </w:r>
    </w:p>
    <w:p w14:paraId="1EC5D1A6" w14:textId="77777777" w:rsidR="00B97ED3" w:rsidRDefault="00B97ED3" w:rsidP="00CD59CC">
      <w:pPr>
        <w:rPr>
          <w:rFonts w:ascii="Arial" w:hAnsi="Arial" w:cs="Arial"/>
        </w:rPr>
      </w:pPr>
    </w:p>
    <w:p w14:paraId="26089DB4" w14:textId="77777777" w:rsidR="00A8566E" w:rsidRPr="00CD59CC" w:rsidRDefault="00A8566E" w:rsidP="00CD59CC">
      <w:pPr>
        <w:rPr>
          <w:rFonts w:ascii="Arial" w:hAnsi="Arial" w:cs="Arial"/>
        </w:rPr>
      </w:pPr>
      <w:r w:rsidRPr="00CD59CC">
        <w:rPr>
          <w:rFonts w:ascii="Arial" w:hAnsi="Arial" w:cs="Arial"/>
        </w:rPr>
        <w:t>There</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issue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language</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raised.</w:t>
      </w:r>
    </w:p>
    <w:p w14:paraId="3396D869" w14:textId="77777777" w:rsidR="002B5BCD" w:rsidRPr="00CD59CC" w:rsidRDefault="002B5BCD" w:rsidP="00CD59CC">
      <w:pPr>
        <w:rPr>
          <w:rFonts w:ascii="Arial" w:hAnsi="Arial" w:cs="Arial"/>
          <w:i/>
        </w:rPr>
      </w:pPr>
    </w:p>
    <w:p w14:paraId="3CF8FBB4" w14:textId="77777777" w:rsidR="002B5BCD" w:rsidRPr="00CD59CC" w:rsidRDefault="002B5BCD" w:rsidP="00CD59CC">
      <w:pPr>
        <w:pStyle w:val="Heading3"/>
        <w:rPr>
          <w:rFonts w:cs="Arial"/>
        </w:rPr>
      </w:pPr>
      <w:bookmarkStart w:id="73" w:name="_Toc220221140"/>
      <w:bookmarkStart w:id="74" w:name="_Toc392758711"/>
      <w:bookmarkStart w:id="75" w:name="_Toc329163602"/>
      <w:bookmarkStart w:id="76" w:name="_Toc366846320"/>
      <w:r w:rsidRPr="00CD59CC">
        <w:rPr>
          <w:rFonts w:cs="Arial"/>
        </w:rPr>
        <w:t>Statistical</w:t>
      </w:r>
      <w:r w:rsidR="007B7640" w:rsidRPr="00CD59CC">
        <w:rPr>
          <w:rFonts w:cs="Arial"/>
        </w:rPr>
        <w:t xml:space="preserve"> </w:t>
      </w:r>
      <w:r w:rsidRPr="00CD59CC">
        <w:rPr>
          <w:rFonts w:cs="Arial"/>
        </w:rPr>
        <w:t>Evidence</w:t>
      </w:r>
      <w:bookmarkEnd w:id="73"/>
      <w:bookmarkEnd w:id="74"/>
      <w:bookmarkEnd w:id="75"/>
      <w:bookmarkEnd w:id="76"/>
    </w:p>
    <w:p w14:paraId="36DCEDC6" w14:textId="77777777" w:rsidR="002B5BCD" w:rsidRPr="00CD59CC" w:rsidRDefault="002B5BCD" w:rsidP="00CD59CC">
      <w:pPr>
        <w:rPr>
          <w:rFonts w:ascii="Arial" w:hAnsi="Arial" w:cs="Arial"/>
          <w:b/>
          <w:bCs/>
          <w:iCs/>
        </w:rPr>
      </w:pPr>
    </w:p>
    <w:p w14:paraId="549AA669" w14:textId="77777777" w:rsidR="002B5BCD" w:rsidRPr="00CD59CC" w:rsidRDefault="002B5BCD" w:rsidP="00CD59CC">
      <w:pPr>
        <w:numPr>
          <w:ilvl w:val="0"/>
          <w:numId w:val="7"/>
        </w:numPr>
        <w:ind w:left="567" w:hanging="567"/>
        <w:rPr>
          <w:rFonts w:ascii="Arial" w:hAnsi="Arial" w:cs="Arial"/>
          <w:i/>
        </w:rPr>
      </w:pP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permit</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use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statistical</w:t>
      </w:r>
      <w:r w:rsidR="007B7640" w:rsidRPr="00CD59CC">
        <w:rPr>
          <w:rFonts w:ascii="Arial" w:hAnsi="Arial" w:cs="Arial"/>
          <w:i/>
        </w:rPr>
        <w:t xml:space="preserve"> </w:t>
      </w:r>
      <w:r w:rsidRPr="00CD59CC">
        <w:rPr>
          <w:rFonts w:ascii="Arial" w:hAnsi="Arial" w:cs="Arial"/>
          <w:i/>
        </w:rPr>
        <w:t>evidence</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establish</w:t>
      </w:r>
      <w:r w:rsidR="007B7640" w:rsidRPr="00CD59CC">
        <w:rPr>
          <w:rFonts w:ascii="Arial" w:hAnsi="Arial" w:cs="Arial"/>
          <w:i/>
        </w:rPr>
        <w:t xml:space="preserve"> </w:t>
      </w:r>
      <w:r w:rsidRPr="00CD59CC">
        <w:rPr>
          <w:rFonts w:ascii="Arial" w:hAnsi="Arial" w:cs="Arial"/>
          <w:i/>
        </w:rPr>
        <w:t>indirect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If</w:t>
      </w:r>
      <w:r w:rsidR="007B7640" w:rsidRPr="00CD59CC">
        <w:rPr>
          <w:rFonts w:ascii="Arial" w:hAnsi="Arial" w:cs="Arial"/>
          <w:i/>
        </w:rPr>
        <w:t xml:space="preserve"> </w:t>
      </w:r>
      <w:r w:rsidRPr="00CD59CC">
        <w:rPr>
          <w:rFonts w:ascii="Arial" w:hAnsi="Arial" w:cs="Arial"/>
          <w:i/>
        </w:rPr>
        <w:t>so,</w:t>
      </w:r>
      <w:r w:rsidR="007B7640" w:rsidRPr="00CD59CC">
        <w:rPr>
          <w:rFonts w:ascii="Arial" w:hAnsi="Arial" w:cs="Arial"/>
          <w:i/>
        </w:rPr>
        <w:t xml:space="preserve"> </w:t>
      </w:r>
      <w:r w:rsidRPr="00CD59CC">
        <w:rPr>
          <w:rFonts w:ascii="Arial" w:hAnsi="Arial" w:cs="Arial"/>
          <w:i/>
        </w:rPr>
        <w:t>what</w:t>
      </w:r>
      <w:r w:rsidR="007B7640" w:rsidRPr="00CD59CC">
        <w:rPr>
          <w:rFonts w:ascii="Arial" w:hAnsi="Arial" w:cs="Arial"/>
          <w:i/>
        </w:rPr>
        <w:t xml:space="preserve"> </w:t>
      </w:r>
      <w:r w:rsidRPr="00CD59CC">
        <w:rPr>
          <w:rFonts w:ascii="Arial" w:hAnsi="Arial" w:cs="Arial"/>
          <w:i/>
        </w:rPr>
        <w:t>are</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conditions</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it</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admissible</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court?</w:t>
      </w:r>
    </w:p>
    <w:p w14:paraId="4BEEF00C" w14:textId="77777777" w:rsidR="002B5BCD" w:rsidRPr="00CD59CC" w:rsidRDefault="002B5BCD" w:rsidP="00BB4E9F">
      <w:pPr>
        <w:tabs>
          <w:tab w:val="num" w:pos="567"/>
        </w:tabs>
        <w:ind w:left="567" w:hanging="567"/>
        <w:rPr>
          <w:rFonts w:ascii="Arial" w:hAnsi="Arial" w:cs="Arial"/>
        </w:rPr>
      </w:pPr>
    </w:p>
    <w:p w14:paraId="287BD766" w14:textId="77777777" w:rsidR="001B2C4C" w:rsidRPr="00CD59CC" w:rsidRDefault="001B2C4C"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statistical</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excluded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Pursuant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quoted</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w:t>
      </w:r>
      <w:r w:rsidR="007B7640" w:rsidRPr="00CD59CC">
        <w:rPr>
          <w:rFonts w:ascii="Arial" w:hAnsi="Arial" w:cs="Arial"/>
        </w:rPr>
        <w:t xml:space="preserve"> </w:t>
      </w:r>
      <w:r w:rsidRPr="00CD59CC">
        <w:rPr>
          <w:rFonts w:ascii="Arial" w:hAnsi="Arial" w:cs="Arial"/>
        </w:rPr>
        <w:t>(5)</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Procedure,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freely</w:t>
      </w:r>
      <w:r w:rsidR="007B7640" w:rsidRPr="00CD59CC">
        <w:rPr>
          <w:rFonts w:ascii="Arial" w:hAnsi="Arial" w:cs="Arial"/>
        </w:rPr>
        <w:t xml:space="preserve"> </w:t>
      </w:r>
      <w:r w:rsidRPr="00CD59CC">
        <w:rPr>
          <w:rFonts w:ascii="Arial" w:hAnsi="Arial" w:cs="Arial"/>
        </w:rPr>
        <w:t>rely</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type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useful</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establishing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50</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GPSA,</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proceedings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authorities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relied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useful</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enhancement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establishing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means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courts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administrative</w:t>
      </w:r>
      <w:r w:rsidR="007B7640" w:rsidRPr="00CD59CC">
        <w:rPr>
          <w:rFonts w:ascii="Arial" w:hAnsi="Arial" w:cs="Arial"/>
        </w:rPr>
        <w:t xml:space="preserve"> </w:t>
      </w:r>
      <w:r w:rsidRPr="00CD59CC">
        <w:rPr>
          <w:rFonts w:ascii="Arial" w:hAnsi="Arial" w:cs="Arial"/>
        </w:rPr>
        <w:t>authorities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free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accept</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types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p>
    <w:p w14:paraId="32033222" w14:textId="77777777" w:rsidR="001B2C4C" w:rsidRPr="00CD59CC" w:rsidRDefault="001B2C4C" w:rsidP="00CD59CC">
      <w:pPr>
        <w:rPr>
          <w:rFonts w:ascii="Arial" w:hAnsi="Arial" w:cs="Arial"/>
        </w:rPr>
      </w:pPr>
    </w:p>
    <w:p w14:paraId="3FA7002B" w14:textId="77777777" w:rsidR="001B2C4C" w:rsidRPr="00CD59CC" w:rsidRDefault="001B2C4C"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criterion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should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useful</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establishing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enabling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come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decision.</w:t>
      </w:r>
    </w:p>
    <w:p w14:paraId="04BE45D8" w14:textId="77777777" w:rsidR="001B2C4C" w:rsidRPr="00CD59CC" w:rsidRDefault="001B2C4C" w:rsidP="00CD59CC">
      <w:pPr>
        <w:tabs>
          <w:tab w:val="num" w:pos="567"/>
        </w:tabs>
        <w:ind w:left="567" w:hanging="567"/>
        <w:rPr>
          <w:rFonts w:ascii="Arial" w:hAnsi="Arial" w:cs="Arial"/>
        </w:rPr>
      </w:pPr>
    </w:p>
    <w:p w14:paraId="128A293E" w14:textId="77777777" w:rsidR="002B5BCD" w:rsidRPr="00CD59CC" w:rsidRDefault="002B5BCD" w:rsidP="00CD59CC">
      <w:pPr>
        <w:numPr>
          <w:ilvl w:val="0"/>
          <w:numId w:val="7"/>
        </w:numPr>
        <w:ind w:left="567" w:hanging="567"/>
        <w:rPr>
          <w:rFonts w:ascii="Arial" w:hAnsi="Arial" w:cs="Arial"/>
          <w:i/>
        </w:rPr>
      </w:pPr>
      <w:r w:rsidRPr="00CD59CC">
        <w:rPr>
          <w:rFonts w:ascii="Arial" w:hAnsi="Arial" w:cs="Arial"/>
          <w:i/>
        </w:rPr>
        <w:lastRenderedPageBreak/>
        <w:t>Is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use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such</w:t>
      </w:r>
      <w:r w:rsidR="007B7640" w:rsidRPr="00CD59CC">
        <w:rPr>
          <w:rFonts w:ascii="Arial" w:hAnsi="Arial" w:cs="Arial"/>
          <w:i/>
        </w:rPr>
        <w:t xml:space="preserve"> </w:t>
      </w:r>
      <w:r w:rsidRPr="00CD59CC">
        <w:rPr>
          <w:rFonts w:ascii="Arial" w:hAnsi="Arial" w:cs="Arial"/>
          <w:i/>
        </w:rPr>
        <w:t>evidence</w:t>
      </w:r>
      <w:r w:rsidR="007B7640" w:rsidRPr="00CD59CC">
        <w:rPr>
          <w:rFonts w:ascii="Arial" w:hAnsi="Arial" w:cs="Arial"/>
          <w:i/>
        </w:rPr>
        <w:t xml:space="preserve"> </w:t>
      </w:r>
      <w:r w:rsidRPr="00CD59CC">
        <w:rPr>
          <w:rFonts w:ascii="Arial" w:hAnsi="Arial" w:cs="Arial"/>
          <w:i/>
        </w:rPr>
        <w:t>widespread?</w:t>
      </w:r>
      <w:r w:rsidR="007B7640" w:rsidRPr="00CD59CC">
        <w:rPr>
          <w:rFonts w:ascii="Arial" w:hAnsi="Arial" w:cs="Arial"/>
          <w:i/>
        </w:rPr>
        <w:t xml:space="preserve"> </w:t>
      </w:r>
      <w:r w:rsidRPr="00CD59CC">
        <w:rPr>
          <w:rFonts w:ascii="Arial" w:hAnsi="Arial" w:cs="Arial"/>
          <w:i/>
          <w:iCs/>
        </w:rPr>
        <w:t>Is</w:t>
      </w:r>
      <w:r w:rsidR="007B7640" w:rsidRPr="00CD59CC">
        <w:rPr>
          <w:rFonts w:ascii="Arial" w:hAnsi="Arial" w:cs="Arial"/>
          <w:i/>
          <w:iCs/>
        </w:rPr>
        <w:t xml:space="preserve"> </w:t>
      </w:r>
      <w:r w:rsidRPr="00CD59CC">
        <w:rPr>
          <w:rFonts w:ascii="Arial" w:hAnsi="Arial" w:cs="Arial"/>
          <w:i/>
          <w:iCs/>
        </w:rPr>
        <w:t>there</w:t>
      </w:r>
      <w:r w:rsidR="007B7640" w:rsidRPr="00CD59CC">
        <w:rPr>
          <w:rFonts w:ascii="Arial" w:hAnsi="Arial" w:cs="Arial"/>
          <w:i/>
          <w:iCs/>
        </w:rPr>
        <w:t xml:space="preserve"> </w:t>
      </w:r>
      <w:r w:rsidRPr="00CD59CC">
        <w:rPr>
          <w:rFonts w:ascii="Arial" w:hAnsi="Arial" w:cs="Arial"/>
          <w:i/>
          <w:iCs/>
        </w:rPr>
        <w:t>any</w:t>
      </w:r>
      <w:r w:rsidR="007B7640" w:rsidRPr="00CD59CC">
        <w:rPr>
          <w:rFonts w:ascii="Arial" w:hAnsi="Arial" w:cs="Arial"/>
          <w:i/>
          <w:iCs/>
        </w:rPr>
        <w:t xml:space="preserve"> </w:t>
      </w:r>
      <w:r w:rsidRPr="00CD59CC">
        <w:rPr>
          <w:rFonts w:ascii="Arial" w:hAnsi="Arial" w:cs="Arial"/>
          <w:i/>
          <w:iCs/>
        </w:rPr>
        <w:t>reluctance</w:t>
      </w:r>
      <w:r w:rsidR="007B7640" w:rsidRPr="00CD59CC">
        <w:rPr>
          <w:rFonts w:ascii="Arial" w:hAnsi="Arial" w:cs="Arial"/>
          <w:i/>
          <w:iCs/>
        </w:rPr>
        <w:t xml:space="preserve"> </w:t>
      </w:r>
      <w:r w:rsidRPr="00CD59CC">
        <w:rPr>
          <w:rFonts w:ascii="Arial" w:hAnsi="Arial" w:cs="Arial"/>
          <w:i/>
          <w:iCs/>
        </w:rPr>
        <w:t>to</w:t>
      </w:r>
      <w:r w:rsidR="007B7640" w:rsidRPr="00CD59CC">
        <w:rPr>
          <w:rFonts w:ascii="Arial" w:hAnsi="Arial" w:cs="Arial"/>
          <w:i/>
          <w:iCs/>
        </w:rPr>
        <w:t xml:space="preserve"> </w:t>
      </w:r>
      <w:r w:rsidRPr="00CD59CC">
        <w:rPr>
          <w:rFonts w:ascii="Arial" w:hAnsi="Arial" w:cs="Arial"/>
          <w:i/>
          <w:iCs/>
        </w:rPr>
        <w:t>use</w:t>
      </w:r>
      <w:r w:rsidR="007B7640" w:rsidRPr="00CD59CC">
        <w:rPr>
          <w:rFonts w:ascii="Arial" w:hAnsi="Arial" w:cs="Arial"/>
          <w:i/>
          <w:iCs/>
        </w:rPr>
        <w:t xml:space="preserve"> </w:t>
      </w:r>
      <w:r w:rsidRPr="00CD59CC">
        <w:rPr>
          <w:rFonts w:ascii="Arial" w:hAnsi="Arial" w:cs="Arial"/>
          <w:i/>
          <w:iCs/>
        </w:rPr>
        <w:t>statistical</w:t>
      </w:r>
      <w:r w:rsidR="007B7640" w:rsidRPr="00CD59CC">
        <w:rPr>
          <w:rFonts w:ascii="Arial" w:hAnsi="Arial" w:cs="Arial"/>
          <w:i/>
          <w:iCs/>
        </w:rPr>
        <w:t xml:space="preserve"> </w:t>
      </w:r>
      <w:r w:rsidRPr="00CD59CC">
        <w:rPr>
          <w:rFonts w:ascii="Arial" w:hAnsi="Arial" w:cs="Arial"/>
          <w:i/>
          <w:iCs/>
        </w:rPr>
        <w:t>data</w:t>
      </w:r>
      <w:r w:rsidR="007B7640" w:rsidRPr="00CD59CC">
        <w:rPr>
          <w:rFonts w:ascii="Arial" w:hAnsi="Arial" w:cs="Arial"/>
          <w:i/>
          <w:iCs/>
        </w:rPr>
        <w:t xml:space="preserve"> </w:t>
      </w:r>
      <w:r w:rsidRPr="00CD59CC">
        <w:rPr>
          <w:rFonts w:ascii="Arial" w:hAnsi="Arial" w:cs="Arial"/>
          <w:i/>
          <w:iCs/>
        </w:rPr>
        <w:t>as</w:t>
      </w:r>
      <w:r w:rsidR="007B7640" w:rsidRPr="00CD59CC">
        <w:rPr>
          <w:rFonts w:ascii="Arial" w:hAnsi="Arial" w:cs="Arial"/>
          <w:i/>
          <w:iCs/>
        </w:rPr>
        <w:t xml:space="preserve"> </w:t>
      </w:r>
      <w:r w:rsidRPr="00CD59CC">
        <w:rPr>
          <w:rFonts w:ascii="Arial" w:hAnsi="Arial" w:cs="Arial"/>
          <w:i/>
          <w:iCs/>
        </w:rPr>
        <w:t>evidence</w:t>
      </w:r>
      <w:r w:rsidR="007B7640" w:rsidRPr="00CD59CC">
        <w:rPr>
          <w:rFonts w:ascii="Arial" w:hAnsi="Arial" w:cs="Arial"/>
          <w:i/>
          <w:iCs/>
        </w:rPr>
        <w:t xml:space="preserve"> </w:t>
      </w:r>
      <w:r w:rsidRPr="00CD59CC">
        <w:rPr>
          <w:rFonts w:ascii="Arial" w:hAnsi="Arial" w:cs="Arial"/>
          <w:i/>
          <w:iCs/>
        </w:rPr>
        <w:t>in</w:t>
      </w:r>
      <w:r w:rsidR="007B7640" w:rsidRPr="00CD59CC">
        <w:rPr>
          <w:rFonts w:ascii="Arial" w:hAnsi="Arial" w:cs="Arial"/>
          <w:i/>
          <w:iCs/>
        </w:rPr>
        <w:t xml:space="preserve"> </w:t>
      </w:r>
      <w:r w:rsidRPr="00CD59CC">
        <w:rPr>
          <w:rFonts w:ascii="Arial" w:hAnsi="Arial" w:cs="Arial"/>
          <w:i/>
          <w:iCs/>
        </w:rPr>
        <w:t>court</w:t>
      </w:r>
      <w:r w:rsidR="007B7640" w:rsidRPr="00CD59CC">
        <w:rPr>
          <w:rFonts w:ascii="Arial" w:hAnsi="Arial" w:cs="Arial"/>
          <w:i/>
          <w:iCs/>
        </w:rPr>
        <w:t xml:space="preserve"> </w:t>
      </w:r>
      <w:r w:rsidRPr="00CD59CC">
        <w:rPr>
          <w:rFonts w:ascii="Arial" w:hAnsi="Arial" w:cs="Arial"/>
          <w:i/>
          <w:iCs/>
        </w:rPr>
        <w:t>(e.g.</w:t>
      </w:r>
      <w:r w:rsidR="007B7640" w:rsidRPr="00CD59CC">
        <w:rPr>
          <w:rFonts w:ascii="Arial" w:hAnsi="Arial" w:cs="Arial"/>
          <w:i/>
          <w:iCs/>
        </w:rPr>
        <w:t xml:space="preserve"> </w:t>
      </w:r>
      <w:r w:rsidRPr="00CD59CC">
        <w:rPr>
          <w:rFonts w:ascii="Arial" w:hAnsi="Arial" w:cs="Arial"/>
          <w:i/>
          <w:iCs/>
        </w:rPr>
        <w:t>ethical</w:t>
      </w:r>
      <w:r w:rsidR="007B7640" w:rsidRPr="00CD59CC">
        <w:rPr>
          <w:rFonts w:ascii="Arial" w:hAnsi="Arial" w:cs="Arial"/>
          <w:i/>
          <w:iCs/>
        </w:rPr>
        <w:t xml:space="preserve"> </w:t>
      </w:r>
      <w:r w:rsidRPr="00CD59CC">
        <w:rPr>
          <w:rFonts w:ascii="Arial" w:hAnsi="Arial" w:cs="Arial"/>
          <w:i/>
          <w:iCs/>
        </w:rPr>
        <w:t>or</w:t>
      </w:r>
      <w:r w:rsidR="007B7640" w:rsidRPr="00CD59CC">
        <w:rPr>
          <w:rFonts w:ascii="Arial" w:hAnsi="Arial" w:cs="Arial"/>
          <w:i/>
          <w:iCs/>
        </w:rPr>
        <w:t xml:space="preserve"> </w:t>
      </w:r>
      <w:r w:rsidRPr="00CD59CC">
        <w:rPr>
          <w:rFonts w:ascii="Arial" w:hAnsi="Arial" w:cs="Arial"/>
          <w:i/>
          <w:iCs/>
        </w:rPr>
        <w:t>methodology</w:t>
      </w:r>
      <w:r w:rsidR="007B7640" w:rsidRPr="00CD59CC">
        <w:rPr>
          <w:rFonts w:ascii="Arial" w:hAnsi="Arial" w:cs="Arial"/>
          <w:i/>
          <w:iCs/>
        </w:rPr>
        <w:t xml:space="preserve"> </w:t>
      </w:r>
      <w:r w:rsidRPr="00CD59CC">
        <w:rPr>
          <w:rFonts w:ascii="Arial" w:hAnsi="Arial" w:cs="Arial"/>
          <w:i/>
          <w:iCs/>
        </w:rPr>
        <w:t>issues)?</w:t>
      </w:r>
      <w:r w:rsidR="007B7640" w:rsidRPr="00CD59CC">
        <w:rPr>
          <w:rFonts w:ascii="Arial" w:hAnsi="Arial" w:cs="Arial"/>
          <w:i/>
          <w:iCs/>
        </w:rPr>
        <w:t xml:space="preserve"> </w:t>
      </w:r>
      <w:r w:rsidRPr="00CD59CC">
        <w:rPr>
          <w:rFonts w:ascii="Arial" w:hAnsi="Arial" w:cs="Arial"/>
          <w:i/>
          <w:iCs/>
        </w:rPr>
        <w:t>In</w:t>
      </w:r>
      <w:r w:rsidR="007B7640" w:rsidRPr="00CD59CC">
        <w:rPr>
          <w:rFonts w:ascii="Arial" w:hAnsi="Arial" w:cs="Arial"/>
          <w:i/>
          <w:iCs/>
        </w:rPr>
        <w:t xml:space="preserve"> </w:t>
      </w:r>
      <w:r w:rsidRPr="00CD59CC">
        <w:rPr>
          <w:rFonts w:ascii="Arial" w:hAnsi="Arial" w:cs="Arial"/>
          <w:i/>
          <w:iCs/>
        </w:rPr>
        <w:t>this</w:t>
      </w:r>
      <w:r w:rsidR="007B7640" w:rsidRPr="00CD59CC">
        <w:rPr>
          <w:rFonts w:ascii="Arial" w:hAnsi="Arial" w:cs="Arial"/>
          <w:i/>
          <w:iCs/>
        </w:rPr>
        <w:t xml:space="preserve"> </w:t>
      </w:r>
      <w:r w:rsidRPr="00CD59CC">
        <w:rPr>
          <w:rFonts w:ascii="Arial" w:hAnsi="Arial" w:cs="Arial"/>
          <w:i/>
          <w:iCs/>
        </w:rPr>
        <w:t>respect,</w:t>
      </w:r>
      <w:r w:rsidR="007B7640" w:rsidRPr="00CD59CC">
        <w:rPr>
          <w:rFonts w:ascii="Arial" w:hAnsi="Arial" w:cs="Arial"/>
          <w:i/>
          <w:iCs/>
        </w:rPr>
        <w:t xml:space="preserve"> </w:t>
      </w:r>
      <w:r w:rsidRPr="00CD59CC">
        <w:rPr>
          <w:rFonts w:ascii="Arial" w:hAnsi="Arial" w:cs="Arial"/>
          <w:i/>
          <w:iCs/>
        </w:rPr>
        <w:t>does</w:t>
      </w:r>
      <w:r w:rsidR="007B7640" w:rsidRPr="00CD59CC">
        <w:rPr>
          <w:rFonts w:ascii="Arial" w:hAnsi="Arial" w:cs="Arial"/>
          <w:i/>
          <w:iCs/>
        </w:rPr>
        <w:t xml:space="preserve"> </w:t>
      </w:r>
      <w:r w:rsidRPr="00CD59CC">
        <w:rPr>
          <w:rFonts w:ascii="Arial" w:hAnsi="Arial" w:cs="Arial"/>
          <w:i/>
          <w:iCs/>
        </w:rPr>
        <w:t>evolution</w:t>
      </w:r>
      <w:r w:rsidR="007B7640" w:rsidRPr="00CD59CC">
        <w:rPr>
          <w:rFonts w:ascii="Arial" w:hAnsi="Arial" w:cs="Arial"/>
          <w:i/>
          <w:iCs/>
        </w:rPr>
        <w:t xml:space="preserve"> </w:t>
      </w:r>
      <w:r w:rsidRPr="00CD59CC">
        <w:rPr>
          <w:rFonts w:ascii="Arial" w:hAnsi="Arial" w:cs="Arial"/>
          <w:i/>
          <w:iCs/>
        </w:rPr>
        <w:t>in</w:t>
      </w:r>
      <w:r w:rsidR="007B7640" w:rsidRPr="00CD59CC">
        <w:rPr>
          <w:rFonts w:ascii="Arial" w:hAnsi="Arial" w:cs="Arial"/>
          <w:i/>
          <w:iCs/>
        </w:rPr>
        <w:t xml:space="preserve"> </w:t>
      </w:r>
      <w:r w:rsidRPr="00CD59CC">
        <w:rPr>
          <w:rFonts w:ascii="Arial" w:hAnsi="Arial" w:cs="Arial"/>
          <w:i/>
          <w:iCs/>
        </w:rPr>
        <w:t>other</w:t>
      </w:r>
      <w:r w:rsidR="007B7640" w:rsidRPr="00CD59CC">
        <w:rPr>
          <w:rFonts w:ascii="Arial" w:hAnsi="Arial" w:cs="Arial"/>
          <w:i/>
          <w:iCs/>
        </w:rPr>
        <w:t xml:space="preserve"> </w:t>
      </w:r>
      <w:r w:rsidRPr="00CD59CC">
        <w:rPr>
          <w:rFonts w:ascii="Arial" w:hAnsi="Arial" w:cs="Arial"/>
          <w:i/>
          <w:iCs/>
        </w:rPr>
        <w:t>countries</w:t>
      </w:r>
      <w:r w:rsidR="007B7640" w:rsidRPr="00CD59CC">
        <w:rPr>
          <w:rFonts w:ascii="Arial" w:hAnsi="Arial" w:cs="Arial"/>
          <w:i/>
          <w:iCs/>
        </w:rPr>
        <w:t xml:space="preserve"> </w:t>
      </w:r>
      <w:r w:rsidRPr="00CD59CC">
        <w:rPr>
          <w:rFonts w:ascii="Arial" w:hAnsi="Arial" w:cs="Arial"/>
          <w:i/>
          <w:iCs/>
        </w:rPr>
        <w:t>influence</w:t>
      </w:r>
      <w:r w:rsidR="007B7640" w:rsidRPr="00CD59CC">
        <w:rPr>
          <w:rFonts w:ascii="Arial" w:hAnsi="Arial" w:cs="Arial"/>
          <w:i/>
          <w:iCs/>
        </w:rPr>
        <w:t xml:space="preserve"> </w:t>
      </w:r>
      <w:r w:rsidRPr="00CD59CC">
        <w:rPr>
          <w:rFonts w:ascii="Arial" w:hAnsi="Arial" w:cs="Arial"/>
          <w:i/>
          <w:iCs/>
        </w:rPr>
        <w:t>your</w:t>
      </w:r>
      <w:r w:rsidR="007B7640" w:rsidRPr="00CD59CC">
        <w:rPr>
          <w:rFonts w:ascii="Arial" w:hAnsi="Arial" w:cs="Arial"/>
          <w:i/>
          <w:iCs/>
        </w:rPr>
        <w:t xml:space="preserve"> </w:t>
      </w:r>
      <w:r w:rsidRPr="00CD59CC">
        <w:rPr>
          <w:rFonts w:ascii="Arial" w:hAnsi="Arial" w:cs="Arial"/>
          <w:i/>
          <w:iCs/>
        </w:rPr>
        <w:t>national</w:t>
      </w:r>
      <w:r w:rsidR="007B7640" w:rsidRPr="00CD59CC">
        <w:rPr>
          <w:rFonts w:ascii="Arial" w:hAnsi="Arial" w:cs="Arial"/>
          <w:i/>
          <w:iCs/>
        </w:rPr>
        <w:t xml:space="preserve"> </w:t>
      </w:r>
      <w:r w:rsidRPr="00CD59CC">
        <w:rPr>
          <w:rFonts w:ascii="Arial" w:hAnsi="Arial" w:cs="Arial"/>
          <w:i/>
          <w:iCs/>
        </w:rPr>
        <w:t>law</w:t>
      </w:r>
      <w:r w:rsidR="007B7640" w:rsidRPr="00CD59CC">
        <w:rPr>
          <w:rFonts w:ascii="Arial" w:hAnsi="Arial" w:cs="Arial"/>
          <w:i/>
          <w:iCs/>
        </w:rPr>
        <w:t xml:space="preserve"> </w:t>
      </w:r>
      <w:r w:rsidRPr="00CD59CC">
        <w:rPr>
          <w:rFonts w:ascii="Arial" w:hAnsi="Arial" w:cs="Arial"/>
          <w:i/>
          <w:iCs/>
        </w:rPr>
        <w:t>(European</w:t>
      </w:r>
      <w:r w:rsidR="007B7640" w:rsidRPr="00CD59CC">
        <w:rPr>
          <w:rFonts w:ascii="Arial" w:hAnsi="Arial" w:cs="Arial"/>
          <w:i/>
          <w:iCs/>
        </w:rPr>
        <w:t xml:space="preserve"> </w:t>
      </w:r>
      <w:r w:rsidRPr="00CD59CC">
        <w:rPr>
          <w:rFonts w:ascii="Arial" w:hAnsi="Arial" w:cs="Arial"/>
          <w:i/>
          <w:iCs/>
        </w:rPr>
        <w:t>strategic</w:t>
      </w:r>
      <w:r w:rsidR="007B7640" w:rsidRPr="00CD59CC">
        <w:rPr>
          <w:rFonts w:ascii="Arial" w:hAnsi="Arial" w:cs="Arial"/>
          <w:i/>
          <w:iCs/>
        </w:rPr>
        <w:t xml:space="preserve"> </w:t>
      </w:r>
      <w:r w:rsidRPr="00CD59CC">
        <w:rPr>
          <w:rFonts w:ascii="Arial" w:hAnsi="Arial" w:cs="Arial"/>
          <w:i/>
          <w:iCs/>
        </w:rPr>
        <w:t>litigation</w:t>
      </w:r>
      <w:r w:rsidR="007B7640" w:rsidRPr="00CD59CC">
        <w:rPr>
          <w:rFonts w:ascii="Arial" w:hAnsi="Arial" w:cs="Arial"/>
          <w:i/>
          <w:iCs/>
        </w:rPr>
        <w:t xml:space="preserve"> </w:t>
      </w:r>
      <w:r w:rsidRPr="00CD59CC">
        <w:rPr>
          <w:rFonts w:ascii="Arial" w:hAnsi="Arial" w:cs="Arial"/>
          <w:i/>
          <w:iCs/>
        </w:rPr>
        <w:t>issue)?</w:t>
      </w:r>
    </w:p>
    <w:p w14:paraId="595CE4B9" w14:textId="77777777" w:rsidR="002B5BCD" w:rsidRPr="00CD59CC" w:rsidRDefault="002B5BCD" w:rsidP="00CD59CC">
      <w:pPr>
        <w:tabs>
          <w:tab w:val="num" w:pos="567"/>
        </w:tabs>
        <w:ind w:left="567" w:hanging="567"/>
        <w:rPr>
          <w:rFonts w:ascii="Arial" w:hAnsi="Arial" w:cs="Arial"/>
        </w:rPr>
      </w:pPr>
    </w:p>
    <w:p w14:paraId="5BBF65B2" w14:textId="77777777" w:rsidR="001B2C4C" w:rsidRPr="00CD59CC" w:rsidRDefault="001B2C4C" w:rsidP="00CD59CC">
      <w:pPr>
        <w:rPr>
          <w:rFonts w:ascii="Arial" w:hAnsi="Arial" w:cs="Arial"/>
        </w:rPr>
      </w:pPr>
      <w:r w:rsidRPr="00CD59CC">
        <w:rPr>
          <w:rFonts w:ascii="Arial" w:hAnsi="Arial" w:cs="Arial"/>
          <w:iCs/>
        </w:rPr>
        <w:t>Generally,</w:t>
      </w:r>
      <w:r w:rsidR="007B7640" w:rsidRPr="00CD59CC">
        <w:rPr>
          <w:rFonts w:ascii="Arial" w:hAnsi="Arial" w:cs="Arial"/>
          <w:iCs/>
        </w:rPr>
        <w:t xml:space="preserve"> </w:t>
      </w:r>
      <w:r w:rsidRPr="00CD59CC">
        <w:rPr>
          <w:rFonts w:ascii="Arial" w:hAnsi="Arial" w:cs="Arial"/>
          <w:iCs/>
        </w:rPr>
        <w:t>there</w:t>
      </w:r>
      <w:r w:rsidR="007B7640" w:rsidRPr="00CD59CC">
        <w:rPr>
          <w:rFonts w:ascii="Arial" w:hAnsi="Arial" w:cs="Arial"/>
          <w:iCs/>
        </w:rPr>
        <w:t xml:space="preserve"> </w:t>
      </w:r>
      <w:r w:rsidRPr="00CD59CC">
        <w:rPr>
          <w:rFonts w:ascii="Arial" w:hAnsi="Arial" w:cs="Arial"/>
          <w:iCs/>
        </w:rPr>
        <w:t>seems</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no</w:t>
      </w:r>
      <w:r w:rsidR="007B7640" w:rsidRPr="00CD59CC">
        <w:rPr>
          <w:rFonts w:ascii="Arial" w:hAnsi="Arial" w:cs="Arial"/>
          <w:iCs/>
        </w:rPr>
        <w:t xml:space="preserve"> </w:t>
      </w:r>
      <w:r w:rsidRPr="00CD59CC">
        <w:rPr>
          <w:rFonts w:ascii="Arial" w:hAnsi="Arial" w:cs="Arial"/>
          <w:iCs/>
        </w:rPr>
        <w:t>reluctance</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use</w:t>
      </w:r>
      <w:r w:rsidR="007B7640" w:rsidRPr="00CD59CC">
        <w:rPr>
          <w:rFonts w:ascii="Arial" w:hAnsi="Arial" w:cs="Arial"/>
          <w:iCs/>
        </w:rPr>
        <w:t xml:space="preserve"> </w:t>
      </w:r>
      <w:r w:rsidRPr="00CD59CC">
        <w:rPr>
          <w:rFonts w:ascii="Arial" w:hAnsi="Arial" w:cs="Arial"/>
          <w:iCs/>
        </w:rPr>
        <w:t>statistical</w:t>
      </w:r>
      <w:r w:rsidR="007B7640" w:rsidRPr="00CD59CC">
        <w:rPr>
          <w:rFonts w:ascii="Arial" w:hAnsi="Arial" w:cs="Arial"/>
          <w:iCs/>
        </w:rPr>
        <w:t xml:space="preserve"> </w:t>
      </w:r>
      <w:r w:rsidRPr="00CD59CC">
        <w:rPr>
          <w:rFonts w:ascii="Arial" w:hAnsi="Arial" w:cs="Arial"/>
          <w:iCs/>
        </w:rPr>
        <w:t>evidence,</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decision</w:t>
      </w:r>
      <w:r w:rsidR="007B7640" w:rsidRPr="00CD59CC">
        <w:rPr>
          <w:rFonts w:ascii="Arial" w:hAnsi="Arial" w:cs="Arial"/>
          <w:iCs/>
        </w:rPr>
        <w:t xml:space="preserve"> </w:t>
      </w:r>
      <w:r w:rsidRPr="00CD59CC">
        <w:rPr>
          <w:rFonts w:ascii="Arial" w:hAnsi="Arial" w:cs="Arial"/>
          <w:iCs/>
        </w:rPr>
        <w:t>by</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Supreme</w:t>
      </w:r>
      <w:r w:rsidR="007B7640" w:rsidRPr="00CD59CC">
        <w:rPr>
          <w:rFonts w:ascii="Arial" w:hAnsi="Arial" w:cs="Arial"/>
          <w:iCs/>
        </w:rPr>
        <w:t xml:space="preserve"> </w:t>
      </w:r>
      <w:r w:rsidRPr="00CD59CC">
        <w:rPr>
          <w:rFonts w:ascii="Arial" w:hAnsi="Arial" w:cs="Arial"/>
          <w:iCs/>
        </w:rPr>
        <w:t>Court</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Hajdúhadház</w:t>
      </w:r>
      <w:r w:rsidR="007B7640" w:rsidRPr="00CD59CC">
        <w:rPr>
          <w:rFonts w:ascii="Arial" w:hAnsi="Arial" w:cs="Arial"/>
          <w:iCs/>
        </w:rPr>
        <w:t xml:space="preserve"> </w:t>
      </w:r>
      <w:r w:rsidRPr="00CD59CC">
        <w:rPr>
          <w:rFonts w:ascii="Arial" w:hAnsi="Arial" w:cs="Arial"/>
          <w:iCs/>
        </w:rPr>
        <w:t>case</w:t>
      </w:r>
      <w:r w:rsidR="007B7640" w:rsidRPr="00CD59CC">
        <w:rPr>
          <w:rFonts w:ascii="Arial" w:hAnsi="Arial" w:cs="Arial"/>
          <w:iCs/>
        </w:rPr>
        <w:t xml:space="preserve"> </w:t>
      </w:r>
      <w:r w:rsidRPr="00CD59CC">
        <w:rPr>
          <w:rFonts w:ascii="Arial" w:hAnsi="Arial" w:cs="Arial"/>
          <w:iCs/>
        </w:rPr>
        <w:t>has</w:t>
      </w:r>
      <w:r w:rsidR="007B7640" w:rsidRPr="00CD59CC">
        <w:rPr>
          <w:rFonts w:ascii="Arial" w:hAnsi="Arial" w:cs="Arial"/>
          <w:iCs/>
        </w:rPr>
        <w:t xml:space="preserve"> </w:t>
      </w:r>
      <w:r w:rsidRPr="00CD59CC">
        <w:rPr>
          <w:rFonts w:ascii="Arial" w:hAnsi="Arial" w:cs="Arial"/>
          <w:iCs/>
        </w:rPr>
        <w:t>reassuringly</w:t>
      </w:r>
      <w:r w:rsidR="007B7640" w:rsidRPr="00CD59CC">
        <w:rPr>
          <w:rFonts w:ascii="Arial" w:hAnsi="Arial" w:cs="Arial"/>
          <w:iCs/>
        </w:rPr>
        <w:t xml:space="preserve"> </w:t>
      </w:r>
      <w:r w:rsidRPr="00CD59CC">
        <w:rPr>
          <w:rFonts w:ascii="Arial" w:hAnsi="Arial" w:cs="Arial"/>
          <w:iCs/>
        </w:rPr>
        <w:t>settled</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issue</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whether</w:t>
      </w:r>
      <w:r w:rsidR="007B7640" w:rsidRPr="00CD59CC">
        <w:rPr>
          <w:rFonts w:ascii="Arial" w:hAnsi="Arial" w:cs="Arial"/>
          <w:iCs/>
        </w:rPr>
        <w:t xml:space="preserve"> </w:t>
      </w:r>
      <w:r w:rsidRPr="00CD59CC">
        <w:rPr>
          <w:rFonts w:ascii="Arial" w:hAnsi="Arial" w:cs="Arial"/>
          <w:iCs/>
        </w:rPr>
        <w:t>statistical</w:t>
      </w:r>
      <w:r w:rsidR="007B7640" w:rsidRPr="00CD59CC">
        <w:rPr>
          <w:rFonts w:ascii="Arial" w:hAnsi="Arial" w:cs="Arial"/>
          <w:iCs/>
        </w:rPr>
        <w:t xml:space="preserve"> </w:t>
      </w:r>
      <w:r w:rsidRPr="00CD59CC">
        <w:rPr>
          <w:rFonts w:ascii="Arial" w:hAnsi="Arial" w:cs="Arial"/>
          <w:iCs/>
        </w:rPr>
        <w:t>evidence</w:t>
      </w:r>
      <w:r w:rsidR="007B7640" w:rsidRPr="00CD59CC">
        <w:rPr>
          <w:rFonts w:ascii="Arial" w:hAnsi="Arial" w:cs="Arial"/>
          <w:iCs/>
        </w:rPr>
        <w:t xml:space="preserve"> </w:t>
      </w:r>
      <w:r w:rsidRPr="00CD59CC">
        <w:rPr>
          <w:rFonts w:ascii="Arial" w:hAnsi="Arial" w:cs="Arial"/>
          <w:iCs/>
        </w:rPr>
        <w:t>may</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used</w:t>
      </w:r>
      <w:r w:rsidR="007B7640" w:rsidRPr="00CD59CC">
        <w:rPr>
          <w:rFonts w:ascii="Arial" w:hAnsi="Arial" w:cs="Arial"/>
          <w:iCs/>
        </w:rPr>
        <w:t xml:space="preserve"> </w:t>
      </w:r>
      <w:r w:rsidRPr="00CD59CC">
        <w:rPr>
          <w:rFonts w:ascii="Arial" w:hAnsi="Arial" w:cs="Arial"/>
          <w:iCs/>
        </w:rPr>
        <w:t>in</w:t>
      </w:r>
      <w:r w:rsidR="007B7640" w:rsidRPr="00CD59CC">
        <w:rPr>
          <w:rFonts w:ascii="Arial" w:hAnsi="Arial" w:cs="Arial"/>
          <w:iCs/>
        </w:rPr>
        <w:t xml:space="preserve"> </w:t>
      </w:r>
      <w:r w:rsidRPr="00CD59CC">
        <w:rPr>
          <w:rFonts w:ascii="Arial" w:hAnsi="Arial" w:cs="Arial"/>
          <w:iCs/>
        </w:rPr>
        <w:t>segregation</w:t>
      </w:r>
      <w:r w:rsidR="007B7640" w:rsidRPr="00CD59CC">
        <w:rPr>
          <w:rFonts w:ascii="Arial" w:hAnsi="Arial" w:cs="Arial"/>
          <w:iCs/>
        </w:rPr>
        <w:t xml:space="preserve"> </w:t>
      </w:r>
      <w:r w:rsidRPr="00CD59CC">
        <w:rPr>
          <w:rFonts w:ascii="Arial" w:hAnsi="Arial" w:cs="Arial"/>
          <w:iCs/>
        </w:rPr>
        <w:t>cases</w:t>
      </w:r>
      <w:r w:rsidR="007B7640" w:rsidRPr="00CD59CC">
        <w:rPr>
          <w:rFonts w:ascii="Arial" w:hAnsi="Arial" w:cs="Arial"/>
          <w:iCs/>
        </w:rPr>
        <w:t xml:space="preserve"> </w:t>
      </w:r>
      <w:r w:rsidRPr="00CD59CC">
        <w:rPr>
          <w:rFonts w:ascii="Arial" w:hAnsi="Arial" w:cs="Arial"/>
          <w:iCs/>
        </w:rPr>
        <w:t>(see</w:t>
      </w:r>
      <w:r w:rsidR="007B7640" w:rsidRPr="00CD59CC">
        <w:rPr>
          <w:rFonts w:ascii="Arial" w:hAnsi="Arial" w:cs="Arial"/>
          <w:iCs/>
        </w:rPr>
        <w:t xml:space="preserve"> </w:t>
      </w:r>
      <w:r w:rsidRPr="00CD59CC">
        <w:rPr>
          <w:rFonts w:ascii="Arial" w:hAnsi="Arial" w:cs="Arial"/>
          <w:iCs/>
        </w:rPr>
        <w:t>below).</w:t>
      </w:r>
      <w:r w:rsidR="007B7640" w:rsidRPr="00CD59CC">
        <w:rPr>
          <w:rFonts w:ascii="Arial" w:hAnsi="Arial" w:cs="Arial"/>
          <w:iCs/>
        </w:rPr>
        <w:t xml:space="preserve"> </w:t>
      </w:r>
      <w:r w:rsidRPr="00CD59CC">
        <w:rPr>
          <w:rFonts w:ascii="Arial" w:hAnsi="Arial" w:cs="Arial"/>
          <w:iCs/>
        </w:rPr>
        <w:t>At</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same</w:t>
      </w:r>
      <w:r w:rsidR="007B7640" w:rsidRPr="00CD59CC">
        <w:rPr>
          <w:rFonts w:ascii="Arial" w:hAnsi="Arial" w:cs="Arial"/>
          <w:iCs/>
        </w:rPr>
        <w:t xml:space="preserve"> </w:t>
      </w:r>
      <w:r w:rsidRPr="00CD59CC">
        <w:rPr>
          <w:rFonts w:ascii="Arial" w:hAnsi="Arial" w:cs="Arial"/>
          <w:iCs/>
        </w:rPr>
        <w:t>time</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use</w:t>
      </w:r>
      <w:r w:rsidR="007B7640" w:rsidRPr="00CD59CC">
        <w:rPr>
          <w:rFonts w:ascii="Arial" w:hAnsi="Arial" w:cs="Arial"/>
          <w:iCs/>
        </w:rPr>
        <w:t xml:space="preserve"> </w:t>
      </w:r>
      <w:r w:rsidRPr="00CD59CC">
        <w:rPr>
          <w:rFonts w:ascii="Arial" w:hAnsi="Arial" w:cs="Arial"/>
          <w:iCs/>
        </w:rPr>
        <w:t>of</w:t>
      </w:r>
      <w:r w:rsidR="007B7640" w:rsidRPr="00CD59CC">
        <w:rPr>
          <w:rFonts w:ascii="Arial" w:hAnsi="Arial" w:cs="Arial"/>
          <w:iCs/>
        </w:rPr>
        <w:t xml:space="preserve"> </w:t>
      </w:r>
      <w:r w:rsidRPr="00CD59CC">
        <w:rPr>
          <w:rFonts w:ascii="Arial" w:hAnsi="Arial" w:cs="Arial"/>
          <w:iCs/>
        </w:rPr>
        <w:t>such</w:t>
      </w:r>
      <w:r w:rsidR="007B7640" w:rsidRPr="00CD59CC">
        <w:rPr>
          <w:rFonts w:ascii="Arial" w:hAnsi="Arial" w:cs="Arial"/>
          <w:iCs/>
        </w:rPr>
        <w:t xml:space="preserve"> </w:t>
      </w:r>
      <w:r w:rsidRPr="00CD59CC">
        <w:rPr>
          <w:rFonts w:ascii="Arial" w:hAnsi="Arial" w:cs="Arial"/>
          <w:iCs/>
        </w:rPr>
        <w:t>evidence</w:t>
      </w:r>
      <w:r w:rsidR="007B7640" w:rsidRPr="00CD59CC">
        <w:rPr>
          <w:rFonts w:ascii="Arial" w:hAnsi="Arial" w:cs="Arial"/>
          <w:iCs/>
        </w:rPr>
        <w:t xml:space="preserve"> </w:t>
      </w:r>
      <w:r w:rsidRPr="00CD59CC">
        <w:rPr>
          <w:rFonts w:ascii="Arial" w:hAnsi="Arial" w:cs="Arial"/>
          <w:iCs/>
        </w:rPr>
        <w:t>may</w:t>
      </w:r>
      <w:r w:rsidR="007B7640" w:rsidRPr="00CD59CC">
        <w:rPr>
          <w:rFonts w:ascii="Arial" w:hAnsi="Arial" w:cs="Arial"/>
          <w:iCs/>
        </w:rPr>
        <w:t xml:space="preserve"> </w:t>
      </w:r>
      <w:r w:rsidRPr="00CD59CC">
        <w:rPr>
          <w:rFonts w:ascii="Arial" w:hAnsi="Arial" w:cs="Arial"/>
          <w:iCs/>
        </w:rPr>
        <w:t>not</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regarded</w:t>
      </w:r>
      <w:r w:rsidR="007B7640" w:rsidRPr="00CD59CC">
        <w:rPr>
          <w:rFonts w:ascii="Arial" w:hAnsi="Arial" w:cs="Arial"/>
          <w:iCs/>
        </w:rPr>
        <w:t xml:space="preserve"> </w:t>
      </w:r>
      <w:r w:rsidRPr="00CD59CC">
        <w:rPr>
          <w:rFonts w:ascii="Arial" w:hAnsi="Arial" w:cs="Arial"/>
          <w:iCs/>
        </w:rPr>
        <w:t>as</w:t>
      </w:r>
      <w:r w:rsidR="007B7640" w:rsidRPr="00CD59CC">
        <w:rPr>
          <w:rFonts w:ascii="Arial" w:hAnsi="Arial" w:cs="Arial"/>
          <w:iCs/>
        </w:rPr>
        <w:t xml:space="preserve"> </w:t>
      </w:r>
      <w:r w:rsidRPr="00CD59CC">
        <w:rPr>
          <w:rFonts w:ascii="Arial" w:hAnsi="Arial" w:cs="Arial"/>
          <w:iCs/>
        </w:rPr>
        <w:t>widespread,</w:t>
      </w:r>
      <w:r w:rsidR="007B7640" w:rsidRPr="00CD59CC">
        <w:rPr>
          <w:rFonts w:ascii="Arial" w:hAnsi="Arial" w:cs="Arial"/>
          <w:iCs/>
        </w:rPr>
        <w:t xml:space="preserve"> </w:t>
      </w:r>
      <w:r w:rsidRPr="00CD59CC">
        <w:rPr>
          <w:rFonts w:ascii="Arial" w:hAnsi="Arial" w:cs="Arial"/>
          <w:iCs/>
        </w:rPr>
        <w:t>which</w:t>
      </w:r>
      <w:r w:rsidR="007B7640" w:rsidRPr="00CD59CC">
        <w:rPr>
          <w:rFonts w:ascii="Arial" w:hAnsi="Arial" w:cs="Arial"/>
          <w:iCs/>
        </w:rPr>
        <w:t xml:space="preserve"> </w:t>
      </w:r>
      <w:r w:rsidRPr="00CD59CC">
        <w:rPr>
          <w:rFonts w:ascii="Arial" w:hAnsi="Arial" w:cs="Arial"/>
          <w:iCs/>
        </w:rPr>
        <w:t>may</w:t>
      </w:r>
      <w:r w:rsidR="007B7640" w:rsidRPr="00CD59CC">
        <w:rPr>
          <w:rFonts w:ascii="Arial" w:hAnsi="Arial" w:cs="Arial"/>
          <w:iCs/>
        </w:rPr>
        <w:t xml:space="preserve"> </w:t>
      </w:r>
      <w:r w:rsidRPr="00CD59CC">
        <w:rPr>
          <w:rFonts w:ascii="Arial" w:hAnsi="Arial" w:cs="Arial"/>
          <w:iCs/>
        </w:rPr>
        <w:t>be</w:t>
      </w:r>
      <w:r w:rsidR="007B7640" w:rsidRPr="00CD59CC">
        <w:rPr>
          <w:rFonts w:ascii="Arial" w:hAnsi="Arial" w:cs="Arial"/>
          <w:iCs/>
        </w:rPr>
        <w:t xml:space="preserve"> </w:t>
      </w:r>
      <w:r w:rsidRPr="00CD59CC">
        <w:rPr>
          <w:rFonts w:ascii="Arial" w:hAnsi="Arial" w:cs="Arial"/>
          <w:iCs/>
        </w:rPr>
        <w:t>related</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the</w:t>
      </w:r>
      <w:r w:rsidR="007B7640" w:rsidRPr="00CD59CC">
        <w:rPr>
          <w:rFonts w:ascii="Arial" w:hAnsi="Arial" w:cs="Arial"/>
          <w:iCs/>
        </w:rPr>
        <w:t xml:space="preserve"> </w:t>
      </w:r>
      <w:r w:rsidRPr="00CD59CC">
        <w:rPr>
          <w:rFonts w:ascii="Arial" w:hAnsi="Arial" w:cs="Arial"/>
          <w:iCs/>
        </w:rPr>
        <w:t>fact</w:t>
      </w:r>
      <w:r w:rsidR="007B7640" w:rsidRPr="00CD59CC">
        <w:rPr>
          <w:rFonts w:ascii="Arial" w:hAnsi="Arial" w:cs="Arial"/>
          <w:iCs/>
        </w:rPr>
        <w:t xml:space="preserve"> </w:t>
      </w:r>
      <w:r w:rsidRPr="00CD59CC">
        <w:rPr>
          <w:rFonts w:ascii="Arial" w:hAnsi="Arial" w:cs="Arial"/>
          <w:iCs/>
        </w:rPr>
        <w:t>that</w:t>
      </w:r>
      <w:r w:rsidR="007B7640" w:rsidRPr="00CD59CC">
        <w:rPr>
          <w:rFonts w:ascii="Arial" w:hAnsi="Arial" w:cs="Arial"/>
          <w:iCs/>
        </w:rPr>
        <w:t xml:space="preserve"> </w:t>
      </w:r>
      <w:r w:rsidRPr="00CD59CC">
        <w:rPr>
          <w:rFonts w:ascii="Arial" w:hAnsi="Arial" w:cs="Arial"/>
          <w:iCs/>
        </w:rPr>
        <w:t>practically</w:t>
      </w:r>
      <w:r w:rsidR="007B7640" w:rsidRPr="00CD59CC">
        <w:rPr>
          <w:rFonts w:ascii="Arial" w:hAnsi="Arial" w:cs="Arial"/>
          <w:iCs/>
        </w:rPr>
        <w:t xml:space="preserve"> </w:t>
      </w:r>
      <w:r w:rsidRPr="00CD59CC">
        <w:rPr>
          <w:rFonts w:ascii="Arial" w:hAnsi="Arial" w:cs="Arial"/>
          <w:iCs/>
        </w:rPr>
        <w:t>no</w:t>
      </w:r>
      <w:r w:rsidR="007B7640" w:rsidRPr="00CD59CC">
        <w:rPr>
          <w:rFonts w:ascii="Arial" w:hAnsi="Arial" w:cs="Arial"/>
          <w:iCs/>
        </w:rPr>
        <w:t xml:space="preserve"> </w:t>
      </w:r>
      <w:r w:rsidRPr="00CD59CC">
        <w:rPr>
          <w:rFonts w:ascii="Arial" w:hAnsi="Arial" w:cs="Arial"/>
          <w:iCs/>
        </w:rPr>
        <w:t>case</w:t>
      </w:r>
      <w:r w:rsidR="007B7640" w:rsidRPr="00CD59CC">
        <w:rPr>
          <w:rFonts w:ascii="Arial" w:hAnsi="Arial" w:cs="Arial"/>
          <w:iCs/>
        </w:rPr>
        <w:t xml:space="preserve"> </w:t>
      </w:r>
      <w:r w:rsidRPr="00CD59CC">
        <w:rPr>
          <w:rFonts w:ascii="Arial" w:hAnsi="Arial" w:cs="Arial"/>
          <w:iCs/>
        </w:rPr>
        <w:t>law</w:t>
      </w:r>
      <w:r w:rsidR="007B7640" w:rsidRPr="00CD59CC">
        <w:rPr>
          <w:rFonts w:ascii="Arial" w:hAnsi="Arial" w:cs="Arial"/>
          <w:iCs/>
        </w:rPr>
        <w:t xml:space="preserve"> </w:t>
      </w:r>
      <w:r w:rsidRPr="00CD59CC">
        <w:rPr>
          <w:rFonts w:ascii="Arial" w:hAnsi="Arial" w:cs="Arial"/>
          <w:iCs/>
        </w:rPr>
        <w:t>related</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indirect</w:t>
      </w:r>
      <w:r w:rsidR="007B7640" w:rsidRPr="00CD59CC">
        <w:rPr>
          <w:rFonts w:ascii="Arial" w:hAnsi="Arial" w:cs="Arial"/>
          <w:iCs/>
        </w:rPr>
        <w:t xml:space="preserve"> </w:t>
      </w:r>
      <w:r w:rsidRPr="00CD59CC">
        <w:rPr>
          <w:rFonts w:ascii="Arial" w:hAnsi="Arial" w:cs="Arial"/>
          <w:iCs/>
        </w:rPr>
        <w:t>discrimination</w:t>
      </w:r>
      <w:r w:rsidR="007B7640" w:rsidRPr="00CD59CC">
        <w:rPr>
          <w:rFonts w:ascii="Arial" w:hAnsi="Arial" w:cs="Arial"/>
          <w:iCs/>
        </w:rPr>
        <w:t xml:space="preserve"> </w:t>
      </w:r>
      <w:r w:rsidRPr="00CD59CC">
        <w:rPr>
          <w:rFonts w:ascii="Arial" w:hAnsi="Arial" w:cs="Arial"/>
          <w:iCs/>
        </w:rPr>
        <w:t>exists.</w:t>
      </w:r>
    </w:p>
    <w:p w14:paraId="58AD4B5C" w14:textId="77777777" w:rsidR="001B2C4C" w:rsidRPr="00CD59CC" w:rsidRDefault="001B2C4C" w:rsidP="00BB4E9F">
      <w:pPr>
        <w:tabs>
          <w:tab w:val="num" w:pos="567"/>
        </w:tabs>
        <w:rPr>
          <w:rFonts w:ascii="Arial" w:hAnsi="Arial" w:cs="Arial"/>
        </w:rPr>
      </w:pPr>
    </w:p>
    <w:p w14:paraId="0B30DF44" w14:textId="77777777" w:rsidR="002B5BCD" w:rsidRPr="00CD59CC" w:rsidRDefault="002B5BCD" w:rsidP="00CD59CC">
      <w:pPr>
        <w:numPr>
          <w:ilvl w:val="0"/>
          <w:numId w:val="7"/>
        </w:numPr>
        <w:tabs>
          <w:tab w:val="left" w:pos="567"/>
        </w:tabs>
        <w:ind w:left="567" w:hanging="567"/>
        <w:rPr>
          <w:rFonts w:ascii="Arial" w:hAnsi="Arial" w:cs="Arial"/>
          <w:i/>
        </w:rPr>
      </w:pPr>
      <w:r w:rsidRPr="00CD59CC">
        <w:rPr>
          <w:rFonts w:ascii="Arial" w:hAnsi="Arial" w:cs="Arial"/>
          <w:i/>
        </w:rPr>
        <w:t>Please</w:t>
      </w:r>
      <w:r w:rsidR="007B7640" w:rsidRPr="00CD59CC">
        <w:rPr>
          <w:rFonts w:ascii="Arial" w:hAnsi="Arial" w:cs="Arial"/>
          <w:i/>
        </w:rPr>
        <w:t xml:space="preserve"> </w:t>
      </w:r>
      <w:r w:rsidRPr="00CD59CC">
        <w:rPr>
          <w:rFonts w:ascii="Arial" w:hAnsi="Arial" w:cs="Arial"/>
          <w:i/>
        </w:rPr>
        <w:t>illustrate</w:t>
      </w:r>
      <w:r w:rsidR="007B7640" w:rsidRPr="00CD59CC">
        <w:rPr>
          <w:rFonts w:ascii="Arial" w:hAnsi="Arial" w:cs="Arial"/>
          <w:i/>
        </w:rPr>
        <w:t xml:space="preserve"> </w:t>
      </w:r>
      <w:r w:rsidRPr="00CD59CC">
        <w:rPr>
          <w:rFonts w:ascii="Arial" w:hAnsi="Arial" w:cs="Arial"/>
          <w:i/>
          <w:u w:val="single"/>
        </w:rPr>
        <w:t>the</w:t>
      </w:r>
      <w:r w:rsidR="007B7640" w:rsidRPr="00CD59CC">
        <w:rPr>
          <w:rFonts w:ascii="Arial" w:hAnsi="Arial" w:cs="Arial"/>
          <w:i/>
          <w:u w:val="single"/>
        </w:rPr>
        <w:t xml:space="preserve"> </w:t>
      </w:r>
      <w:r w:rsidRPr="00CD59CC">
        <w:rPr>
          <w:rFonts w:ascii="Arial" w:hAnsi="Arial" w:cs="Arial"/>
          <w:i/>
          <w:u w:val="single"/>
        </w:rPr>
        <w:t>most</w:t>
      </w:r>
      <w:r w:rsidR="007B7640" w:rsidRPr="00CD59CC">
        <w:rPr>
          <w:rFonts w:ascii="Arial" w:hAnsi="Arial" w:cs="Arial"/>
          <w:i/>
          <w:u w:val="single"/>
        </w:rPr>
        <w:t xml:space="preserve"> </w:t>
      </w:r>
      <w:r w:rsidRPr="00CD59CC">
        <w:rPr>
          <w:rFonts w:ascii="Arial" w:hAnsi="Arial" w:cs="Arial"/>
          <w:i/>
          <w:iCs/>
          <w:u w:val="single"/>
        </w:rPr>
        <w:t>important</w:t>
      </w:r>
      <w:r w:rsidR="007B7640" w:rsidRPr="00CD59CC">
        <w:rPr>
          <w:rFonts w:ascii="Arial" w:hAnsi="Arial" w:cs="Arial"/>
          <w:i/>
        </w:rPr>
        <w:t xml:space="preserve"> </w:t>
      </w:r>
      <w:r w:rsidRPr="00CD59CC">
        <w:rPr>
          <w:rFonts w:ascii="Arial" w:hAnsi="Arial" w:cs="Arial"/>
          <w:i/>
        </w:rPr>
        <w:t>case</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this</w:t>
      </w:r>
      <w:r w:rsidR="007B7640" w:rsidRPr="00CD59CC">
        <w:rPr>
          <w:rFonts w:ascii="Arial" w:hAnsi="Arial" w:cs="Arial"/>
          <w:i/>
        </w:rPr>
        <w:t xml:space="preserve"> </w:t>
      </w:r>
      <w:r w:rsidRPr="00CD59CC">
        <w:rPr>
          <w:rFonts w:ascii="Arial" w:hAnsi="Arial" w:cs="Arial"/>
          <w:i/>
        </w:rPr>
        <w:t>area.</w:t>
      </w:r>
    </w:p>
    <w:p w14:paraId="6CF1FB2F" w14:textId="77777777" w:rsidR="002B5BCD" w:rsidRPr="00CD59CC" w:rsidRDefault="002B5BCD" w:rsidP="00CD59CC">
      <w:pPr>
        <w:tabs>
          <w:tab w:val="num" w:pos="567"/>
        </w:tabs>
        <w:ind w:left="567" w:hanging="567"/>
        <w:rPr>
          <w:rFonts w:ascii="Arial" w:hAnsi="Arial" w:cs="Arial"/>
        </w:rPr>
      </w:pPr>
    </w:p>
    <w:p w14:paraId="1A3E1EDB" w14:textId="31FD1453" w:rsidR="001B2C4C" w:rsidRPr="00CD59CC" w:rsidRDefault="001B2C4C"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first</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servants</w:t>
      </w:r>
      <w:r w:rsidR="007B7640" w:rsidRPr="00CD59CC">
        <w:rPr>
          <w:rFonts w:ascii="Arial" w:hAnsi="Arial" w:cs="Arial"/>
        </w:rPr>
        <w:t xml:space="preserve"> </w:t>
      </w:r>
      <w:r w:rsidRPr="00CD59CC">
        <w:rPr>
          <w:rFonts w:ascii="Arial" w:hAnsi="Arial" w:cs="Arial"/>
        </w:rPr>
        <w:t>dismissed</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regional</w:t>
      </w:r>
      <w:r w:rsidR="007B7640" w:rsidRPr="00CD59CC">
        <w:rPr>
          <w:rFonts w:ascii="Arial" w:hAnsi="Arial" w:cs="Arial"/>
        </w:rPr>
        <w:t xml:space="preserve"> </w:t>
      </w:r>
      <w:r w:rsidRPr="00CD59CC">
        <w:rPr>
          <w:rFonts w:ascii="Arial" w:hAnsi="Arial" w:cs="Arial"/>
        </w:rPr>
        <w:t>office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central</w:t>
      </w:r>
      <w:r w:rsidR="007B7640" w:rsidRPr="00CD59CC">
        <w:rPr>
          <w:rFonts w:ascii="Arial" w:hAnsi="Arial" w:cs="Arial"/>
        </w:rPr>
        <w:t xml:space="preserve"> </w:t>
      </w:r>
      <w:r w:rsidRPr="00CD59CC">
        <w:rPr>
          <w:rFonts w:ascii="Arial" w:hAnsi="Arial" w:cs="Arial"/>
        </w:rPr>
        <w:t>administrative</w:t>
      </w:r>
      <w:r w:rsidR="007B7640" w:rsidRPr="00CD59CC">
        <w:rPr>
          <w:rFonts w:ascii="Arial" w:hAnsi="Arial" w:cs="Arial"/>
        </w:rPr>
        <w:t xml:space="preserve"> </w:t>
      </w:r>
      <w:r w:rsidRPr="00CD59CC">
        <w:rPr>
          <w:rFonts w:ascii="Arial" w:hAnsi="Arial" w:cs="Arial"/>
        </w:rPr>
        <w:t>organ</w:t>
      </w:r>
      <w:r w:rsidR="007B7640" w:rsidRPr="00CD59CC">
        <w:rPr>
          <w:rFonts w:ascii="Arial" w:hAnsi="Arial" w:cs="Arial"/>
        </w:rPr>
        <w:t xml:space="preserve"> </w:t>
      </w:r>
      <w:r w:rsidRPr="00CD59CC">
        <w:rPr>
          <w:rFonts w:ascii="Arial" w:hAnsi="Arial" w:cs="Arial"/>
        </w:rPr>
        <w:t>filed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complaint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claiming</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reduction</w:t>
      </w:r>
      <w:r w:rsidR="007B7640" w:rsidRPr="00CD59CC">
        <w:rPr>
          <w:rFonts w:ascii="Arial" w:hAnsi="Arial" w:cs="Arial"/>
        </w:rPr>
        <w:t xml:space="preserve"> </w:t>
      </w:r>
      <w:r w:rsidRPr="00CD59CC">
        <w:rPr>
          <w:rFonts w:ascii="Arial" w:hAnsi="Arial" w:cs="Arial"/>
        </w:rPr>
        <w:t>carried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administrative</w:t>
      </w:r>
      <w:r w:rsidR="007B7640" w:rsidRPr="00CD59CC">
        <w:rPr>
          <w:rFonts w:ascii="Arial" w:hAnsi="Arial" w:cs="Arial"/>
        </w:rPr>
        <w:t xml:space="preserve"> </w:t>
      </w:r>
      <w:r w:rsidRPr="00CD59CC">
        <w:rPr>
          <w:rFonts w:ascii="Arial" w:hAnsi="Arial" w:cs="Arial"/>
        </w:rPr>
        <w:t>organ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discriminatory</w:t>
      </w:r>
      <w:r w:rsidR="007B7640" w:rsidRPr="00CD59CC">
        <w:rPr>
          <w:rFonts w:ascii="Arial" w:hAnsi="Arial" w:cs="Arial"/>
        </w:rPr>
        <w:t xml:space="preserve"> </w:t>
      </w:r>
      <w:r w:rsidRPr="00CD59CC">
        <w:rPr>
          <w:rFonts w:ascii="Arial" w:hAnsi="Arial" w:cs="Arial"/>
        </w:rPr>
        <w:t>towards</w:t>
      </w:r>
      <w:r w:rsidR="007B7640" w:rsidRPr="00CD59CC">
        <w:rPr>
          <w:rFonts w:ascii="Arial" w:hAnsi="Arial" w:cs="Arial"/>
        </w:rPr>
        <w:t xml:space="preserve"> </w:t>
      </w:r>
      <w:r w:rsidRPr="00CD59CC">
        <w:rPr>
          <w:rFonts w:ascii="Arial" w:hAnsi="Arial" w:cs="Arial"/>
        </w:rPr>
        <w:t>highly</w:t>
      </w:r>
      <w:r w:rsidR="007B7640" w:rsidRPr="00CD59CC">
        <w:rPr>
          <w:rFonts w:ascii="Arial" w:hAnsi="Arial" w:cs="Arial"/>
        </w:rPr>
        <w:t xml:space="preserve"> </w:t>
      </w:r>
      <w:r w:rsidRPr="00CD59CC">
        <w:rPr>
          <w:rFonts w:ascii="Arial" w:hAnsi="Arial" w:cs="Arial"/>
        </w:rPr>
        <w:t>qualified,</w:t>
      </w:r>
      <w:r w:rsidR="007B7640" w:rsidRPr="00CD59CC">
        <w:rPr>
          <w:rFonts w:ascii="Arial" w:hAnsi="Arial" w:cs="Arial"/>
        </w:rPr>
        <w:t xml:space="preserve"> </w:t>
      </w:r>
      <w:r w:rsidRPr="00CD59CC">
        <w:rPr>
          <w:rFonts w:ascii="Arial" w:hAnsi="Arial" w:cs="Arial"/>
        </w:rPr>
        <w:t>middle-aged</w:t>
      </w:r>
      <w:r w:rsidR="007B7640" w:rsidRPr="00CD59CC">
        <w:rPr>
          <w:rFonts w:ascii="Arial" w:hAnsi="Arial" w:cs="Arial"/>
        </w:rPr>
        <w:t xml:space="preserve"> </w:t>
      </w:r>
      <w:r w:rsidRPr="00CD59CC">
        <w:rPr>
          <w:rFonts w:ascii="Arial" w:hAnsi="Arial" w:cs="Arial"/>
        </w:rPr>
        <w:t>employees.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circular</w:t>
      </w:r>
      <w:r w:rsidR="007B7640" w:rsidRPr="00CD59CC">
        <w:rPr>
          <w:rFonts w:ascii="Arial" w:hAnsi="Arial" w:cs="Arial"/>
        </w:rPr>
        <w:t xml:space="preserve"> </w:t>
      </w:r>
      <w:r w:rsidRPr="00CD59CC">
        <w:rPr>
          <w:rFonts w:ascii="Arial" w:hAnsi="Arial" w:cs="Arial"/>
        </w:rPr>
        <w:t>addressed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regional</w:t>
      </w:r>
      <w:r w:rsidR="007B7640" w:rsidRPr="00CD59CC">
        <w:rPr>
          <w:rFonts w:ascii="Arial" w:hAnsi="Arial" w:cs="Arial"/>
        </w:rPr>
        <w:t xml:space="preserve"> </w:t>
      </w:r>
      <w:r w:rsidRPr="00CD59CC">
        <w:rPr>
          <w:rFonts w:ascii="Arial" w:hAnsi="Arial" w:cs="Arial"/>
        </w:rPr>
        <w:t>offices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conditions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force</w:t>
      </w:r>
      <w:r w:rsidR="007B7640" w:rsidRPr="00CD59CC">
        <w:rPr>
          <w:rFonts w:ascii="Arial" w:hAnsi="Arial" w:cs="Arial"/>
        </w:rPr>
        <w:t xml:space="preserve"> </w:t>
      </w:r>
      <w:r w:rsidRPr="00CD59CC">
        <w:rPr>
          <w:rFonts w:ascii="Arial" w:hAnsi="Arial" w:cs="Arial"/>
        </w:rPr>
        <w:t>reduction,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central</w:t>
      </w:r>
      <w:r w:rsidR="007B7640" w:rsidRPr="00CD59CC">
        <w:rPr>
          <w:rFonts w:ascii="Arial" w:hAnsi="Arial" w:cs="Arial"/>
        </w:rPr>
        <w:t xml:space="preserve"> </w:t>
      </w:r>
      <w:r w:rsidRPr="00CD59CC">
        <w:rPr>
          <w:rFonts w:ascii="Arial" w:hAnsi="Arial" w:cs="Arial"/>
        </w:rPr>
        <w:t>organ</w:t>
      </w:r>
      <w:r w:rsidR="007B7640" w:rsidRPr="00CD59CC">
        <w:rPr>
          <w:rFonts w:ascii="Arial" w:hAnsi="Arial" w:cs="Arial"/>
        </w:rPr>
        <w:t xml:space="preserve"> </w:t>
      </w:r>
      <w:r w:rsidRPr="00CD59CC">
        <w:rPr>
          <w:rFonts w:ascii="Arial" w:hAnsi="Arial" w:cs="Arial"/>
        </w:rPr>
        <w:t>demanded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dismissed</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selected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average</w:t>
      </w:r>
      <w:r w:rsidR="007B7640" w:rsidRPr="00CD59CC">
        <w:rPr>
          <w:rFonts w:ascii="Arial" w:hAnsi="Arial" w:cs="Arial"/>
        </w:rPr>
        <w:t xml:space="preserve"> </w:t>
      </w:r>
      <w:r w:rsidRPr="00CD59CC">
        <w:rPr>
          <w:rFonts w:ascii="Arial" w:hAnsi="Arial" w:cs="Arial"/>
        </w:rPr>
        <w:t>budgetary</w:t>
      </w:r>
      <w:r w:rsidR="007B7640" w:rsidRPr="00CD59CC">
        <w:rPr>
          <w:rFonts w:ascii="Arial" w:hAnsi="Arial" w:cs="Arial"/>
        </w:rPr>
        <w:t xml:space="preserve"> </w:t>
      </w:r>
      <w:r w:rsidRPr="00CD59CC">
        <w:rPr>
          <w:rFonts w:ascii="Arial" w:hAnsi="Arial" w:cs="Arial"/>
        </w:rPr>
        <w:t>saving</w:t>
      </w:r>
      <w:r w:rsidR="007B7640" w:rsidRPr="00CD59CC">
        <w:rPr>
          <w:rFonts w:ascii="Arial" w:hAnsi="Arial" w:cs="Arial"/>
        </w:rPr>
        <w:t xml:space="preserve"> </w:t>
      </w:r>
      <w:r w:rsidRPr="00CD59CC">
        <w:rPr>
          <w:rFonts w:ascii="Arial" w:hAnsi="Arial" w:cs="Arial"/>
        </w:rPr>
        <w:t>per</w:t>
      </w:r>
      <w:r w:rsidR="007B7640" w:rsidRPr="00CD59CC">
        <w:rPr>
          <w:rFonts w:ascii="Arial" w:hAnsi="Arial" w:cs="Arial"/>
        </w:rPr>
        <w:t xml:space="preserve"> </w:t>
      </w:r>
      <w:r w:rsidRPr="00CD59CC">
        <w:rPr>
          <w:rFonts w:ascii="Arial" w:hAnsi="Arial" w:cs="Arial"/>
        </w:rPr>
        <w:t>dismissed</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reach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monetary</w:t>
      </w:r>
      <w:r w:rsidR="007B7640" w:rsidRPr="00CD59CC">
        <w:rPr>
          <w:rFonts w:ascii="Arial" w:hAnsi="Arial" w:cs="Arial"/>
        </w:rPr>
        <w:t xml:space="preserve"> </w:t>
      </w:r>
      <w:r w:rsidRPr="00CD59CC">
        <w:rPr>
          <w:rFonts w:ascii="Arial" w:hAnsi="Arial" w:cs="Arial"/>
        </w:rPr>
        <w:t>limit</w:t>
      </w:r>
      <w:r w:rsidR="007B7640" w:rsidRPr="00CD59CC">
        <w:rPr>
          <w:rFonts w:ascii="Arial" w:hAnsi="Arial" w:cs="Arial"/>
        </w:rPr>
        <w:t xml:space="preserve"> </w:t>
      </w:r>
      <w:r w:rsidRPr="00CD59CC">
        <w:rPr>
          <w:rFonts w:ascii="Arial" w:hAnsi="Arial" w:cs="Arial"/>
        </w:rPr>
        <w:t>(HUF</w:t>
      </w:r>
      <w:r w:rsidR="007B7640" w:rsidRPr="00CD59CC">
        <w:rPr>
          <w:rFonts w:ascii="Arial" w:hAnsi="Arial" w:cs="Arial"/>
        </w:rPr>
        <w:t xml:space="preserve"> </w:t>
      </w:r>
      <w:r w:rsidRPr="00CD59CC">
        <w:rPr>
          <w:rFonts w:ascii="Arial" w:hAnsi="Arial" w:cs="Arial"/>
        </w:rPr>
        <w:t>147,600</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EUR</w:t>
      </w:r>
      <w:r w:rsidR="007B7640" w:rsidRPr="00CD59CC">
        <w:rPr>
          <w:rFonts w:ascii="Arial" w:hAnsi="Arial" w:cs="Arial"/>
        </w:rPr>
        <w:t xml:space="preserve"> </w:t>
      </w:r>
      <w:r w:rsidR="00E44EED" w:rsidRPr="00CD59CC">
        <w:rPr>
          <w:rFonts w:ascii="Arial" w:hAnsi="Arial" w:cs="Arial"/>
        </w:rPr>
        <w:t>490</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per</w:t>
      </w:r>
      <w:r w:rsidR="007B7640" w:rsidRPr="00CD59CC">
        <w:rPr>
          <w:rFonts w:ascii="Arial" w:hAnsi="Arial" w:cs="Arial"/>
        </w:rPr>
        <w:t xml:space="preserve"> </w:t>
      </w:r>
      <w:r w:rsidRPr="00CD59CC">
        <w:rPr>
          <w:rFonts w:ascii="Arial" w:hAnsi="Arial" w:cs="Arial"/>
        </w:rPr>
        <w:t>month).</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complainants,</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determining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minimum</w:t>
      </w:r>
      <w:r w:rsidR="007B7640" w:rsidRPr="00CD59CC">
        <w:rPr>
          <w:rFonts w:ascii="Arial" w:hAnsi="Arial" w:cs="Arial"/>
        </w:rPr>
        <w:t xml:space="preserve"> </w:t>
      </w:r>
      <w:r w:rsidRPr="00CD59CC">
        <w:rPr>
          <w:rFonts w:ascii="Arial" w:hAnsi="Arial" w:cs="Arial"/>
        </w:rPr>
        <w:t>saving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achieved</w:t>
      </w:r>
      <w:r w:rsidR="007B7640" w:rsidRPr="00CD59CC">
        <w:rPr>
          <w:rFonts w:ascii="Arial" w:hAnsi="Arial" w:cs="Arial"/>
        </w:rPr>
        <w:t xml:space="preserve"> </w:t>
      </w:r>
      <w:r w:rsidRPr="00CD59CC">
        <w:rPr>
          <w:rFonts w:ascii="Arial" w:hAnsi="Arial" w:cs="Arial"/>
        </w:rPr>
        <w:t>per</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practically</w:t>
      </w:r>
      <w:r w:rsidR="007B7640" w:rsidRPr="00CD59CC">
        <w:rPr>
          <w:rFonts w:ascii="Arial" w:hAnsi="Arial" w:cs="Arial"/>
        </w:rPr>
        <w:t xml:space="preserve"> </w:t>
      </w:r>
      <w:r w:rsidRPr="00CD59CC">
        <w:rPr>
          <w:rFonts w:ascii="Arial" w:hAnsi="Arial" w:cs="Arial"/>
        </w:rPr>
        <w:t>restricted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circle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potentially</w:t>
      </w:r>
      <w:r w:rsidR="007B7640" w:rsidRPr="00CD59CC">
        <w:rPr>
          <w:rFonts w:ascii="Arial" w:hAnsi="Arial" w:cs="Arial"/>
        </w:rPr>
        <w:t xml:space="preserve"> </w:t>
      </w:r>
      <w:r w:rsidRPr="00CD59CC">
        <w:rPr>
          <w:rFonts w:ascii="Arial" w:hAnsi="Arial" w:cs="Arial"/>
        </w:rPr>
        <w:t>“dismissible”</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highly-qualified,</w:t>
      </w:r>
      <w:r w:rsidR="007B7640" w:rsidRPr="00CD59CC">
        <w:rPr>
          <w:rFonts w:ascii="Arial" w:hAnsi="Arial" w:cs="Arial"/>
        </w:rPr>
        <w:t xml:space="preserve"> </w:t>
      </w:r>
      <w:r w:rsidRPr="00CD59CC">
        <w:rPr>
          <w:rFonts w:ascii="Arial" w:hAnsi="Arial" w:cs="Arial"/>
        </w:rPr>
        <w:t>middle-aged</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servants'</w:t>
      </w:r>
      <w:r w:rsidR="007B7640" w:rsidRPr="00CD59CC">
        <w:rPr>
          <w:rFonts w:ascii="Arial" w:hAnsi="Arial" w:cs="Arial"/>
        </w:rPr>
        <w:t xml:space="preserve"> </w:t>
      </w:r>
      <w:r w:rsidRPr="00CD59CC">
        <w:rPr>
          <w:rFonts w:ascii="Arial" w:hAnsi="Arial" w:cs="Arial"/>
        </w:rPr>
        <w:t>salaries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determined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qualifications,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length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service,</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obviously</w:t>
      </w:r>
      <w:r w:rsidR="007B7640" w:rsidRPr="00CD59CC">
        <w:rPr>
          <w:rFonts w:ascii="Arial" w:hAnsi="Arial" w:cs="Arial"/>
        </w:rPr>
        <w:t xml:space="preserve"> </w:t>
      </w:r>
      <w:r w:rsidRPr="00CD59CC">
        <w:rPr>
          <w:rFonts w:ascii="Arial" w:hAnsi="Arial" w:cs="Arial"/>
        </w:rPr>
        <w:t>connected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age.)</w:t>
      </w:r>
    </w:p>
    <w:p w14:paraId="5C3276DF" w14:textId="77777777" w:rsidR="001B2C4C" w:rsidRPr="00CD59CC" w:rsidRDefault="001B2C4C" w:rsidP="00CD59CC">
      <w:pPr>
        <w:rPr>
          <w:rFonts w:ascii="Arial" w:hAnsi="Arial" w:cs="Arial"/>
        </w:rPr>
      </w:pPr>
    </w:p>
    <w:p w14:paraId="17073583" w14:textId="77777777" w:rsidR="001B2C4C" w:rsidRPr="00CD59CC" w:rsidRDefault="001B2C4C"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examined</w:t>
      </w:r>
      <w:r w:rsidR="007B7640" w:rsidRPr="00CD59CC">
        <w:rPr>
          <w:rFonts w:ascii="Arial" w:hAnsi="Arial" w:cs="Arial"/>
        </w:rPr>
        <w:t xml:space="preserve"> </w:t>
      </w:r>
      <w:r w:rsidRPr="00CD59CC">
        <w:rPr>
          <w:rFonts w:ascii="Arial" w:hAnsi="Arial" w:cs="Arial"/>
        </w:rPr>
        <w:t>whether</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each</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(qualification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answer</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negative</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issues.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Authority's</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since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circular</w:t>
      </w:r>
      <w:r w:rsidR="007B7640" w:rsidRPr="00CD59CC">
        <w:rPr>
          <w:rFonts w:ascii="Arial" w:hAnsi="Arial" w:cs="Arial"/>
        </w:rPr>
        <w:t xml:space="preserve"> </w:t>
      </w:r>
      <w:r w:rsidRPr="00CD59CC">
        <w:rPr>
          <w:rFonts w:ascii="Arial" w:hAnsi="Arial" w:cs="Arial"/>
        </w:rPr>
        <w:t>required</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i/>
        </w:rPr>
        <w:t>average</w:t>
      </w:r>
      <w:r w:rsidR="007B7640" w:rsidRPr="00CD59CC">
        <w:rPr>
          <w:rFonts w:ascii="Arial" w:hAnsi="Arial" w:cs="Arial"/>
        </w:rPr>
        <w:t xml:space="preserve"> </w:t>
      </w:r>
      <w:r w:rsidRPr="00CD59CC">
        <w:rPr>
          <w:rFonts w:ascii="Arial" w:hAnsi="Arial" w:cs="Arial"/>
        </w:rPr>
        <w:t>per</w:t>
      </w:r>
      <w:r w:rsidR="007B7640" w:rsidRPr="00CD59CC">
        <w:rPr>
          <w:rFonts w:ascii="Arial" w:hAnsi="Arial" w:cs="Arial"/>
        </w:rPr>
        <w:t xml:space="preserve"> </w:t>
      </w:r>
      <w:r w:rsidRPr="00CD59CC">
        <w:rPr>
          <w:rFonts w:ascii="Arial" w:hAnsi="Arial" w:cs="Arial"/>
        </w:rPr>
        <w:t>capita</w:t>
      </w:r>
      <w:r w:rsidR="007B7640" w:rsidRPr="00CD59CC">
        <w:rPr>
          <w:rFonts w:ascii="Arial" w:hAnsi="Arial" w:cs="Arial"/>
        </w:rPr>
        <w:t xml:space="preserve"> </w:t>
      </w:r>
      <w:r w:rsidRPr="00CD59CC">
        <w:rPr>
          <w:rFonts w:ascii="Arial" w:hAnsi="Arial" w:cs="Arial"/>
        </w:rPr>
        <w:t>saving,</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restrict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dismissed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whose</w:t>
      </w:r>
      <w:r w:rsidR="007B7640" w:rsidRPr="00CD59CC">
        <w:rPr>
          <w:rFonts w:ascii="Arial" w:hAnsi="Arial" w:cs="Arial"/>
        </w:rPr>
        <w:t xml:space="preserve"> </w:t>
      </w:r>
      <w:r w:rsidRPr="00CD59CC">
        <w:rPr>
          <w:rFonts w:ascii="Arial" w:hAnsi="Arial" w:cs="Arial"/>
        </w:rPr>
        <w:t>salary</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level.</w:t>
      </w:r>
      <w:r w:rsidR="007B7640" w:rsidRPr="00CD59CC">
        <w:rPr>
          <w:rFonts w:ascii="Arial" w:hAnsi="Arial" w:cs="Arial"/>
        </w:rPr>
        <w:t xml:space="preserve"> </w:t>
      </w:r>
    </w:p>
    <w:p w14:paraId="0A9C96AB" w14:textId="77777777" w:rsidR="001B2C4C" w:rsidRPr="00CD59CC" w:rsidRDefault="001B2C4C" w:rsidP="00CD59CC">
      <w:pPr>
        <w:rPr>
          <w:rFonts w:ascii="Arial" w:hAnsi="Arial" w:cs="Arial"/>
        </w:rPr>
      </w:pPr>
    </w:p>
    <w:p w14:paraId="344CDAD0" w14:textId="77777777" w:rsidR="001B2C4C" w:rsidRPr="00CD59CC" w:rsidRDefault="001B2C4C" w:rsidP="00CD59CC">
      <w:pPr>
        <w:rPr>
          <w:rFonts w:ascii="Arial" w:hAnsi="Arial" w:cs="Arial"/>
        </w:rPr>
      </w:pP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requested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statistical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distribution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servants</w:t>
      </w:r>
      <w:r w:rsidR="007B7640" w:rsidRPr="00CD59CC">
        <w:rPr>
          <w:rFonts w:ascii="Arial" w:hAnsi="Arial" w:cs="Arial"/>
        </w:rPr>
        <w:t xml:space="preserve"> </w:t>
      </w:r>
      <w:r w:rsidRPr="00CD59CC">
        <w:rPr>
          <w:rFonts w:ascii="Arial" w:hAnsi="Arial" w:cs="Arial"/>
        </w:rPr>
        <w:t>employed</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reduction,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distribution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dismissed</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servants.</w:t>
      </w:r>
      <w:r w:rsidR="007B7640" w:rsidRPr="00CD59CC">
        <w:rPr>
          <w:rFonts w:ascii="Arial" w:hAnsi="Arial" w:cs="Arial"/>
        </w:rPr>
        <w:t xml:space="preserve"> </w:t>
      </w:r>
      <w:r w:rsidRPr="00CD59CC">
        <w:rPr>
          <w:rFonts w:ascii="Arial" w:hAnsi="Arial" w:cs="Arial"/>
        </w:rPr>
        <w:t>Although</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dismissed</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servants</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older</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31,</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hold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indirect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place,</w:t>
      </w:r>
      <w:r w:rsidR="007B7640" w:rsidRPr="00CD59CC">
        <w:rPr>
          <w:rFonts w:ascii="Arial" w:hAnsi="Arial" w:cs="Arial"/>
        </w:rPr>
        <w:t xml:space="preserve"> </w:t>
      </w:r>
      <w:r w:rsidRPr="00CD59CC">
        <w:rPr>
          <w:rFonts w:ascii="Arial" w:hAnsi="Arial" w:cs="Arial"/>
        </w:rPr>
        <w:t>due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reduction,</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proportion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very</w:t>
      </w:r>
      <w:r w:rsidR="007B7640" w:rsidRPr="00CD59CC">
        <w:rPr>
          <w:rFonts w:ascii="Arial" w:hAnsi="Arial" w:cs="Arial"/>
        </w:rPr>
        <w:t xml:space="preserve"> </w:t>
      </w:r>
      <w:r w:rsidRPr="00CD59CC">
        <w:rPr>
          <w:rFonts w:ascii="Arial" w:hAnsi="Arial" w:cs="Arial"/>
        </w:rPr>
        <w:t>high</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force</w:t>
      </w:r>
      <w:r w:rsidR="007B7640" w:rsidRPr="00CD59CC">
        <w:rPr>
          <w:rFonts w:ascii="Arial" w:hAnsi="Arial" w:cs="Arial"/>
        </w:rPr>
        <w:t xml:space="preserve"> </w:t>
      </w:r>
      <w:r w:rsidRPr="00CD59CC">
        <w:rPr>
          <w:rFonts w:ascii="Arial" w:hAnsi="Arial" w:cs="Arial"/>
        </w:rPr>
        <w:t>(82.9</w:t>
      </w:r>
      <w:r w:rsidR="007B7640" w:rsidRPr="00CD59CC">
        <w:rPr>
          <w:rFonts w:ascii="Arial" w:hAnsi="Arial" w:cs="Arial"/>
        </w:rPr>
        <w:t xml:space="preserve"> </w:t>
      </w:r>
      <w:r w:rsidRPr="00CD59CC">
        <w:rPr>
          <w:rFonts w:ascii="Arial" w:hAnsi="Arial" w:cs="Arial"/>
        </w:rPr>
        <w:t>percent).</w:t>
      </w:r>
      <w:r w:rsidRPr="00CD59CC">
        <w:rPr>
          <w:rStyle w:val="Lbjegyzet-karakterek"/>
          <w:rFonts w:ascii="Arial" w:hAnsi="Arial" w:cs="Arial"/>
        </w:rPr>
        <w:footnoteReference w:id="37"/>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question</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raised</w:t>
      </w:r>
      <w:r w:rsidR="007B7640" w:rsidRPr="00CD59CC">
        <w:rPr>
          <w:rFonts w:ascii="Arial" w:hAnsi="Arial" w:cs="Arial"/>
        </w:rPr>
        <w:t xml:space="preserve"> </w:t>
      </w:r>
      <w:r w:rsidRPr="00CD59CC">
        <w:rPr>
          <w:rFonts w:ascii="Arial" w:hAnsi="Arial" w:cs="Arial"/>
        </w:rPr>
        <w:t>though</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what</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drew</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line</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p>
    <w:p w14:paraId="03733C5A" w14:textId="77777777" w:rsidR="001B2C4C" w:rsidRPr="00CD59CC" w:rsidRDefault="001B2C4C" w:rsidP="00CD59CC">
      <w:pPr>
        <w:rPr>
          <w:rFonts w:ascii="Arial" w:hAnsi="Arial" w:cs="Arial"/>
        </w:rPr>
      </w:pPr>
    </w:p>
    <w:p w14:paraId="76DEF38D" w14:textId="550191BD" w:rsidR="001B2C4C" w:rsidRPr="00CD59CC" w:rsidRDefault="001B2C4C"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Rimóc</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described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detail</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Annex</w:t>
      </w:r>
      <w:r w:rsidR="007B7640" w:rsidRPr="00CD59CC">
        <w:rPr>
          <w:rFonts w:ascii="Arial" w:hAnsi="Arial" w:cs="Arial"/>
        </w:rPr>
        <w:t xml:space="preserve"> </w:t>
      </w:r>
      <w:r w:rsidRPr="00CD59CC">
        <w:rPr>
          <w:rFonts w:ascii="Arial" w:hAnsi="Arial" w:cs="Arial"/>
        </w:rPr>
        <w:t>3,</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Helsinki</w:t>
      </w:r>
      <w:r w:rsidR="007B7640" w:rsidRPr="00CD59CC">
        <w:rPr>
          <w:rFonts w:ascii="Arial" w:hAnsi="Arial" w:cs="Arial"/>
        </w:rPr>
        <w:t xml:space="preserve"> </w:t>
      </w:r>
      <w:r w:rsidRPr="00CD59CC">
        <w:rPr>
          <w:rFonts w:ascii="Arial" w:hAnsi="Arial" w:cs="Arial"/>
        </w:rPr>
        <w:t>Committee</w:t>
      </w:r>
      <w:r w:rsidR="007B7640" w:rsidRPr="00CD59CC">
        <w:rPr>
          <w:rFonts w:ascii="Arial" w:hAnsi="Arial" w:cs="Arial"/>
        </w:rPr>
        <w:t xml:space="preserve"> </w:t>
      </w:r>
      <w:r w:rsidRPr="00CD59CC">
        <w:rPr>
          <w:rFonts w:ascii="Arial" w:hAnsi="Arial" w:cs="Arial"/>
        </w:rPr>
        <w:t>demonstrated</w:t>
      </w:r>
      <w:r w:rsidR="007B7640" w:rsidRPr="00CD59CC">
        <w:rPr>
          <w:rFonts w:ascii="Arial" w:hAnsi="Arial" w:cs="Arial"/>
        </w:rPr>
        <w:t xml:space="preserve"> </w:t>
      </w:r>
      <w:r w:rsidRPr="00CD59CC">
        <w:rPr>
          <w:rFonts w:ascii="Arial" w:hAnsi="Arial" w:cs="Arial"/>
        </w:rPr>
        <w:t>through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statistical</w:t>
      </w:r>
      <w:r w:rsidR="007B7640" w:rsidRPr="00CD59CC">
        <w:rPr>
          <w:rFonts w:ascii="Arial" w:hAnsi="Arial" w:cs="Arial"/>
        </w:rPr>
        <w:t xml:space="preserve"> </w:t>
      </w:r>
      <w:r w:rsidRPr="00CD59CC">
        <w:rPr>
          <w:rFonts w:ascii="Arial" w:hAnsi="Arial" w:cs="Arial"/>
        </w:rPr>
        <w:t>analysis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police</w:t>
      </w:r>
      <w:r w:rsidR="007B7640" w:rsidRPr="00CD59CC">
        <w:rPr>
          <w:rFonts w:ascii="Arial" w:hAnsi="Arial" w:cs="Arial"/>
        </w:rPr>
        <w:t xml:space="preserve"> </w:t>
      </w:r>
      <w:r w:rsidRPr="00CD59CC">
        <w:rPr>
          <w:rFonts w:ascii="Arial" w:hAnsi="Arial" w:cs="Arial"/>
        </w:rPr>
        <w:t>fines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whereas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lastRenderedPageBreak/>
        <w:t>amount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approximately</w:t>
      </w:r>
      <w:r w:rsidR="007B7640" w:rsidRPr="00CD59CC">
        <w:rPr>
          <w:rFonts w:ascii="Arial" w:hAnsi="Arial" w:cs="Arial"/>
        </w:rPr>
        <w:t xml:space="preserve"> </w:t>
      </w:r>
      <w:r w:rsidRPr="00CD59CC">
        <w:rPr>
          <w:rFonts w:ascii="Arial" w:hAnsi="Arial" w:cs="Arial"/>
        </w:rPr>
        <w:t>25%</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village’s</w:t>
      </w:r>
      <w:r w:rsidR="007B7640" w:rsidRPr="00CD59CC">
        <w:rPr>
          <w:rFonts w:ascii="Arial" w:hAnsi="Arial" w:cs="Arial"/>
        </w:rPr>
        <w:t xml:space="preserve"> </w:t>
      </w:r>
      <w:r w:rsidRPr="00CD59CC">
        <w:rPr>
          <w:rFonts w:ascii="Arial" w:hAnsi="Arial" w:cs="Arial"/>
        </w:rPr>
        <w:t>population,</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36</w:t>
      </w:r>
      <w:r w:rsidR="007B7640" w:rsidRPr="00CD59CC">
        <w:rPr>
          <w:rFonts w:ascii="Arial" w:hAnsi="Arial" w:cs="Arial"/>
        </w:rPr>
        <w:t xml:space="preserve"> </w:t>
      </w:r>
      <w:r w:rsidRPr="00CD59CC">
        <w:rPr>
          <w:rFonts w:ascii="Arial" w:hAnsi="Arial" w:cs="Arial"/>
        </w:rPr>
        <w:t>fines</w:t>
      </w:r>
      <w:r w:rsidR="007B7640" w:rsidRPr="00CD59CC">
        <w:rPr>
          <w:rFonts w:ascii="Arial" w:hAnsi="Arial" w:cs="Arial"/>
        </w:rPr>
        <w:t xml:space="preserve"> </w:t>
      </w:r>
      <w:r w:rsidRPr="00CD59CC">
        <w:rPr>
          <w:rFonts w:ascii="Arial" w:hAnsi="Arial" w:cs="Arial"/>
        </w:rPr>
        <w:t>imposed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lack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bicycle</w:t>
      </w:r>
      <w:r w:rsidR="007B7640" w:rsidRPr="00CD59CC">
        <w:rPr>
          <w:rFonts w:ascii="Arial" w:hAnsi="Arial" w:cs="Arial"/>
        </w:rPr>
        <w:t xml:space="preserve"> </w:t>
      </w:r>
      <w:r w:rsidRPr="00CD59CC">
        <w:rPr>
          <w:rFonts w:ascii="Arial" w:hAnsi="Arial" w:cs="Arial"/>
        </w:rPr>
        <w:t>accessories,</w:t>
      </w:r>
      <w:r w:rsidR="007B7640" w:rsidRPr="00CD59CC">
        <w:rPr>
          <w:rFonts w:ascii="Arial" w:hAnsi="Arial" w:cs="Arial"/>
        </w:rPr>
        <w:t xml:space="preserve"> </w:t>
      </w:r>
      <w:r w:rsidRPr="00CD59CC">
        <w:rPr>
          <w:rFonts w:ascii="Arial" w:hAnsi="Arial" w:cs="Arial"/>
        </w:rPr>
        <w:t>35</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imposed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name,</w:t>
      </w:r>
      <w:r w:rsidR="007B7640" w:rsidRPr="00CD59CC">
        <w:rPr>
          <w:rFonts w:ascii="Arial" w:hAnsi="Arial" w:cs="Arial"/>
        </w:rPr>
        <w:t xml:space="preserve"> </w:t>
      </w:r>
      <w:r w:rsidRPr="00CD59CC">
        <w:rPr>
          <w:rFonts w:ascii="Arial" w:hAnsi="Arial" w:cs="Arial"/>
        </w:rPr>
        <w:t>mother’s</w:t>
      </w:r>
      <w:r w:rsidR="007B7640" w:rsidRPr="00CD59CC">
        <w:rPr>
          <w:rFonts w:ascii="Arial" w:hAnsi="Arial" w:cs="Arial"/>
        </w:rPr>
        <w:t xml:space="preserve"> </w:t>
      </w:r>
      <w:r w:rsidRPr="00CD59CC">
        <w:rPr>
          <w:rFonts w:ascii="Arial" w:hAnsi="Arial" w:cs="Arial"/>
        </w:rPr>
        <w:t>name,</w:t>
      </w:r>
      <w:r w:rsidR="007B7640" w:rsidRPr="00CD59CC">
        <w:rPr>
          <w:rFonts w:ascii="Arial" w:hAnsi="Arial" w:cs="Arial"/>
        </w:rPr>
        <w:t xml:space="preserve"> </w:t>
      </w:r>
      <w:r w:rsidRPr="00CD59CC">
        <w:rPr>
          <w:rFonts w:ascii="Arial" w:hAnsi="Arial" w:cs="Arial"/>
        </w:rPr>
        <w:t>address)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likely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organisation</w:t>
      </w:r>
      <w:r w:rsidR="007B7640" w:rsidRPr="00CD59CC">
        <w:rPr>
          <w:rFonts w:ascii="Arial" w:hAnsi="Arial" w:cs="Arial"/>
        </w:rPr>
        <w:t xml:space="preserve"> </w:t>
      </w:r>
      <w:r w:rsidRPr="00CD59CC">
        <w:rPr>
          <w:rFonts w:ascii="Arial" w:hAnsi="Arial" w:cs="Arial"/>
        </w:rPr>
        <w:t>managed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substantiate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police</w:t>
      </w:r>
      <w:r w:rsidR="007B7640" w:rsidRPr="00CD59CC">
        <w:rPr>
          <w:rFonts w:ascii="Arial" w:hAnsi="Arial" w:cs="Arial"/>
        </w:rPr>
        <w:t xml:space="preserve"> </w:t>
      </w:r>
      <w:r w:rsidRPr="00CD59CC">
        <w:rPr>
          <w:rFonts w:ascii="Arial" w:hAnsi="Arial" w:cs="Arial"/>
        </w:rPr>
        <w:t>practice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imposing</w:t>
      </w:r>
      <w:r w:rsidR="007B7640" w:rsidRPr="00CD59CC">
        <w:rPr>
          <w:rFonts w:ascii="Arial" w:hAnsi="Arial" w:cs="Arial"/>
        </w:rPr>
        <w:t xml:space="preserve"> </w:t>
      </w:r>
      <w:r w:rsidRPr="00CD59CC">
        <w:rPr>
          <w:rFonts w:ascii="Arial" w:hAnsi="Arial" w:cs="Arial"/>
        </w:rPr>
        <w:t>fines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ethnically</w:t>
      </w:r>
      <w:r w:rsidR="007B7640" w:rsidRPr="00CD59CC">
        <w:rPr>
          <w:rFonts w:ascii="Arial" w:hAnsi="Arial" w:cs="Arial"/>
        </w:rPr>
        <w:t xml:space="preserve"> </w:t>
      </w:r>
      <w:r w:rsidRPr="00CD59CC">
        <w:rPr>
          <w:rFonts w:ascii="Arial" w:hAnsi="Arial" w:cs="Arial"/>
        </w:rPr>
        <w:t>disproportionate.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ended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friendly</w:t>
      </w:r>
      <w:r w:rsidR="007B7640" w:rsidRPr="00CD59CC">
        <w:rPr>
          <w:rFonts w:ascii="Arial" w:hAnsi="Arial" w:cs="Arial"/>
        </w:rPr>
        <w:t xml:space="preserve"> </w:t>
      </w:r>
      <w:r w:rsidRPr="00CD59CC">
        <w:rPr>
          <w:rFonts w:ascii="Arial" w:hAnsi="Arial" w:cs="Arial"/>
        </w:rPr>
        <w:t>settlement,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framework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police</w:t>
      </w:r>
      <w:r w:rsidR="007B7640" w:rsidRPr="00CD59CC">
        <w:rPr>
          <w:rFonts w:ascii="Arial" w:hAnsi="Arial" w:cs="Arial"/>
        </w:rPr>
        <w:t xml:space="preserve"> </w:t>
      </w:r>
      <w:r w:rsidRPr="00CD59CC">
        <w:rPr>
          <w:rFonts w:ascii="Arial" w:hAnsi="Arial" w:cs="Arial"/>
        </w:rPr>
        <w:t>agreed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delegate</w:t>
      </w:r>
      <w:r w:rsidR="007B7640" w:rsidRPr="00CD59CC">
        <w:rPr>
          <w:rFonts w:ascii="Arial" w:hAnsi="Arial" w:cs="Arial"/>
        </w:rPr>
        <w:t xml:space="preserve"> </w:t>
      </w:r>
      <w:r w:rsidRPr="00CD59CC">
        <w:rPr>
          <w:rFonts w:ascii="Arial" w:hAnsi="Arial" w:cs="Arial"/>
        </w:rPr>
        <w:t>officers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non-discrimination</w:t>
      </w:r>
      <w:r w:rsidR="007B7640" w:rsidRPr="00CD59CC">
        <w:rPr>
          <w:rFonts w:ascii="Arial" w:hAnsi="Arial" w:cs="Arial"/>
        </w:rPr>
        <w:t xml:space="preserve"> </w:t>
      </w:r>
      <w:r w:rsidRPr="00CD59CC">
        <w:rPr>
          <w:rFonts w:ascii="Arial" w:hAnsi="Arial" w:cs="Arial"/>
        </w:rPr>
        <w:t>trainings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providing</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fines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more</w:t>
      </w:r>
      <w:r w:rsidR="007B7640" w:rsidRPr="00CD59CC">
        <w:rPr>
          <w:rFonts w:ascii="Arial" w:hAnsi="Arial" w:cs="Arial"/>
        </w:rPr>
        <w:t xml:space="preserve"> </w:t>
      </w:r>
      <w:r w:rsidRPr="00CD59CC">
        <w:rPr>
          <w:rFonts w:ascii="Arial" w:hAnsi="Arial" w:cs="Arial"/>
        </w:rPr>
        <w:t>years.</w:t>
      </w:r>
      <w:r w:rsidR="007B7640" w:rsidRPr="00CD59CC">
        <w:rPr>
          <w:rFonts w:ascii="Arial" w:hAnsi="Arial" w:cs="Arial"/>
        </w:rPr>
        <w:t xml:space="preserve"> </w:t>
      </w:r>
    </w:p>
    <w:p w14:paraId="62326487" w14:textId="77777777" w:rsidR="001B2C4C" w:rsidRPr="00CD59CC" w:rsidRDefault="001B2C4C" w:rsidP="00CD59CC">
      <w:pPr>
        <w:rPr>
          <w:rFonts w:ascii="Arial" w:hAnsi="Arial" w:cs="Arial"/>
        </w:rPr>
      </w:pPr>
    </w:p>
    <w:p w14:paraId="42477612" w14:textId="77777777" w:rsidR="001B2C4C" w:rsidRPr="00CD59CC" w:rsidRDefault="001B2C4C"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actio</w:t>
      </w:r>
      <w:r w:rsidR="007B7640" w:rsidRPr="00CD59CC">
        <w:rPr>
          <w:rFonts w:ascii="Arial" w:hAnsi="Arial" w:cs="Arial"/>
        </w:rPr>
        <w:t xml:space="preserve"> </w:t>
      </w:r>
      <w:r w:rsidRPr="00CD59CC">
        <w:rPr>
          <w:rFonts w:ascii="Arial" w:hAnsi="Arial" w:cs="Arial"/>
        </w:rPr>
        <w:t>popularis</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initiated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Chance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Foundation</w:t>
      </w:r>
      <w:r w:rsidR="007B7640" w:rsidRPr="00CD59CC">
        <w:rPr>
          <w:rFonts w:ascii="Arial" w:hAnsi="Arial" w:cs="Arial"/>
        </w:rPr>
        <w:t xml:space="preserve"> </w:t>
      </w:r>
      <w:r w:rsidRPr="00CD59CC">
        <w:rPr>
          <w:rFonts w:ascii="Arial" w:hAnsi="Arial" w:cs="Arial"/>
        </w:rPr>
        <w:t>(CFCF),</w:t>
      </w:r>
      <w:r w:rsidR="007B7640" w:rsidRPr="00CD59CC">
        <w:rPr>
          <w:rFonts w:ascii="Arial" w:hAnsi="Arial" w:cs="Arial"/>
        </w:rPr>
        <w:t xml:space="preserve"> </w:t>
      </w:r>
      <w:r w:rsidRPr="00CD59CC">
        <w:rPr>
          <w:rFonts w:ascii="Arial" w:hAnsi="Arial" w:cs="Arial"/>
        </w:rPr>
        <w:t>statistical</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again</w:t>
      </w:r>
      <w:r w:rsidR="007B7640" w:rsidRPr="00CD59CC">
        <w:rPr>
          <w:rFonts w:ascii="Arial" w:hAnsi="Arial" w:cs="Arial"/>
        </w:rPr>
        <w:t xml:space="preserve"> </w:t>
      </w:r>
      <w:r w:rsidRPr="00CD59CC">
        <w:rPr>
          <w:rFonts w:ascii="Arial" w:hAnsi="Arial" w:cs="Arial"/>
        </w:rPr>
        <w:t>used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accepted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prove</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CFCF</w:t>
      </w:r>
      <w:r w:rsidR="007B7640" w:rsidRPr="00CD59CC">
        <w:rPr>
          <w:rFonts w:ascii="Arial" w:hAnsi="Arial" w:cs="Arial"/>
        </w:rPr>
        <w:t xml:space="preserve"> </w:t>
      </w:r>
      <w:r w:rsidRPr="00CD59CC">
        <w:rPr>
          <w:rFonts w:ascii="Arial" w:hAnsi="Arial" w:cs="Arial"/>
        </w:rPr>
        <w:t>launched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claim</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council</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Hajdúhadház</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elementary</w:t>
      </w:r>
      <w:r w:rsidR="007B7640" w:rsidRPr="00CD59CC">
        <w:rPr>
          <w:rFonts w:ascii="Arial" w:hAnsi="Arial" w:cs="Arial"/>
        </w:rPr>
        <w:t xml:space="preserve"> </w:t>
      </w:r>
      <w:r w:rsidRPr="00CD59CC">
        <w:rPr>
          <w:rFonts w:ascii="Arial" w:hAnsi="Arial" w:cs="Arial"/>
        </w:rPr>
        <w:t>schools</w:t>
      </w:r>
      <w:r w:rsidR="007B7640" w:rsidRPr="00CD59CC">
        <w:rPr>
          <w:rFonts w:ascii="Arial" w:hAnsi="Arial" w:cs="Arial"/>
        </w:rPr>
        <w:t xml:space="preserve"> </w:t>
      </w:r>
      <w:r w:rsidRPr="00CD59CC">
        <w:rPr>
          <w:rFonts w:ascii="Arial" w:hAnsi="Arial" w:cs="Arial"/>
        </w:rPr>
        <w:t>providing</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city</w:t>
      </w:r>
      <w:r w:rsidR="007B7640" w:rsidRPr="00CD59CC">
        <w:rPr>
          <w:rFonts w:ascii="Arial" w:hAnsi="Arial" w:cs="Arial"/>
        </w:rPr>
        <w:t xml:space="preserve"> </w:t>
      </w:r>
      <w:r w:rsidRPr="00CD59CC">
        <w:rPr>
          <w:rFonts w:ascii="Arial" w:hAnsi="Arial" w:cs="Arial"/>
        </w:rPr>
        <w:t>claiming</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schools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three</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central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supplementary</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schools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proportion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educated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central</w:t>
      </w:r>
      <w:r w:rsidR="007B7640" w:rsidRPr="00CD59CC">
        <w:rPr>
          <w:rFonts w:ascii="Arial" w:hAnsi="Arial" w:cs="Arial"/>
        </w:rPr>
        <w:t xml:space="preserve"> </w:t>
      </w:r>
      <w:r w:rsidRPr="00CD59CC">
        <w:rPr>
          <w:rFonts w:ascii="Arial" w:hAnsi="Arial" w:cs="Arial"/>
        </w:rPr>
        <w:t>building</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relatively</w:t>
      </w:r>
      <w:r w:rsidR="007B7640" w:rsidRPr="00CD59CC">
        <w:rPr>
          <w:rFonts w:ascii="Arial" w:hAnsi="Arial" w:cs="Arial"/>
        </w:rPr>
        <w:t xml:space="preserve"> </w:t>
      </w:r>
      <w:r w:rsidRPr="00CD59CC">
        <w:rPr>
          <w:rFonts w:ascii="Arial" w:hAnsi="Arial" w:cs="Arial"/>
        </w:rPr>
        <w:t>low</w:t>
      </w:r>
      <w:r w:rsidR="007B7640" w:rsidRPr="00CD59CC">
        <w:rPr>
          <w:rFonts w:ascii="Arial" w:hAnsi="Arial" w:cs="Arial"/>
        </w:rPr>
        <w:t xml:space="preserve"> </w:t>
      </w:r>
      <w:r w:rsidRPr="00CD59CC">
        <w:rPr>
          <w:rFonts w:ascii="Arial" w:hAnsi="Arial" w:cs="Arial"/>
        </w:rPr>
        <w:t>(28</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22</w:t>
      </w:r>
      <w:r w:rsidR="007B7640" w:rsidRPr="00CD59CC">
        <w:rPr>
          <w:rFonts w:ascii="Arial" w:hAnsi="Arial" w:cs="Arial"/>
        </w:rPr>
        <w:t xml:space="preserve"> </w:t>
      </w:r>
      <w:r w:rsidRPr="00CD59CC">
        <w:rPr>
          <w:rFonts w:ascii="Arial" w:hAnsi="Arial" w:cs="Arial"/>
        </w:rPr>
        <w:t>percent</w:t>
      </w:r>
      <w:r w:rsidR="007B7640" w:rsidRPr="00CD59CC">
        <w:rPr>
          <w:rFonts w:ascii="Arial" w:hAnsi="Arial" w:cs="Arial"/>
        </w:rPr>
        <w:t xml:space="preserve"> </w:t>
      </w:r>
      <w:r w:rsidRPr="00CD59CC">
        <w:rPr>
          <w:rFonts w:ascii="Arial" w:hAnsi="Arial" w:cs="Arial"/>
        </w:rPr>
        <w:t>respectively),</w:t>
      </w:r>
      <w:r w:rsidR="007B7640" w:rsidRPr="00CD59CC">
        <w:rPr>
          <w:rFonts w:ascii="Arial" w:hAnsi="Arial" w:cs="Arial"/>
        </w:rPr>
        <w:t xml:space="preserve"> </w:t>
      </w:r>
      <w:r w:rsidRPr="00CD59CC">
        <w:rPr>
          <w:rFonts w:ascii="Arial" w:hAnsi="Arial" w:cs="Arial"/>
        </w:rPr>
        <w:t>whereas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supplementary</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proportion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very</w:t>
      </w:r>
      <w:r w:rsidR="007B7640" w:rsidRPr="00CD59CC">
        <w:rPr>
          <w:rFonts w:ascii="Arial" w:hAnsi="Arial" w:cs="Arial"/>
        </w:rPr>
        <w:t xml:space="preserve"> </w:t>
      </w:r>
      <w:r w:rsidRPr="00CD59CC">
        <w:rPr>
          <w:rFonts w:ascii="Arial" w:hAnsi="Arial" w:cs="Arial"/>
        </w:rPr>
        <w:t>high</w:t>
      </w:r>
      <w:r w:rsidR="007B7640" w:rsidRPr="00CD59CC">
        <w:rPr>
          <w:rFonts w:ascii="Arial" w:hAnsi="Arial" w:cs="Arial"/>
        </w:rPr>
        <w:t xml:space="preserve"> </w:t>
      </w:r>
      <w:r w:rsidRPr="00CD59CC">
        <w:rPr>
          <w:rFonts w:ascii="Arial" w:hAnsi="Arial" w:cs="Arial"/>
        </w:rPr>
        <w:t>(86</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96</w:t>
      </w:r>
      <w:r w:rsidR="007B7640" w:rsidRPr="00CD59CC">
        <w:rPr>
          <w:rFonts w:ascii="Arial" w:hAnsi="Arial" w:cs="Arial"/>
        </w:rPr>
        <w:t xml:space="preserve"> </w:t>
      </w:r>
      <w:r w:rsidRPr="00CD59CC">
        <w:rPr>
          <w:rFonts w:ascii="Arial" w:hAnsi="Arial" w:cs="Arial"/>
        </w:rPr>
        <w:t>percent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school,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100</w:t>
      </w:r>
      <w:r w:rsidR="007B7640" w:rsidRPr="00CD59CC">
        <w:rPr>
          <w:rFonts w:ascii="Arial" w:hAnsi="Arial" w:cs="Arial"/>
        </w:rPr>
        <w:t xml:space="preserve"> </w:t>
      </w:r>
      <w:r w:rsidRPr="00CD59CC">
        <w:rPr>
          <w:rFonts w:ascii="Arial" w:hAnsi="Arial" w:cs="Arial"/>
        </w:rPr>
        <w:t>percent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p>
    <w:p w14:paraId="4A896103" w14:textId="77777777" w:rsidR="001B2C4C" w:rsidRPr="00CD59CC" w:rsidRDefault="001B2C4C" w:rsidP="00CD59CC">
      <w:pPr>
        <w:rPr>
          <w:rFonts w:ascii="Arial" w:hAnsi="Arial" w:cs="Arial"/>
        </w:rPr>
      </w:pPr>
    </w:p>
    <w:p w14:paraId="135B8D14" w14:textId="77777777" w:rsidR="001B2C4C" w:rsidRPr="00CD59CC" w:rsidRDefault="001B2C4C"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schools,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central</w:t>
      </w:r>
      <w:r w:rsidR="007B7640" w:rsidRPr="00CD59CC">
        <w:rPr>
          <w:rFonts w:ascii="Arial" w:hAnsi="Arial" w:cs="Arial"/>
        </w:rPr>
        <w:t xml:space="preserve"> </w:t>
      </w:r>
      <w:r w:rsidRPr="00CD59CC">
        <w:rPr>
          <w:rFonts w:ascii="Arial" w:hAnsi="Arial" w:cs="Arial"/>
        </w:rPr>
        <w:t>building</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much</w:t>
      </w:r>
      <w:r w:rsidR="007B7640" w:rsidRPr="00CD59CC">
        <w:rPr>
          <w:rFonts w:ascii="Arial" w:hAnsi="Arial" w:cs="Arial"/>
        </w:rPr>
        <w:t xml:space="preserve"> </w:t>
      </w:r>
      <w:r w:rsidRPr="00CD59CC">
        <w:rPr>
          <w:rFonts w:ascii="Arial" w:hAnsi="Arial" w:cs="Arial"/>
        </w:rPr>
        <w:t>more</w:t>
      </w:r>
      <w:r w:rsidR="007B7640" w:rsidRPr="00CD59CC">
        <w:rPr>
          <w:rFonts w:ascii="Arial" w:hAnsi="Arial" w:cs="Arial"/>
        </w:rPr>
        <w:t xml:space="preserve"> </w:t>
      </w:r>
      <w:r w:rsidRPr="00CD59CC">
        <w:rPr>
          <w:rFonts w:ascii="Arial" w:hAnsi="Arial" w:cs="Arial"/>
        </w:rPr>
        <w:t>well-equipped</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supplementary</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gymnasium,</w:t>
      </w:r>
      <w:r w:rsidR="007B7640" w:rsidRPr="00CD59CC">
        <w:rPr>
          <w:rFonts w:ascii="Arial" w:hAnsi="Arial" w:cs="Arial"/>
        </w:rPr>
        <w:t xml:space="preserve"> </w:t>
      </w:r>
      <w:r w:rsidRPr="00CD59CC">
        <w:rPr>
          <w:rFonts w:ascii="Arial" w:hAnsi="Arial" w:cs="Arial"/>
        </w:rPr>
        <w:t>library,</w:t>
      </w:r>
      <w:r w:rsidR="007B7640" w:rsidRPr="00CD59CC">
        <w:rPr>
          <w:rFonts w:ascii="Arial" w:hAnsi="Arial" w:cs="Arial"/>
        </w:rPr>
        <w:t xml:space="preserve"> </w:t>
      </w:r>
      <w:r w:rsidRPr="00CD59CC">
        <w:rPr>
          <w:rFonts w:ascii="Arial" w:hAnsi="Arial" w:cs="Arial"/>
        </w:rPr>
        <w:t>computers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specialised</w:t>
      </w:r>
      <w:r w:rsidR="007B7640" w:rsidRPr="00CD59CC">
        <w:rPr>
          <w:rFonts w:ascii="Arial" w:hAnsi="Arial" w:cs="Arial"/>
        </w:rPr>
        <w:t xml:space="preserve"> </w:t>
      </w:r>
      <w:r w:rsidRPr="00CD59CC">
        <w:rPr>
          <w:rFonts w:ascii="Arial" w:hAnsi="Arial" w:cs="Arial"/>
        </w:rPr>
        <w:t>class</w:t>
      </w:r>
      <w:r w:rsidR="007B7640" w:rsidRPr="00CD59CC">
        <w:rPr>
          <w:rFonts w:ascii="Arial" w:hAnsi="Arial" w:cs="Arial"/>
        </w:rPr>
        <w:t xml:space="preserve"> </w:t>
      </w:r>
      <w:r w:rsidRPr="00CD59CC">
        <w:rPr>
          <w:rFonts w:ascii="Arial" w:hAnsi="Arial" w:cs="Arial"/>
        </w:rPr>
        <w:t>rooms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found.</w:t>
      </w:r>
      <w:r w:rsidR="007B7640" w:rsidRPr="00CD59CC">
        <w:rPr>
          <w:rFonts w:ascii="Arial" w:hAnsi="Arial" w:cs="Arial"/>
        </w:rPr>
        <w:t xml:space="preserve"> </w:t>
      </w:r>
    </w:p>
    <w:p w14:paraId="3A3FFBB4" w14:textId="77777777" w:rsidR="001B2C4C" w:rsidRPr="00CD59CC" w:rsidRDefault="001B2C4C" w:rsidP="00CD59CC">
      <w:pPr>
        <w:rPr>
          <w:rFonts w:ascii="Arial" w:hAnsi="Arial" w:cs="Arial"/>
        </w:rPr>
      </w:pPr>
    </w:p>
    <w:p w14:paraId="43A7EE26" w14:textId="77777777" w:rsidR="001B2C4C" w:rsidRPr="00CD59CC" w:rsidRDefault="001B2C4C"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proportions</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appointed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upon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plaintiff's</w:t>
      </w:r>
      <w:r w:rsidR="007B7640" w:rsidRPr="00CD59CC">
        <w:rPr>
          <w:rFonts w:ascii="Arial" w:hAnsi="Arial" w:cs="Arial"/>
        </w:rPr>
        <w:t xml:space="preserve"> </w:t>
      </w:r>
      <w:r w:rsidRPr="00CD59CC">
        <w:rPr>
          <w:rFonts w:ascii="Arial" w:hAnsi="Arial" w:cs="Arial"/>
        </w:rPr>
        <w:t>motion.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gave</w:t>
      </w:r>
      <w:r w:rsidR="007B7640" w:rsidRPr="00CD59CC">
        <w:rPr>
          <w:rFonts w:ascii="Arial" w:hAnsi="Arial" w:cs="Arial"/>
        </w:rPr>
        <w:t xml:space="preserve"> </w:t>
      </w:r>
      <w:r w:rsidRPr="00CD59CC">
        <w:rPr>
          <w:rFonts w:ascii="Arial" w:hAnsi="Arial" w:cs="Arial"/>
        </w:rPr>
        <w:t>detailed</w:t>
      </w:r>
      <w:r w:rsidR="007B7640" w:rsidRPr="00CD59CC">
        <w:rPr>
          <w:rFonts w:ascii="Arial" w:hAnsi="Arial" w:cs="Arial"/>
        </w:rPr>
        <w:t xml:space="preserve"> </w:t>
      </w:r>
      <w:r w:rsidRPr="00CD59CC">
        <w:rPr>
          <w:rFonts w:ascii="Arial" w:hAnsi="Arial" w:cs="Arial"/>
        </w:rPr>
        <w:t>instructions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how</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carry</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task.</w:t>
      </w:r>
      <w:r w:rsidR="007B7640" w:rsidRPr="00CD59CC">
        <w:rPr>
          <w:rFonts w:ascii="Arial" w:hAnsi="Arial" w:cs="Arial"/>
        </w:rPr>
        <w:t xml:space="preserve"> </w:t>
      </w:r>
    </w:p>
    <w:p w14:paraId="1C6805C4" w14:textId="77777777" w:rsidR="001B2C4C" w:rsidRPr="00CD59CC" w:rsidRDefault="001B2C4C" w:rsidP="00CD59CC">
      <w:pPr>
        <w:rPr>
          <w:rFonts w:ascii="Arial" w:hAnsi="Arial" w:cs="Arial"/>
        </w:rPr>
      </w:pPr>
    </w:p>
    <w:p w14:paraId="5DB20180" w14:textId="77777777" w:rsidR="001B2C4C" w:rsidRPr="00CD59CC" w:rsidRDefault="001B2C4C"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ordered</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others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should</w:t>
      </w:r>
      <w:r w:rsidR="007B7640" w:rsidRPr="00CD59CC">
        <w:rPr>
          <w:rFonts w:ascii="Arial" w:hAnsi="Arial" w:cs="Arial"/>
        </w:rPr>
        <w:t xml:space="preserve"> </w:t>
      </w:r>
      <w:r w:rsidRPr="00CD59CC">
        <w:rPr>
          <w:rFonts w:ascii="Arial" w:hAnsi="Arial" w:cs="Arial"/>
        </w:rPr>
        <w:t>(i)</w:t>
      </w:r>
      <w:r w:rsidR="007B7640" w:rsidRPr="00CD59CC">
        <w:rPr>
          <w:rFonts w:ascii="Arial" w:hAnsi="Arial" w:cs="Arial"/>
        </w:rPr>
        <w:t xml:space="preserve"> </w:t>
      </w:r>
      <w:r w:rsidRPr="00CD59CC">
        <w:rPr>
          <w:rFonts w:ascii="Arial" w:hAnsi="Arial" w:cs="Arial"/>
        </w:rPr>
        <w:t>involve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self-government;</w:t>
      </w:r>
      <w:r w:rsidR="007B7640" w:rsidRPr="00CD59CC">
        <w:rPr>
          <w:rFonts w:ascii="Arial" w:hAnsi="Arial" w:cs="Arial"/>
        </w:rPr>
        <w:t xml:space="preserve"> </w:t>
      </w:r>
      <w:r w:rsidRPr="00CD59CC">
        <w:rPr>
          <w:rFonts w:ascii="Arial" w:hAnsi="Arial" w:cs="Arial"/>
        </w:rPr>
        <w:t>(ii)</w:t>
      </w:r>
      <w:r w:rsidR="007B7640" w:rsidRPr="00CD59CC">
        <w:rPr>
          <w:rFonts w:ascii="Arial" w:hAnsi="Arial" w:cs="Arial"/>
        </w:rPr>
        <w:t xml:space="preserve"> </w:t>
      </w:r>
      <w:r w:rsidRPr="00CD59CC">
        <w:rPr>
          <w:rFonts w:ascii="Arial" w:hAnsi="Arial" w:cs="Arial"/>
        </w:rPr>
        <w:t>personally</w:t>
      </w:r>
      <w:r w:rsidR="007B7640" w:rsidRPr="00CD59CC">
        <w:rPr>
          <w:rFonts w:ascii="Arial" w:hAnsi="Arial" w:cs="Arial"/>
        </w:rPr>
        <w:t xml:space="preserve"> </w:t>
      </w:r>
      <w:r w:rsidRPr="00CD59CC">
        <w:rPr>
          <w:rFonts w:ascii="Arial" w:hAnsi="Arial" w:cs="Arial"/>
        </w:rPr>
        <w:t>visit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schools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(iii)</w:t>
      </w:r>
      <w:r w:rsidR="007B7640" w:rsidRPr="00CD59CC">
        <w:rPr>
          <w:rFonts w:ascii="Arial" w:hAnsi="Arial" w:cs="Arial"/>
        </w:rPr>
        <w:t xml:space="preserve"> </w:t>
      </w:r>
      <w:r w:rsidRPr="00CD59CC">
        <w:rPr>
          <w:rFonts w:ascii="Arial" w:hAnsi="Arial" w:cs="Arial"/>
        </w:rPr>
        <w:t>obtain</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available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schools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self-government</w:t>
      </w:r>
      <w:r w:rsidR="007B7640" w:rsidRPr="00CD59CC">
        <w:rPr>
          <w:rFonts w:ascii="Arial" w:hAnsi="Arial" w:cs="Arial"/>
        </w:rPr>
        <w:t xml:space="preserve"> </w:t>
      </w:r>
      <w:r w:rsidRPr="00CD59CC">
        <w:rPr>
          <w:rFonts w:ascii="Arial" w:hAnsi="Arial" w:cs="Arial"/>
        </w:rPr>
        <w:t>(e.g.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participating</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below);</w:t>
      </w:r>
      <w:r w:rsidR="007B7640" w:rsidRPr="00CD59CC">
        <w:rPr>
          <w:rFonts w:ascii="Arial" w:hAnsi="Arial" w:cs="Arial"/>
        </w:rPr>
        <w:t xml:space="preserve"> </w:t>
      </w:r>
      <w:r w:rsidRPr="00CD59CC">
        <w:rPr>
          <w:rFonts w:ascii="Arial" w:hAnsi="Arial" w:cs="Arial"/>
        </w:rPr>
        <w:t>(iv)</w:t>
      </w:r>
      <w:r w:rsidR="007B7640" w:rsidRPr="00CD59CC">
        <w:rPr>
          <w:rFonts w:ascii="Arial" w:hAnsi="Arial" w:cs="Arial"/>
        </w:rPr>
        <w:t xml:space="preserve"> </w:t>
      </w:r>
      <w:r w:rsidRPr="00CD59CC">
        <w:rPr>
          <w:rFonts w:ascii="Arial" w:hAnsi="Arial" w:cs="Arial"/>
        </w:rPr>
        <w:t>involve</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sociologist</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p>
    <w:p w14:paraId="10F0686A" w14:textId="77777777" w:rsidR="001B2C4C" w:rsidRPr="00CD59CC" w:rsidRDefault="001B2C4C" w:rsidP="00CD59CC">
      <w:pPr>
        <w:rPr>
          <w:rFonts w:ascii="Arial" w:hAnsi="Arial" w:cs="Arial"/>
        </w:rPr>
      </w:pPr>
    </w:p>
    <w:p w14:paraId="71E266F9" w14:textId="77777777" w:rsidR="001B2C4C" w:rsidRPr="00CD59CC" w:rsidRDefault="001B2C4C" w:rsidP="00CD59CC">
      <w:pPr>
        <w:rPr>
          <w:rFonts w:ascii="Arial" w:hAnsi="Arial" w:cs="Arial"/>
        </w:rPr>
      </w:pP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examination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commissioned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define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smallest</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whose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certainty,</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well</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estimation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remaining</w:t>
      </w:r>
      <w:r w:rsidR="007B7640" w:rsidRPr="00CD59CC">
        <w:rPr>
          <w:rFonts w:ascii="Arial" w:hAnsi="Arial" w:cs="Arial"/>
        </w:rPr>
        <w:t xml:space="preserve"> </w:t>
      </w:r>
      <w:r w:rsidRPr="00CD59CC">
        <w:rPr>
          <w:rFonts w:ascii="Arial" w:hAnsi="Arial" w:cs="Arial"/>
        </w:rPr>
        <w:t>numbers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called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consideration</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well</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assumed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majority</w:t>
      </w:r>
      <w:r w:rsidR="007B7640" w:rsidRPr="00CD59CC">
        <w:rPr>
          <w:rFonts w:ascii="Arial" w:hAnsi="Arial" w:cs="Arial"/>
        </w:rPr>
        <w:t xml:space="preserve"> </w:t>
      </w:r>
      <w:r w:rsidRPr="00CD59CC">
        <w:rPr>
          <w:rFonts w:ascii="Arial" w:hAnsi="Arial" w:cs="Arial"/>
        </w:rPr>
        <w:t>population.</w:t>
      </w:r>
    </w:p>
    <w:p w14:paraId="15954EB4" w14:textId="77777777" w:rsidR="001B2C4C" w:rsidRPr="00CD59CC" w:rsidRDefault="001B2C4C" w:rsidP="00CD59CC">
      <w:pPr>
        <w:rPr>
          <w:rFonts w:ascii="Arial" w:hAnsi="Arial" w:cs="Arial"/>
        </w:rPr>
      </w:pPr>
    </w:p>
    <w:p w14:paraId="1BF906C4" w14:textId="77777777" w:rsidR="001B2C4C" w:rsidRPr="00CD59CC" w:rsidRDefault="001B2C4C"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accepted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proportions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establishment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mainly</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piece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Pf.I.20.631/2007/8</w:t>
      </w:r>
      <w:r w:rsidR="007B7640" w:rsidRPr="00CD59CC">
        <w:rPr>
          <w:rFonts w:ascii="Arial" w:hAnsi="Arial" w:cs="Arial"/>
        </w:rPr>
        <w:t xml:space="preserve"> </w:t>
      </w:r>
      <w:r w:rsidRPr="00CD59CC">
        <w:rPr>
          <w:rFonts w:ascii="Arial" w:hAnsi="Arial" w:cs="Arial"/>
        </w:rPr>
        <w:t>delivered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December</w:t>
      </w:r>
      <w:r w:rsidR="007B7640" w:rsidRPr="00CD59CC">
        <w:rPr>
          <w:rFonts w:ascii="Arial" w:hAnsi="Arial" w:cs="Arial"/>
        </w:rPr>
        <w:t xml:space="preserve"> </w:t>
      </w:r>
      <w:r w:rsidRPr="00CD59CC">
        <w:rPr>
          <w:rFonts w:ascii="Arial" w:hAnsi="Arial" w:cs="Arial"/>
        </w:rPr>
        <w:t>2007</w:t>
      </w:r>
      <w:r w:rsidR="007B7640" w:rsidRPr="00CD59CC">
        <w:rPr>
          <w:rFonts w:ascii="Arial" w:hAnsi="Arial" w:cs="Arial"/>
        </w:rPr>
        <w:t xml:space="preserve"> </w:t>
      </w:r>
      <w:r w:rsidRPr="00CD59CC">
        <w:rPr>
          <w:rFonts w:ascii="Arial" w:hAnsi="Arial" w:cs="Arial"/>
        </w:rPr>
        <w:t>upon</w:t>
      </w:r>
      <w:r w:rsidR="007B7640" w:rsidRPr="00CD59CC">
        <w:rPr>
          <w:rFonts w:ascii="Arial" w:hAnsi="Arial" w:cs="Arial"/>
        </w:rPr>
        <w:t xml:space="preserve"> </w:t>
      </w:r>
      <w:r w:rsidRPr="00CD59CC">
        <w:rPr>
          <w:rFonts w:ascii="Arial" w:hAnsi="Arial" w:cs="Arial"/>
        </w:rPr>
        <w:t>appeal,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Debrecen</w:t>
      </w:r>
      <w:r w:rsidR="007B7640" w:rsidRPr="00CD59CC">
        <w:rPr>
          <w:rFonts w:ascii="Arial" w:hAnsi="Arial" w:cs="Arial"/>
        </w:rPr>
        <w:t xml:space="preserve"> </w:t>
      </w:r>
      <w:r w:rsidRPr="00CD59CC">
        <w:rPr>
          <w:rFonts w:ascii="Arial" w:hAnsi="Arial" w:cs="Arial"/>
        </w:rPr>
        <w:t>Regional</w:t>
      </w:r>
      <w:r w:rsidR="007B7640" w:rsidRPr="00CD59CC">
        <w:rPr>
          <w:rFonts w:ascii="Arial" w:hAnsi="Arial" w:cs="Arial"/>
        </w:rPr>
        <w:t xml:space="preserve"> </w:t>
      </w:r>
      <w:r w:rsidRPr="00CD59CC">
        <w:rPr>
          <w:rFonts w:ascii="Arial" w:hAnsi="Arial" w:cs="Arial"/>
        </w:rPr>
        <w:t>Appeals</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partly</w:t>
      </w:r>
      <w:r w:rsidR="007B7640" w:rsidRPr="00CD59CC">
        <w:rPr>
          <w:rFonts w:ascii="Arial" w:hAnsi="Arial" w:cs="Arial"/>
        </w:rPr>
        <w:t xml:space="preserve"> </w:t>
      </w:r>
      <w:r w:rsidRPr="00CD59CC">
        <w:rPr>
          <w:rFonts w:ascii="Arial" w:hAnsi="Arial" w:cs="Arial"/>
        </w:rPr>
        <w:t>overturned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first</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concluded</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contradiction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former</w:t>
      </w:r>
      <w:r w:rsidR="007B7640" w:rsidRPr="00CD59CC">
        <w:rPr>
          <w:rFonts w:ascii="Arial" w:hAnsi="Arial" w:cs="Arial"/>
        </w:rPr>
        <w:t xml:space="preserve"> </w:t>
      </w:r>
      <w:r w:rsidRPr="00CD59CC">
        <w:rPr>
          <w:rFonts w:ascii="Arial" w:hAnsi="Arial" w:cs="Arial"/>
        </w:rPr>
        <w:t>jurisprudence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needed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proven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defendants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active</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segregate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intention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unlawfully</w:t>
      </w:r>
      <w:r w:rsidR="007B7640" w:rsidRPr="00CD59CC">
        <w:rPr>
          <w:rFonts w:ascii="Arial" w:hAnsi="Arial" w:cs="Arial"/>
        </w:rPr>
        <w:t xml:space="preserve"> </w:t>
      </w:r>
      <w:r w:rsidRPr="00CD59CC">
        <w:rPr>
          <w:rFonts w:ascii="Arial" w:hAnsi="Arial" w:cs="Arial"/>
        </w:rPr>
        <w:t>separate</w:t>
      </w:r>
      <w:r w:rsidR="007B7640" w:rsidRPr="00CD59CC">
        <w:rPr>
          <w:rFonts w:ascii="Arial" w:hAnsi="Arial" w:cs="Arial"/>
        </w:rPr>
        <w:t xml:space="preserve"> </w:t>
      </w:r>
      <w:r w:rsidRPr="00CD59CC">
        <w:rPr>
          <w:rFonts w:ascii="Arial" w:hAnsi="Arial" w:cs="Arial"/>
        </w:rPr>
        <w:t>them</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non-Roma</w:t>
      </w:r>
      <w:r w:rsidR="007B7640" w:rsidRPr="00CD59CC">
        <w:rPr>
          <w:rFonts w:ascii="Arial" w:hAnsi="Arial" w:cs="Arial"/>
        </w:rPr>
        <w:t xml:space="preserve"> </w:t>
      </w:r>
      <w:r w:rsidRPr="00CD59CC">
        <w:rPr>
          <w:rFonts w:ascii="Arial" w:hAnsi="Arial" w:cs="Arial"/>
        </w:rPr>
        <w:t>peers.</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Appeals</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approved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part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lastRenderedPageBreak/>
        <w:t>first</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educated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supplementary</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much</w:t>
      </w:r>
      <w:r w:rsidR="007B7640" w:rsidRPr="00CD59CC">
        <w:rPr>
          <w:rFonts w:ascii="Arial" w:hAnsi="Arial" w:cs="Arial"/>
        </w:rPr>
        <w:t xml:space="preserve"> </w:t>
      </w:r>
      <w:r w:rsidRPr="00CD59CC">
        <w:rPr>
          <w:rFonts w:ascii="Arial" w:hAnsi="Arial" w:cs="Arial"/>
        </w:rPr>
        <w:t>worse</w:t>
      </w:r>
      <w:r w:rsidR="007B7640" w:rsidRPr="00CD59CC">
        <w:rPr>
          <w:rFonts w:ascii="Arial" w:hAnsi="Arial" w:cs="Arial"/>
        </w:rPr>
        <w:t xml:space="preserve"> </w:t>
      </w:r>
      <w:r w:rsidRPr="00CD59CC">
        <w:rPr>
          <w:rFonts w:ascii="Arial" w:hAnsi="Arial" w:cs="Arial"/>
        </w:rPr>
        <w:t>equipped</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central</w:t>
      </w:r>
      <w:r w:rsidR="007B7640" w:rsidRPr="00CD59CC">
        <w:rPr>
          <w:rFonts w:ascii="Arial" w:hAnsi="Arial" w:cs="Arial"/>
        </w:rPr>
        <w:t xml:space="preserve"> </w:t>
      </w:r>
      <w:r w:rsidRPr="00CD59CC">
        <w:rPr>
          <w:rFonts w:ascii="Arial" w:hAnsi="Arial" w:cs="Arial"/>
        </w:rPr>
        <w:t>ones,</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majority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non-Roma.</w:t>
      </w:r>
      <w:r w:rsidR="007B7640" w:rsidRPr="00CD59CC">
        <w:rPr>
          <w:rFonts w:ascii="Arial" w:hAnsi="Arial" w:cs="Arial"/>
        </w:rPr>
        <w:t xml:space="preserve"> </w:t>
      </w:r>
    </w:p>
    <w:p w14:paraId="3B854999" w14:textId="77777777" w:rsidR="001B2C4C" w:rsidRPr="00CD59CC" w:rsidRDefault="001B2C4C" w:rsidP="00CD59CC">
      <w:pPr>
        <w:rPr>
          <w:rFonts w:ascii="Arial" w:hAnsi="Arial" w:cs="Arial"/>
        </w:rPr>
      </w:pPr>
    </w:p>
    <w:p w14:paraId="0365357F" w14:textId="77777777" w:rsidR="001B2C4C" w:rsidRPr="00CD59CC" w:rsidRDefault="001B2C4C" w:rsidP="00CD59CC">
      <w:pPr>
        <w:rPr>
          <w:rFonts w:ascii="Arial" w:hAnsi="Arial" w:cs="Arial"/>
        </w:rPr>
      </w:pPr>
      <w:r w:rsidRPr="00CD59CC">
        <w:rPr>
          <w:rFonts w:ascii="Arial" w:hAnsi="Arial" w:cs="Arial"/>
        </w:rPr>
        <w:t>Thus,</w:t>
      </w:r>
      <w:r w:rsidR="007B7640" w:rsidRPr="00CD59CC">
        <w:rPr>
          <w:rFonts w:ascii="Arial" w:hAnsi="Arial" w:cs="Arial"/>
        </w:rPr>
        <w:t xml:space="preserve"> </w:t>
      </w:r>
      <w:r w:rsidRPr="00CD59CC">
        <w:rPr>
          <w:rFonts w:ascii="Arial" w:hAnsi="Arial" w:cs="Arial"/>
        </w:rPr>
        <w:t>while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Appeals</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accepted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opinion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proportions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non-Roma</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concluded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absence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evidence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separation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intentional,</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numerical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influenced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several</w:t>
      </w:r>
      <w:r w:rsidR="007B7640" w:rsidRPr="00CD59CC">
        <w:rPr>
          <w:rFonts w:ascii="Arial" w:hAnsi="Arial" w:cs="Arial"/>
        </w:rPr>
        <w:t xml:space="preserve"> </w:t>
      </w:r>
      <w:r w:rsidRPr="00CD59CC">
        <w:rPr>
          <w:rFonts w:ascii="Arial" w:hAnsi="Arial" w:cs="Arial"/>
        </w:rPr>
        <w:t>factors: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distribution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population</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town,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decisions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parents,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physical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intellectual</w:t>
      </w:r>
      <w:r w:rsidR="007B7640" w:rsidRPr="00CD59CC">
        <w:rPr>
          <w:rFonts w:ascii="Arial" w:hAnsi="Arial" w:cs="Arial"/>
        </w:rPr>
        <w:t xml:space="preserve"> </w:t>
      </w:r>
      <w:r w:rsidRPr="00CD59CC">
        <w:rPr>
          <w:rFonts w:ascii="Arial" w:hAnsi="Arial" w:cs="Arial"/>
        </w:rPr>
        <w:t>abilities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fields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interests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etc.”).</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although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refer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Appeals</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accept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statistical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since</w:t>
      </w:r>
      <w:r w:rsidR="007B7640" w:rsidRPr="00CD59CC">
        <w:rPr>
          <w:rFonts w:ascii="Arial" w:hAnsi="Arial" w:cs="Arial"/>
        </w:rPr>
        <w:t xml:space="preserve"> </w:t>
      </w:r>
      <w:r w:rsidRPr="00CD59CC">
        <w:rPr>
          <w:rFonts w:ascii="Arial" w:hAnsi="Arial" w:cs="Arial"/>
        </w:rPr>
        <w:t>otherwise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could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ethnicity.</w:t>
      </w:r>
    </w:p>
    <w:p w14:paraId="5CC2047A" w14:textId="77777777" w:rsidR="001B2C4C" w:rsidRPr="00CD59CC" w:rsidRDefault="001B2C4C" w:rsidP="00CD59CC">
      <w:pPr>
        <w:rPr>
          <w:rFonts w:ascii="Arial" w:hAnsi="Arial" w:cs="Arial"/>
        </w:rPr>
      </w:pPr>
    </w:p>
    <w:p w14:paraId="1A32B721" w14:textId="77777777" w:rsidR="001B2C4C" w:rsidRPr="00CD59CC" w:rsidRDefault="001B2C4C" w:rsidP="00CD59CC">
      <w:pPr>
        <w:tabs>
          <w:tab w:val="left" w:pos="567"/>
        </w:tabs>
        <w:rPr>
          <w:rFonts w:ascii="Arial" w:hAnsi="Arial" w:cs="Arial"/>
          <w:i/>
        </w:rPr>
      </w:pPr>
      <w:r w:rsidRPr="00CD59CC">
        <w:rPr>
          <w:rFonts w:ascii="Arial" w:hAnsi="Arial" w:cs="Arial"/>
        </w:rPr>
        <w:t>The</w:t>
      </w:r>
      <w:r w:rsidR="007B7640" w:rsidRPr="00CD59CC">
        <w:rPr>
          <w:rFonts w:ascii="Arial" w:hAnsi="Arial" w:cs="Arial"/>
        </w:rPr>
        <w:t xml:space="preserve"> </w:t>
      </w:r>
      <w:r w:rsidRPr="00CD59CC">
        <w:rPr>
          <w:rFonts w:ascii="Arial" w:hAnsi="Arial" w:cs="Arial"/>
        </w:rPr>
        <w:t>Supreme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upon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plaintiff’s</w:t>
      </w:r>
      <w:r w:rsidR="007B7640" w:rsidRPr="00CD59CC">
        <w:rPr>
          <w:rFonts w:ascii="Arial" w:hAnsi="Arial" w:cs="Arial"/>
        </w:rPr>
        <w:t xml:space="preserve"> </w:t>
      </w:r>
      <w:r w:rsidRPr="00CD59CC">
        <w:rPr>
          <w:rFonts w:ascii="Arial" w:hAnsi="Arial" w:cs="Arial"/>
        </w:rPr>
        <w:t>request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review,</w:t>
      </w:r>
      <w:r w:rsidR="007B7640" w:rsidRPr="00CD59CC">
        <w:rPr>
          <w:rFonts w:ascii="Arial" w:hAnsi="Arial" w:cs="Arial"/>
        </w:rPr>
        <w:t xml:space="preserve"> </w:t>
      </w:r>
      <w:r w:rsidRPr="00CD59CC">
        <w:rPr>
          <w:rFonts w:ascii="Arial" w:hAnsi="Arial" w:cs="Arial"/>
        </w:rPr>
        <w:t>overturned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second</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court’s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place,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require</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intentional</w:t>
      </w:r>
      <w:r w:rsidR="007B7640" w:rsidRPr="00CD59CC">
        <w:rPr>
          <w:rFonts w:ascii="Arial" w:hAnsi="Arial" w:cs="Arial"/>
        </w:rPr>
        <w:t xml:space="preserve"> </w:t>
      </w:r>
      <w:r w:rsidRPr="00CD59CC">
        <w:rPr>
          <w:rFonts w:ascii="Arial" w:hAnsi="Arial" w:cs="Arial"/>
        </w:rPr>
        <w:t>activity)</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expert’s</w:t>
      </w:r>
      <w:r w:rsidR="007B7640" w:rsidRPr="00CD59CC">
        <w:rPr>
          <w:rFonts w:ascii="Arial" w:hAnsi="Arial" w:cs="Arial"/>
        </w:rPr>
        <w:t xml:space="preserve"> </w:t>
      </w:r>
      <w:r w:rsidRPr="00CD59CC">
        <w:rPr>
          <w:rFonts w:ascii="Arial" w:hAnsi="Arial" w:cs="Arial"/>
        </w:rPr>
        <w:t>estimations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distribution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between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highly</w:t>
      </w:r>
      <w:r w:rsidR="007B7640" w:rsidRPr="00CD59CC">
        <w:rPr>
          <w:rFonts w:ascii="Arial" w:hAnsi="Arial" w:cs="Arial"/>
        </w:rPr>
        <w:t xml:space="preserve"> </w:t>
      </w:r>
      <w:r w:rsidRPr="00CD59CC">
        <w:rPr>
          <w:rFonts w:ascii="Arial" w:hAnsi="Arial" w:cs="Arial"/>
        </w:rPr>
        <w:t>disproportionate</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undoubtedly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established.</w:t>
      </w:r>
    </w:p>
    <w:p w14:paraId="26A83BAA" w14:textId="77777777" w:rsidR="001B2C4C" w:rsidRPr="00CD59CC" w:rsidRDefault="001B2C4C" w:rsidP="00CD59CC">
      <w:pPr>
        <w:tabs>
          <w:tab w:val="num" w:pos="567"/>
        </w:tabs>
        <w:ind w:left="567" w:hanging="567"/>
        <w:rPr>
          <w:rFonts w:ascii="Arial" w:hAnsi="Arial" w:cs="Arial"/>
        </w:rPr>
      </w:pPr>
    </w:p>
    <w:p w14:paraId="1F05B7F6" w14:textId="77777777" w:rsidR="002B5BCD" w:rsidRPr="00CD59CC" w:rsidRDefault="002B5BCD" w:rsidP="00CD59CC">
      <w:pPr>
        <w:numPr>
          <w:ilvl w:val="0"/>
          <w:numId w:val="7"/>
        </w:numPr>
        <w:ind w:left="567" w:hanging="567"/>
        <w:rPr>
          <w:rFonts w:ascii="Arial" w:hAnsi="Arial" w:cs="Arial"/>
          <w:i/>
        </w:rPr>
      </w:pPr>
      <w:r w:rsidRPr="00CD59CC">
        <w:rPr>
          <w:rFonts w:ascii="Arial" w:hAnsi="Arial" w:cs="Arial"/>
          <w:i/>
        </w:rPr>
        <w:t>Are</w:t>
      </w:r>
      <w:r w:rsidR="007B7640" w:rsidRPr="00CD59CC">
        <w:rPr>
          <w:rFonts w:ascii="Arial" w:hAnsi="Arial" w:cs="Arial"/>
          <w:i/>
        </w:rPr>
        <w:t xml:space="preserve"> </w:t>
      </w:r>
      <w:r w:rsidRPr="00CD59CC">
        <w:rPr>
          <w:rFonts w:ascii="Arial" w:hAnsi="Arial" w:cs="Arial"/>
          <w:i/>
        </w:rPr>
        <w:t>there</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rules</w:t>
      </w:r>
      <w:r w:rsidR="007B7640" w:rsidRPr="00CD59CC">
        <w:rPr>
          <w:rFonts w:ascii="Arial" w:hAnsi="Arial" w:cs="Arial"/>
          <w:i/>
        </w:rPr>
        <w:t xml:space="preserve"> </w:t>
      </w:r>
      <w:r w:rsidRPr="00CD59CC">
        <w:rPr>
          <w:rFonts w:ascii="Arial" w:hAnsi="Arial" w:cs="Arial"/>
          <w:i/>
        </w:rPr>
        <w:t>which</w:t>
      </w:r>
      <w:r w:rsidR="007B7640" w:rsidRPr="00CD59CC">
        <w:rPr>
          <w:rFonts w:ascii="Arial" w:hAnsi="Arial" w:cs="Arial"/>
          <w:i/>
        </w:rPr>
        <w:t xml:space="preserve"> </w:t>
      </w:r>
      <w:r w:rsidRPr="00CD59CC">
        <w:rPr>
          <w:rFonts w:ascii="Arial" w:hAnsi="Arial" w:cs="Arial"/>
          <w:i/>
        </w:rPr>
        <w:t>permit</w:t>
      </w:r>
      <w:r w:rsidR="007B7640" w:rsidRPr="00CD59CC">
        <w:rPr>
          <w:rFonts w:ascii="Arial" w:hAnsi="Arial" w:cs="Arial"/>
          <w:i/>
        </w:rPr>
        <w:t xml:space="preserve"> </w:t>
      </w:r>
      <w:r w:rsidRPr="00CD59CC">
        <w:rPr>
          <w:rFonts w:ascii="Arial" w:hAnsi="Arial" w:cs="Arial"/>
          <w:i/>
        </w:rPr>
        <w:t>data</w:t>
      </w:r>
      <w:r w:rsidR="007B7640" w:rsidRPr="00CD59CC">
        <w:rPr>
          <w:rFonts w:ascii="Arial" w:hAnsi="Arial" w:cs="Arial"/>
          <w:i/>
        </w:rPr>
        <w:t xml:space="preserve"> </w:t>
      </w:r>
      <w:r w:rsidRPr="00CD59CC">
        <w:rPr>
          <w:rFonts w:ascii="Arial" w:hAnsi="Arial" w:cs="Arial"/>
          <w:i/>
        </w:rPr>
        <w:t>collection?</w:t>
      </w:r>
      <w:r w:rsidR="007B7640" w:rsidRPr="00CD59CC">
        <w:rPr>
          <w:rFonts w:ascii="Arial" w:hAnsi="Arial" w:cs="Arial"/>
          <w:i/>
        </w:rPr>
        <w:t xml:space="preserve"> </w:t>
      </w:r>
      <w:r w:rsidRPr="00CD59CC">
        <w:rPr>
          <w:rFonts w:ascii="Arial" w:hAnsi="Arial" w:cs="Arial"/>
          <w:i/>
        </w:rPr>
        <w:t>Please</w:t>
      </w:r>
      <w:r w:rsidR="007B7640" w:rsidRPr="00CD59CC">
        <w:rPr>
          <w:rFonts w:ascii="Arial" w:hAnsi="Arial" w:cs="Arial"/>
          <w:i/>
        </w:rPr>
        <w:t xml:space="preserve"> </w:t>
      </w:r>
      <w:r w:rsidRPr="00CD59CC">
        <w:rPr>
          <w:rFonts w:ascii="Arial" w:hAnsi="Arial" w:cs="Arial"/>
          <w:i/>
        </w:rPr>
        <w:t>answer</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respect</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all</w:t>
      </w:r>
      <w:r w:rsidR="007B7640" w:rsidRPr="00CD59CC">
        <w:rPr>
          <w:rFonts w:ascii="Arial" w:hAnsi="Arial" w:cs="Arial"/>
          <w:i/>
        </w:rPr>
        <w:t xml:space="preserve"> </w:t>
      </w:r>
      <w:r w:rsidRPr="00CD59CC">
        <w:rPr>
          <w:rFonts w:ascii="Arial" w:hAnsi="Arial" w:cs="Arial"/>
          <w:i/>
        </w:rPr>
        <w:t>five</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aim</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this</w:t>
      </w:r>
      <w:r w:rsidR="007B7640" w:rsidRPr="00CD59CC">
        <w:rPr>
          <w:rFonts w:ascii="Arial" w:hAnsi="Arial" w:cs="Arial"/>
          <w:i/>
        </w:rPr>
        <w:t xml:space="preserve"> </w:t>
      </w:r>
      <w:r w:rsidRPr="00CD59CC">
        <w:rPr>
          <w:rFonts w:ascii="Arial" w:hAnsi="Arial" w:cs="Arial"/>
          <w:i/>
        </w:rPr>
        <w:t>question</w:t>
      </w:r>
      <w:r w:rsidR="007B7640" w:rsidRPr="00CD59CC">
        <w:rPr>
          <w:rFonts w:ascii="Arial" w:hAnsi="Arial" w:cs="Arial"/>
          <w:i/>
        </w:rPr>
        <w:t xml:space="preserve"> </w:t>
      </w:r>
      <w:r w:rsidRPr="00CD59CC">
        <w:rPr>
          <w:rFonts w:ascii="Arial" w:hAnsi="Arial" w:cs="Arial"/>
          <w:i/>
        </w:rPr>
        <w:t>is</w:t>
      </w:r>
      <w:r w:rsidR="007B7640" w:rsidRPr="00BB4E9F">
        <w:rPr>
          <w:rFonts w:ascii="Arial" w:hAnsi="Arial"/>
          <w:i/>
          <w:lang w:val="en-US"/>
        </w:rPr>
        <w:t xml:space="preserve"> </w:t>
      </w:r>
      <w:r w:rsidRPr="00BB4E9F">
        <w:rPr>
          <w:rFonts w:ascii="Arial" w:hAnsi="Arial"/>
          <w:i/>
          <w:lang w:val="en-US"/>
        </w:rPr>
        <w:t>to</w:t>
      </w:r>
      <w:r w:rsidR="007B7640" w:rsidRPr="00BB4E9F">
        <w:rPr>
          <w:rFonts w:ascii="Arial" w:hAnsi="Arial"/>
          <w:i/>
          <w:lang w:val="en-US"/>
        </w:rPr>
        <w:t xml:space="preserve"> </w:t>
      </w:r>
      <w:r w:rsidRPr="00BB4E9F">
        <w:rPr>
          <w:rFonts w:ascii="Arial" w:hAnsi="Arial"/>
          <w:i/>
          <w:lang w:val="en-US"/>
        </w:rPr>
        <w:t>find</w:t>
      </w:r>
      <w:r w:rsidR="007B7640" w:rsidRPr="00BB4E9F">
        <w:rPr>
          <w:rFonts w:ascii="Arial" w:hAnsi="Arial"/>
          <w:i/>
          <w:lang w:val="en-US"/>
        </w:rPr>
        <w:t xml:space="preserve"> </w:t>
      </w:r>
      <w:r w:rsidRPr="00BB4E9F">
        <w:rPr>
          <w:rFonts w:ascii="Arial" w:hAnsi="Arial"/>
          <w:i/>
          <w:lang w:val="en-US"/>
        </w:rPr>
        <w:t>out</w:t>
      </w:r>
      <w:r w:rsidR="007B7640" w:rsidRPr="00BB4E9F">
        <w:rPr>
          <w:rFonts w:ascii="Arial" w:hAnsi="Arial"/>
          <w:i/>
          <w:lang w:val="en-US"/>
        </w:rPr>
        <w:t xml:space="preserve"> </w:t>
      </w:r>
      <w:r w:rsidRPr="00BB4E9F">
        <w:rPr>
          <w:rFonts w:ascii="Arial" w:hAnsi="Arial"/>
          <w:i/>
          <w:lang w:val="en-US"/>
        </w:rPr>
        <w:t>whether</w:t>
      </w:r>
      <w:r w:rsidR="007B7640" w:rsidRPr="00BB4E9F">
        <w:rPr>
          <w:rFonts w:ascii="Arial" w:hAnsi="Arial"/>
          <w:i/>
          <w:lang w:val="en-US"/>
        </w:rPr>
        <w:t xml:space="preserve"> </w:t>
      </w:r>
      <w:r w:rsidRPr="00BB4E9F">
        <w:rPr>
          <w:rFonts w:ascii="Arial" w:hAnsi="Arial"/>
          <w:i/>
          <w:lang w:val="en-US"/>
        </w:rPr>
        <w:t>or</w:t>
      </w:r>
      <w:r w:rsidR="007B7640" w:rsidRPr="00BB4E9F">
        <w:rPr>
          <w:rFonts w:ascii="Arial" w:hAnsi="Arial"/>
          <w:i/>
          <w:lang w:val="en-US"/>
        </w:rPr>
        <w:t xml:space="preserve"> </w:t>
      </w:r>
      <w:r w:rsidRPr="00BB4E9F">
        <w:rPr>
          <w:rFonts w:ascii="Arial" w:hAnsi="Arial"/>
          <w:i/>
          <w:lang w:val="en-US"/>
        </w:rPr>
        <w:t>not</w:t>
      </w:r>
      <w:r w:rsidR="007B7640" w:rsidRPr="00BB4E9F">
        <w:rPr>
          <w:rFonts w:ascii="Arial" w:hAnsi="Arial"/>
          <w:i/>
          <w:lang w:val="en-US"/>
        </w:rPr>
        <w:t xml:space="preserve"> </w:t>
      </w:r>
      <w:r w:rsidRPr="00BB4E9F">
        <w:rPr>
          <w:rFonts w:ascii="Arial" w:hAnsi="Arial"/>
          <w:i/>
          <w:lang w:val="en-US"/>
        </w:rPr>
        <w:t>data</w:t>
      </w:r>
      <w:r w:rsidR="007B7640" w:rsidRPr="00BB4E9F">
        <w:rPr>
          <w:rFonts w:ascii="Arial" w:hAnsi="Arial"/>
          <w:i/>
          <w:lang w:val="en-US"/>
        </w:rPr>
        <w:t xml:space="preserve"> </w:t>
      </w:r>
      <w:r w:rsidRPr="00BB4E9F">
        <w:rPr>
          <w:rFonts w:ascii="Arial" w:hAnsi="Arial"/>
          <w:i/>
          <w:lang w:val="en-US"/>
        </w:rPr>
        <w:t>collection</w:t>
      </w:r>
      <w:r w:rsidR="007B7640" w:rsidRPr="00BB4E9F">
        <w:rPr>
          <w:rFonts w:ascii="Arial" w:hAnsi="Arial"/>
          <w:i/>
          <w:lang w:val="en-US"/>
        </w:rPr>
        <w:t xml:space="preserve"> </w:t>
      </w:r>
      <w:r w:rsidRPr="00BB4E9F">
        <w:rPr>
          <w:rFonts w:ascii="Arial" w:hAnsi="Arial"/>
          <w:i/>
          <w:lang w:val="en-US"/>
        </w:rPr>
        <w:t>is</w:t>
      </w:r>
      <w:r w:rsidR="007B7640" w:rsidRPr="00BB4E9F">
        <w:rPr>
          <w:rFonts w:ascii="Arial" w:hAnsi="Arial"/>
          <w:i/>
          <w:lang w:val="en-US"/>
        </w:rPr>
        <w:t xml:space="preserve"> </w:t>
      </w:r>
      <w:r w:rsidRPr="00BB4E9F">
        <w:rPr>
          <w:rFonts w:ascii="Arial" w:hAnsi="Arial"/>
          <w:i/>
          <w:lang w:val="en-US"/>
        </w:rPr>
        <w:t>allowed</w:t>
      </w:r>
      <w:r w:rsidR="007B7640" w:rsidRPr="00BB4E9F">
        <w:rPr>
          <w:rFonts w:ascii="Arial" w:hAnsi="Arial"/>
          <w:i/>
          <w:lang w:val="en-US"/>
        </w:rPr>
        <w:t xml:space="preserve"> </w:t>
      </w:r>
      <w:r w:rsidRPr="00BB4E9F">
        <w:rPr>
          <w:rFonts w:ascii="Arial" w:hAnsi="Arial"/>
          <w:i/>
          <w:lang w:val="en-US"/>
        </w:rPr>
        <w:t>for</w:t>
      </w:r>
      <w:r w:rsidR="007B7640" w:rsidRPr="00BB4E9F">
        <w:rPr>
          <w:rFonts w:ascii="Arial" w:hAnsi="Arial"/>
          <w:i/>
          <w:lang w:val="en-US"/>
        </w:rPr>
        <w:t xml:space="preserve"> </w:t>
      </w:r>
      <w:r w:rsidRPr="00BB4E9F">
        <w:rPr>
          <w:rFonts w:ascii="Arial" w:hAnsi="Arial"/>
          <w:i/>
          <w:lang w:val="en-US"/>
        </w:rPr>
        <w:t>the</w:t>
      </w:r>
      <w:r w:rsidR="007B7640" w:rsidRPr="00BB4E9F">
        <w:rPr>
          <w:rFonts w:ascii="Arial" w:hAnsi="Arial"/>
          <w:i/>
          <w:lang w:val="en-US"/>
        </w:rPr>
        <w:t xml:space="preserve"> </w:t>
      </w:r>
      <w:r w:rsidRPr="00BB4E9F">
        <w:rPr>
          <w:rFonts w:ascii="Arial" w:hAnsi="Arial"/>
          <w:i/>
          <w:lang w:val="en-US"/>
        </w:rPr>
        <w:t>purposes</w:t>
      </w:r>
      <w:r w:rsidR="007B7640" w:rsidRPr="00BB4E9F">
        <w:rPr>
          <w:rFonts w:ascii="Arial" w:hAnsi="Arial"/>
          <w:i/>
          <w:lang w:val="en-US"/>
        </w:rPr>
        <w:t xml:space="preserve"> </w:t>
      </w:r>
      <w:r w:rsidRPr="00BB4E9F">
        <w:rPr>
          <w:rFonts w:ascii="Arial" w:hAnsi="Arial"/>
          <w:i/>
          <w:lang w:val="en-US"/>
        </w:rPr>
        <w:t>of</w:t>
      </w:r>
      <w:r w:rsidR="007B7640" w:rsidRPr="00BB4E9F">
        <w:rPr>
          <w:rFonts w:ascii="Arial" w:hAnsi="Arial"/>
          <w:i/>
          <w:lang w:val="en-US"/>
        </w:rPr>
        <w:t xml:space="preserve"> </w:t>
      </w:r>
      <w:r w:rsidRPr="00BB4E9F">
        <w:rPr>
          <w:rFonts w:ascii="Arial" w:hAnsi="Arial"/>
          <w:i/>
          <w:lang w:val="en-US"/>
        </w:rPr>
        <w:t>litigation</w:t>
      </w:r>
      <w:r w:rsidR="007B7640" w:rsidRPr="00BB4E9F">
        <w:rPr>
          <w:rFonts w:ascii="Arial" w:hAnsi="Arial"/>
          <w:i/>
          <w:lang w:val="en-US"/>
        </w:rPr>
        <w:t xml:space="preserve"> </w:t>
      </w:r>
      <w:r w:rsidRPr="00BB4E9F">
        <w:rPr>
          <w:rFonts w:ascii="Arial" w:hAnsi="Arial"/>
          <w:i/>
          <w:lang w:val="en-US"/>
        </w:rPr>
        <w:t>and</w:t>
      </w:r>
      <w:r w:rsidR="007B7640" w:rsidRPr="00BB4E9F">
        <w:rPr>
          <w:rFonts w:ascii="Arial" w:hAnsi="Arial"/>
          <w:i/>
          <w:lang w:val="en-US"/>
        </w:rPr>
        <w:t xml:space="preserve"> </w:t>
      </w:r>
      <w:r w:rsidRPr="00BB4E9F">
        <w:rPr>
          <w:rFonts w:ascii="Arial" w:hAnsi="Arial"/>
          <w:i/>
          <w:lang w:val="en-US"/>
        </w:rPr>
        <w:t>positive</w:t>
      </w:r>
      <w:r w:rsidR="007B7640" w:rsidRPr="00BB4E9F">
        <w:rPr>
          <w:rFonts w:ascii="Arial" w:hAnsi="Arial"/>
          <w:i/>
          <w:lang w:val="en-US"/>
        </w:rPr>
        <w:t xml:space="preserve"> </w:t>
      </w:r>
      <w:r w:rsidRPr="00BB4E9F">
        <w:rPr>
          <w:rFonts w:ascii="Arial" w:hAnsi="Arial"/>
          <w:i/>
          <w:lang w:val="en-US"/>
        </w:rPr>
        <w:t>action</w:t>
      </w:r>
      <w:r w:rsidR="007B7640" w:rsidRPr="00BB4E9F">
        <w:rPr>
          <w:rFonts w:ascii="Arial" w:hAnsi="Arial"/>
          <w:i/>
          <w:lang w:val="en-US"/>
        </w:rPr>
        <w:t xml:space="preserve"> </w:t>
      </w:r>
      <w:r w:rsidRPr="00BB4E9F">
        <w:rPr>
          <w:rFonts w:ascii="Arial" w:hAnsi="Arial"/>
          <w:i/>
          <w:lang w:val="en-US"/>
        </w:rPr>
        <w:t>measures.</w:t>
      </w:r>
      <w:r w:rsidR="007B7640" w:rsidRPr="00BB4E9F">
        <w:rPr>
          <w:rFonts w:ascii="Arial" w:hAnsi="Arial"/>
          <w:i/>
          <w:lang w:val="en-US"/>
        </w:rPr>
        <w:t xml:space="preserve"> </w:t>
      </w:r>
      <w:r w:rsidRPr="00BB4E9F">
        <w:rPr>
          <w:rFonts w:ascii="Arial" w:hAnsi="Arial"/>
          <w:i/>
          <w:lang w:val="en-US"/>
        </w:rPr>
        <w:t>Specifically,</w:t>
      </w:r>
      <w:r w:rsidR="007B7640" w:rsidRPr="00BB4E9F">
        <w:rPr>
          <w:rFonts w:ascii="Arial" w:hAnsi="Arial"/>
          <w:i/>
          <w:lang w:val="en-US"/>
        </w:rPr>
        <w:t xml:space="preserve"> </w:t>
      </w:r>
      <w:r w:rsidRPr="00BB4E9F">
        <w:rPr>
          <w:rFonts w:ascii="Arial" w:hAnsi="Arial"/>
          <w:i/>
          <w:lang w:val="en-US"/>
        </w:rPr>
        <w:t>are</w:t>
      </w:r>
      <w:r w:rsidR="007B7640" w:rsidRPr="00BB4E9F">
        <w:rPr>
          <w:rFonts w:ascii="Arial" w:hAnsi="Arial"/>
          <w:i/>
          <w:lang w:val="en-US"/>
        </w:rPr>
        <w:t xml:space="preserve"> </w:t>
      </w:r>
      <w:r w:rsidRPr="00BB4E9F">
        <w:rPr>
          <w:rFonts w:ascii="Arial" w:hAnsi="Arial"/>
          <w:i/>
          <w:lang w:val="en-US"/>
        </w:rPr>
        <w:t>statistical</w:t>
      </w:r>
      <w:r w:rsidR="007B7640" w:rsidRPr="00BB4E9F">
        <w:rPr>
          <w:rFonts w:ascii="Arial" w:hAnsi="Arial"/>
          <w:i/>
          <w:lang w:val="en-US"/>
        </w:rPr>
        <w:t xml:space="preserve"> </w:t>
      </w:r>
      <w:r w:rsidRPr="00BB4E9F">
        <w:rPr>
          <w:rFonts w:ascii="Arial" w:hAnsi="Arial"/>
          <w:i/>
          <w:lang w:val="en-US"/>
        </w:rPr>
        <w:t>data</w:t>
      </w:r>
      <w:r w:rsidR="007B7640" w:rsidRPr="00BB4E9F">
        <w:rPr>
          <w:rFonts w:ascii="Arial" w:hAnsi="Arial"/>
          <w:i/>
          <w:lang w:val="en-US"/>
        </w:rPr>
        <w:t xml:space="preserve"> </w:t>
      </w:r>
      <w:r w:rsidRPr="00BB4E9F">
        <w:rPr>
          <w:rFonts w:ascii="Arial" w:hAnsi="Arial"/>
          <w:i/>
          <w:lang w:val="en-US"/>
        </w:rPr>
        <w:t>used</w:t>
      </w:r>
      <w:r w:rsidR="007B7640" w:rsidRPr="00BB4E9F">
        <w:rPr>
          <w:rFonts w:ascii="Arial" w:hAnsi="Arial"/>
          <w:i/>
          <w:lang w:val="en-US"/>
        </w:rPr>
        <w:t xml:space="preserve"> </w:t>
      </w:r>
      <w:r w:rsidRPr="00BB4E9F">
        <w:rPr>
          <w:rFonts w:ascii="Arial" w:hAnsi="Arial"/>
          <w:i/>
          <w:lang w:val="en-US"/>
        </w:rPr>
        <w:t>to</w:t>
      </w:r>
      <w:r w:rsidR="007B7640" w:rsidRPr="00BB4E9F">
        <w:rPr>
          <w:rFonts w:ascii="Arial" w:hAnsi="Arial"/>
          <w:i/>
          <w:lang w:val="en-US"/>
        </w:rPr>
        <w:t xml:space="preserve"> </w:t>
      </w:r>
      <w:r w:rsidRPr="00BB4E9F">
        <w:rPr>
          <w:rFonts w:ascii="Arial" w:hAnsi="Arial"/>
          <w:i/>
          <w:lang w:val="en-US"/>
        </w:rPr>
        <w:t>design</w:t>
      </w:r>
      <w:r w:rsidR="007B7640" w:rsidRPr="00BB4E9F">
        <w:rPr>
          <w:rFonts w:ascii="Arial" w:hAnsi="Arial"/>
          <w:i/>
          <w:lang w:val="en-US"/>
        </w:rPr>
        <w:t xml:space="preserve"> </w:t>
      </w:r>
      <w:r w:rsidRPr="00BB4E9F">
        <w:rPr>
          <w:rFonts w:ascii="Arial" w:hAnsi="Arial"/>
          <w:i/>
          <w:lang w:val="en-US"/>
        </w:rPr>
        <w:t>positive</w:t>
      </w:r>
      <w:r w:rsidR="007B7640" w:rsidRPr="00BB4E9F">
        <w:rPr>
          <w:rFonts w:ascii="Arial" w:hAnsi="Arial"/>
          <w:i/>
          <w:lang w:val="en-US"/>
        </w:rPr>
        <w:t xml:space="preserve"> </w:t>
      </w:r>
      <w:r w:rsidRPr="00BB4E9F">
        <w:rPr>
          <w:rFonts w:ascii="Arial" w:hAnsi="Arial"/>
          <w:i/>
          <w:lang w:val="en-US"/>
        </w:rPr>
        <w:t>action</w:t>
      </w:r>
      <w:r w:rsidR="007B7640" w:rsidRPr="00BB4E9F">
        <w:rPr>
          <w:rFonts w:ascii="Arial" w:hAnsi="Arial"/>
          <w:i/>
          <w:lang w:val="en-US"/>
        </w:rPr>
        <w:t xml:space="preserve"> </w:t>
      </w:r>
      <w:r w:rsidRPr="00BB4E9F">
        <w:rPr>
          <w:rFonts w:ascii="Arial" w:hAnsi="Arial"/>
          <w:i/>
          <w:lang w:val="en-US"/>
        </w:rPr>
        <w:t>measures?</w:t>
      </w:r>
      <w:r w:rsidR="007B7640" w:rsidRPr="00BB4E9F">
        <w:rPr>
          <w:rFonts w:ascii="Arial" w:hAnsi="Arial"/>
          <w:i/>
          <w:lang w:val="en-US"/>
        </w:rPr>
        <w:t xml:space="preserve"> </w:t>
      </w:r>
      <w:r w:rsidRPr="00BB4E9F">
        <w:rPr>
          <w:rFonts w:ascii="Arial" w:hAnsi="Arial"/>
          <w:i/>
          <w:lang w:val="en-US"/>
        </w:rPr>
        <w:t>How</w:t>
      </w:r>
      <w:r w:rsidR="007B7640" w:rsidRPr="00BB4E9F">
        <w:rPr>
          <w:rFonts w:ascii="Arial" w:hAnsi="Arial"/>
          <w:i/>
          <w:lang w:val="en-US"/>
        </w:rPr>
        <w:t xml:space="preserve"> </w:t>
      </w:r>
      <w:r w:rsidRPr="00BB4E9F">
        <w:rPr>
          <w:rFonts w:ascii="Arial" w:hAnsi="Arial"/>
          <w:i/>
          <w:lang w:val="en-US"/>
        </w:rPr>
        <w:t>are</w:t>
      </w:r>
      <w:r w:rsidR="007B7640" w:rsidRPr="00BB4E9F">
        <w:rPr>
          <w:rFonts w:ascii="Arial" w:hAnsi="Arial"/>
          <w:i/>
          <w:lang w:val="en-US"/>
        </w:rPr>
        <w:t xml:space="preserve"> </w:t>
      </w:r>
      <w:r w:rsidRPr="00BB4E9F">
        <w:rPr>
          <w:rFonts w:ascii="Arial" w:hAnsi="Arial"/>
          <w:i/>
          <w:lang w:val="en-US"/>
        </w:rPr>
        <w:t>these</w:t>
      </w:r>
      <w:r w:rsidR="007B7640" w:rsidRPr="00BB4E9F">
        <w:rPr>
          <w:rFonts w:ascii="Arial" w:hAnsi="Arial"/>
          <w:i/>
          <w:lang w:val="en-US"/>
        </w:rPr>
        <w:t xml:space="preserve"> </w:t>
      </w:r>
      <w:r w:rsidRPr="00BB4E9F">
        <w:rPr>
          <w:rFonts w:ascii="Arial" w:hAnsi="Arial"/>
          <w:i/>
          <w:lang w:val="en-US"/>
        </w:rPr>
        <w:t>data</w:t>
      </w:r>
      <w:r w:rsidR="007B7640" w:rsidRPr="00BB4E9F">
        <w:rPr>
          <w:rFonts w:ascii="Arial" w:hAnsi="Arial"/>
          <w:i/>
          <w:lang w:val="en-US"/>
        </w:rPr>
        <w:t xml:space="preserve"> </w:t>
      </w:r>
      <w:r w:rsidRPr="00BB4E9F">
        <w:rPr>
          <w:rFonts w:ascii="Arial" w:hAnsi="Arial"/>
          <w:i/>
          <w:lang w:val="en-US"/>
        </w:rPr>
        <w:t>collected/</w:t>
      </w:r>
      <w:r w:rsidR="007B7640" w:rsidRPr="00BB4E9F">
        <w:rPr>
          <w:rFonts w:ascii="Arial" w:hAnsi="Arial"/>
          <w:i/>
          <w:lang w:val="en-US"/>
        </w:rPr>
        <w:t xml:space="preserve"> </w:t>
      </w:r>
      <w:r w:rsidRPr="00BB4E9F">
        <w:rPr>
          <w:rFonts w:ascii="Arial" w:hAnsi="Arial"/>
          <w:i/>
          <w:lang w:val="en-US"/>
        </w:rPr>
        <w:t>generated?</w:t>
      </w:r>
    </w:p>
    <w:p w14:paraId="396F0B9E" w14:textId="77777777" w:rsidR="002B5BCD" w:rsidRPr="00CD59CC" w:rsidRDefault="002B5BCD" w:rsidP="00CD59CC">
      <w:pPr>
        <w:rPr>
          <w:rFonts w:ascii="Arial" w:hAnsi="Arial" w:cs="Arial"/>
          <w:i/>
        </w:rPr>
      </w:pPr>
    </w:p>
    <w:p w14:paraId="741D8F87" w14:textId="77777777" w:rsidR="001B2C4C" w:rsidRPr="00CD59CC" w:rsidRDefault="001B2C4C"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CXII</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2011</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Informational</w:t>
      </w:r>
      <w:r w:rsidR="007B7640" w:rsidRPr="00CD59CC">
        <w:rPr>
          <w:rFonts w:ascii="Arial" w:hAnsi="Arial" w:cs="Arial"/>
        </w:rPr>
        <w:t xml:space="preserve"> </w:t>
      </w:r>
      <w:r w:rsidRPr="00CD59CC">
        <w:rPr>
          <w:rFonts w:ascii="Arial" w:hAnsi="Arial" w:cs="Arial"/>
        </w:rPr>
        <w:t>Self-Determination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Freedom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Information</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mean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relating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well</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conclusion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respect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subject</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inferred</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processing,</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considered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remain</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long</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subject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restored.</w:t>
      </w:r>
      <w:r w:rsidR="007B7640" w:rsidRPr="00CD59CC">
        <w:rPr>
          <w:rFonts w:ascii="Arial" w:hAnsi="Arial" w:cs="Arial"/>
        </w:rPr>
        <w:t xml:space="preserve"> </w:t>
      </w:r>
    </w:p>
    <w:p w14:paraId="2D1813CC" w14:textId="77777777" w:rsidR="001B2C4C" w:rsidRPr="00CD59CC" w:rsidRDefault="001B2C4C" w:rsidP="00CD59CC">
      <w:pPr>
        <w:rPr>
          <w:rFonts w:ascii="Arial" w:hAnsi="Arial" w:cs="Arial"/>
        </w:rPr>
      </w:pPr>
    </w:p>
    <w:p w14:paraId="0FBC465D" w14:textId="77777777" w:rsidR="001B2C4C" w:rsidRPr="00CD59CC" w:rsidRDefault="001B2C4C" w:rsidP="00CD59CC">
      <w:pPr>
        <w:rPr>
          <w:rFonts w:ascii="Arial" w:hAnsi="Arial" w:cs="Arial"/>
        </w:rPr>
      </w:pPr>
      <w:r w:rsidRPr="00CD59CC">
        <w:rPr>
          <w:rFonts w:ascii="Arial" w:hAnsi="Arial" w:cs="Arial"/>
        </w:rPr>
        <w:t>"Special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constitute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subcategory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mean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relating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political</w:t>
      </w:r>
      <w:r w:rsidR="007B7640" w:rsidRPr="00CD59CC">
        <w:rPr>
          <w:rFonts w:ascii="Arial" w:hAnsi="Arial" w:cs="Arial"/>
        </w:rPr>
        <w:t xml:space="preserve"> </w:t>
      </w:r>
      <w:r w:rsidRPr="00CD59CC">
        <w:rPr>
          <w:rFonts w:ascii="Arial" w:hAnsi="Arial" w:cs="Arial"/>
        </w:rPr>
        <w:t>opinion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party</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religious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ideological</w:t>
      </w:r>
      <w:r w:rsidR="007B7640" w:rsidRPr="00CD59CC">
        <w:rPr>
          <w:rFonts w:ascii="Arial" w:hAnsi="Arial" w:cs="Arial"/>
        </w:rPr>
        <w:t xml:space="preserve"> </w:t>
      </w:r>
      <w:r w:rsidRPr="00CD59CC">
        <w:rPr>
          <w:rFonts w:ascii="Arial" w:hAnsi="Arial" w:cs="Arial"/>
        </w:rPr>
        <w:t>belief,</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membership</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interest</w:t>
      </w:r>
      <w:r w:rsidR="007B7640" w:rsidRPr="00CD59CC">
        <w:rPr>
          <w:rFonts w:ascii="Arial" w:hAnsi="Arial" w:cs="Arial"/>
        </w:rPr>
        <w:t xml:space="preserve"> </w:t>
      </w:r>
      <w:r w:rsidRPr="00CD59CC">
        <w:rPr>
          <w:rFonts w:ascii="Arial" w:hAnsi="Arial" w:cs="Arial"/>
        </w:rPr>
        <w:t>representing</w:t>
      </w:r>
      <w:r w:rsidR="007B7640" w:rsidRPr="00CD59CC">
        <w:rPr>
          <w:rFonts w:ascii="Arial" w:hAnsi="Arial" w:cs="Arial"/>
        </w:rPr>
        <w:t xml:space="preserve"> </w:t>
      </w:r>
      <w:r w:rsidRPr="00CD59CC">
        <w:rPr>
          <w:rFonts w:ascii="Arial" w:hAnsi="Arial" w:cs="Arial"/>
        </w:rPr>
        <w:t>organisation,</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life;</w:t>
      </w:r>
      <w:r w:rsidR="007B7640" w:rsidRPr="00CD59CC">
        <w:rPr>
          <w:rFonts w:ascii="Arial" w:hAnsi="Arial" w:cs="Arial"/>
        </w:rPr>
        <w:t xml:space="preserve"> </w:t>
      </w:r>
      <w:r w:rsidRPr="00CD59CC">
        <w:rPr>
          <w:rFonts w:ascii="Arial" w:hAnsi="Arial" w:cs="Arial"/>
        </w:rPr>
        <w:t>(ii)</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pathological</w:t>
      </w:r>
      <w:r w:rsidR="007B7640" w:rsidRPr="00CD59CC">
        <w:rPr>
          <w:rFonts w:ascii="Arial" w:hAnsi="Arial" w:cs="Arial"/>
        </w:rPr>
        <w:t xml:space="preserve"> </w:t>
      </w:r>
      <w:r w:rsidRPr="00CD59CC">
        <w:rPr>
          <w:rFonts w:ascii="Arial" w:hAnsi="Arial" w:cs="Arial"/>
        </w:rPr>
        <w:t>addictions,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criminal</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data.</w:t>
      </w:r>
    </w:p>
    <w:p w14:paraId="44E41BAD" w14:textId="77777777" w:rsidR="001B2C4C" w:rsidRPr="00CD59CC" w:rsidRDefault="001B2C4C" w:rsidP="00CD59CC">
      <w:pPr>
        <w:rPr>
          <w:rFonts w:ascii="Arial" w:hAnsi="Arial" w:cs="Arial"/>
        </w:rPr>
      </w:pPr>
    </w:p>
    <w:p w14:paraId="7E069708" w14:textId="77777777" w:rsidR="001B2C4C" w:rsidRPr="00CD59CC" w:rsidRDefault="001B2C4C" w:rsidP="00CD59CC">
      <w:pPr>
        <w:rPr>
          <w:rFonts w:ascii="Arial" w:hAnsi="Arial" w:cs="Arial"/>
        </w:rPr>
      </w:pPr>
      <w:r w:rsidRPr="00CD59CC">
        <w:rPr>
          <w:rFonts w:ascii="Arial" w:hAnsi="Arial" w:cs="Arial"/>
        </w:rPr>
        <w:t>Hence,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religion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belief</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belong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category.</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bears</w:t>
      </w:r>
      <w:r w:rsidR="007B7640" w:rsidRPr="00CD59CC">
        <w:rPr>
          <w:rFonts w:ascii="Arial" w:hAnsi="Arial" w:cs="Arial"/>
        </w:rPr>
        <w:t xml:space="preserve"> </w:t>
      </w:r>
      <w:r w:rsidRPr="00CD59CC">
        <w:rPr>
          <w:rFonts w:ascii="Arial" w:hAnsi="Arial" w:cs="Arial"/>
        </w:rPr>
        <w:t>significance,</w:t>
      </w:r>
      <w:r w:rsidR="007B7640" w:rsidRPr="00CD59CC">
        <w:rPr>
          <w:rFonts w:ascii="Arial" w:hAnsi="Arial" w:cs="Arial"/>
        </w:rPr>
        <w:t xml:space="preserve"> </w:t>
      </w:r>
      <w:r w:rsidRPr="00CD59CC">
        <w:rPr>
          <w:rFonts w:ascii="Arial" w:hAnsi="Arial" w:cs="Arial"/>
        </w:rPr>
        <w:t>since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5</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processed</w:t>
      </w:r>
      <w:r w:rsidR="007B7640" w:rsidRPr="00CD59CC">
        <w:rPr>
          <w:rFonts w:ascii="Arial" w:hAnsi="Arial" w:cs="Arial"/>
        </w:rPr>
        <w:t xml:space="preserve"> </w:t>
      </w:r>
      <w:r w:rsidRPr="00CD59CC">
        <w:rPr>
          <w:rFonts w:ascii="Arial" w:hAnsi="Arial" w:cs="Arial"/>
        </w:rPr>
        <w:t>unless</w:t>
      </w:r>
      <w:r w:rsidR="007B7640" w:rsidRPr="00CD59CC">
        <w:rPr>
          <w:rFonts w:ascii="Arial" w:hAnsi="Arial" w:cs="Arial"/>
        </w:rPr>
        <w:t xml:space="preserve"> </w:t>
      </w:r>
    </w:p>
    <w:p w14:paraId="5DDD1048" w14:textId="77777777" w:rsidR="001B2C4C" w:rsidRPr="00CD59CC" w:rsidRDefault="001B2C4C" w:rsidP="00CD59CC">
      <w:pPr>
        <w:rPr>
          <w:rFonts w:ascii="Arial" w:hAnsi="Arial" w:cs="Arial"/>
        </w:rPr>
      </w:pPr>
    </w:p>
    <w:p w14:paraId="04C67619" w14:textId="77777777" w:rsidR="001B2C4C" w:rsidRPr="00CD59CC" w:rsidRDefault="001B2C4C" w:rsidP="007B4138">
      <w:pPr>
        <w:numPr>
          <w:ilvl w:val="2"/>
          <w:numId w:val="46"/>
        </w:numPr>
        <w:tabs>
          <w:tab w:val="left" w:pos="567"/>
        </w:tabs>
        <w:ind w:left="567" w:hanging="567"/>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subject</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given</w:t>
      </w:r>
      <w:r w:rsidR="007B7640" w:rsidRPr="00CD59CC">
        <w:rPr>
          <w:rFonts w:ascii="Arial" w:hAnsi="Arial" w:cs="Arial"/>
        </w:rPr>
        <w:t xml:space="preserve"> </w:t>
      </w:r>
      <w:r w:rsidRPr="00CD59CC">
        <w:rPr>
          <w:rFonts w:ascii="Arial" w:hAnsi="Arial" w:cs="Arial"/>
        </w:rPr>
        <w:t>his/her</w:t>
      </w:r>
      <w:r w:rsidR="007B7640" w:rsidRPr="00CD59CC">
        <w:rPr>
          <w:rFonts w:ascii="Arial" w:hAnsi="Arial" w:cs="Arial"/>
        </w:rPr>
        <w:t xml:space="preserve"> </w:t>
      </w:r>
      <w:r w:rsidRPr="00CD59CC">
        <w:rPr>
          <w:rFonts w:ascii="Arial" w:hAnsi="Arial" w:cs="Arial"/>
        </w:rPr>
        <w:t>written</w:t>
      </w:r>
      <w:r w:rsidR="007B7640" w:rsidRPr="00CD59CC">
        <w:rPr>
          <w:rFonts w:ascii="Arial" w:hAnsi="Arial" w:cs="Arial"/>
        </w:rPr>
        <w:t xml:space="preserve"> </w:t>
      </w:r>
      <w:r w:rsidRPr="00CD59CC">
        <w:rPr>
          <w:rFonts w:ascii="Arial" w:hAnsi="Arial" w:cs="Arial"/>
        </w:rPr>
        <w:t>consent;</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p>
    <w:p w14:paraId="4CAD4BB0" w14:textId="77777777" w:rsidR="001B2C4C" w:rsidRPr="00CD59CC" w:rsidRDefault="001B2C4C" w:rsidP="007B4138">
      <w:pPr>
        <w:numPr>
          <w:ilvl w:val="2"/>
          <w:numId w:val="46"/>
        </w:numPr>
        <w:tabs>
          <w:tab w:val="left" w:pos="567"/>
        </w:tabs>
        <w:ind w:left="567" w:hanging="567"/>
        <w:rPr>
          <w:rFonts w:ascii="Arial" w:hAnsi="Arial" w:cs="Arial"/>
        </w:rPr>
      </w:pPr>
      <w:r w:rsidRPr="00CD59CC">
        <w:rPr>
          <w:rFonts w:ascii="Arial" w:hAnsi="Arial" w:cs="Arial"/>
        </w:rPr>
        <w:lastRenderedPageBreak/>
        <w:t>regarding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types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(i)</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processing</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implementation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international</w:t>
      </w:r>
      <w:r w:rsidR="007B7640" w:rsidRPr="00CD59CC">
        <w:rPr>
          <w:rFonts w:ascii="Arial" w:hAnsi="Arial" w:cs="Arial"/>
        </w:rPr>
        <w:t xml:space="preserve"> </w:t>
      </w:r>
      <w:r w:rsidRPr="00CD59CC">
        <w:rPr>
          <w:rFonts w:ascii="Arial" w:hAnsi="Arial" w:cs="Arial"/>
        </w:rPr>
        <w:t>treaty</w:t>
      </w:r>
      <w:r w:rsidR="007B7640" w:rsidRPr="00CD59CC">
        <w:rPr>
          <w:rFonts w:ascii="Arial" w:hAnsi="Arial" w:cs="Arial"/>
        </w:rPr>
        <w:t xml:space="preserve"> </w:t>
      </w:r>
      <w:r w:rsidRPr="00CD59CC">
        <w:rPr>
          <w:rFonts w:ascii="Arial" w:hAnsi="Arial" w:cs="Arial"/>
        </w:rPr>
        <w:t>promulgated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Parliament,</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prescribed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Parliament,</w:t>
      </w:r>
      <w:r w:rsidR="007B7640" w:rsidRPr="00CD59CC">
        <w:rPr>
          <w:rFonts w:ascii="Arial" w:hAnsi="Arial" w:cs="Arial"/>
        </w:rPr>
        <w:t xml:space="preserve"> </w:t>
      </w:r>
      <w:r w:rsidRPr="00CD59CC">
        <w:rPr>
          <w:rFonts w:ascii="Arial" w:hAnsi="Arial" w:cs="Arial"/>
        </w:rPr>
        <w:t>either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order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enforce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Fundamental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interest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security,</w:t>
      </w:r>
      <w:r w:rsidR="007B7640" w:rsidRPr="00CD59CC">
        <w:rPr>
          <w:rFonts w:ascii="Arial" w:hAnsi="Arial" w:cs="Arial"/>
        </w:rPr>
        <w:t xml:space="preserve"> </w:t>
      </w:r>
      <w:r w:rsidRPr="00CD59CC">
        <w:rPr>
          <w:rFonts w:ascii="Arial" w:hAnsi="Arial" w:cs="Arial"/>
        </w:rPr>
        <w:t>crime</w:t>
      </w:r>
      <w:r w:rsidR="007B7640" w:rsidRPr="00CD59CC">
        <w:rPr>
          <w:rFonts w:ascii="Arial" w:hAnsi="Arial" w:cs="Arial"/>
        </w:rPr>
        <w:t xml:space="preserve"> </w:t>
      </w:r>
      <w:r w:rsidRPr="00CD59CC">
        <w:rPr>
          <w:rFonts w:ascii="Arial" w:hAnsi="Arial" w:cs="Arial"/>
        </w:rPr>
        <w:t>prevention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criminal</w:t>
      </w:r>
      <w:r w:rsidR="007B7640" w:rsidRPr="00CD59CC">
        <w:rPr>
          <w:rFonts w:ascii="Arial" w:hAnsi="Arial" w:cs="Arial"/>
        </w:rPr>
        <w:t xml:space="preserve"> </w:t>
      </w:r>
      <w:r w:rsidRPr="00CD59CC">
        <w:rPr>
          <w:rFonts w:ascii="Arial" w:hAnsi="Arial" w:cs="Arial"/>
        </w:rPr>
        <w:t>investigation,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defence;</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p>
    <w:p w14:paraId="2F3D7807" w14:textId="77777777" w:rsidR="001B2C4C" w:rsidRPr="00CD59CC" w:rsidRDefault="001B2C4C" w:rsidP="007B4138">
      <w:pPr>
        <w:numPr>
          <w:ilvl w:val="2"/>
          <w:numId w:val="46"/>
        </w:numPr>
        <w:tabs>
          <w:tab w:val="left" w:pos="567"/>
        </w:tabs>
        <w:ind w:left="567" w:hanging="567"/>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falling</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(ii)</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processing</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prescribed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aim</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interest.</w:t>
      </w:r>
    </w:p>
    <w:p w14:paraId="64327D42" w14:textId="77777777" w:rsidR="001B2C4C" w:rsidRPr="00CD59CC" w:rsidRDefault="001B2C4C" w:rsidP="00CD59CC">
      <w:pPr>
        <w:rPr>
          <w:rFonts w:ascii="Arial" w:hAnsi="Arial" w:cs="Arial"/>
        </w:rPr>
      </w:pPr>
    </w:p>
    <w:p w14:paraId="7FFC2936" w14:textId="77777777" w:rsidR="001B2C4C" w:rsidRPr="00CD59CC" w:rsidRDefault="001B2C4C" w:rsidP="00CD59CC">
      <w:pPr>
        <w:rPr>
          <w:rFonts w:ascii="Arial" w:hAnsi="Arial" w:cs="Arial"/>
        </w:rPr>
      </w:pPr>
      <w:r w:rsidRPr="00CD59CC">
        <w:rPr>
          <w:rFonts w:ascii="Arial" w:hAnsi="Arial" w:cs="Arial"/>
        </w:rPr>
        <w:t>Thus,</w:t>
      </w:r>
      <w:r w:rsidR="007B7640" w:rsidRPr="00CD59CC">
        <w:rPr>
          <w:rFonts w:ascii="Arial" w:hAnsi="Arial" w:cs="Arial"/>
        </w:rPr>
        <w:t xml:space="preserve"> </w:t>
      </w:r>
      <w:r w:rsidRPr="00CD59CC">
        <w:rPr>
          <w:rFonts w:ascii="Arial" w:hAnsi="Arial" w:cs="Arial"/>
        </w:rPr>
        <w:t>unless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written</w:t>
      </w:r>
      <w:r w:rsidR="007B7640" w:rsidRPr="00CD59CC">
        <w:rPr>
          <w:rFonts w:ascii="Arial" w:hAnsi="Arial" w:cs="Arial"/>
        </w:rPr>
        <w:t xml:space="preserve"> </w:t>
      </w:r>
      <w:r w:rsidRPr="00CD59CC">
        <w:rPr>
          <w:rFonts w:ascii="Arial" w:hAnsi="Arial" w:cs="Arial"/>
        </w:rPr>
        <w:t>consent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highest</w:t>
      </w:r>
      <w:r w:rsidR="007B7640" w:rsidRPr="00CD59CC">
        <w:rPr>
          <w:rFonts w:ascii="Arial" w:hAnsi="Arial" w:cs="Arial"/>
        </w:rPr>
        <w:t xml:space="preserve"> </w:t>
      </w:r>
      <w:r w:rsidRPr="00CD59CC">
        <w:rPr>
          <w:rFonts w:ascii="Arial" w:hAnsi="Arial" w:cs="Arial"/>
        </w:rPr>
        <w:t>ranking</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statute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hierarchy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norms)</w:t>
      </w:r>
      <w:r w:rsidR="007B7640" w:rsidRPr="00CD59CC">
        <w:rPr>
          <w:rFonts w:ascii="Arial" w:hAnsi="Arial" w:cs="Arial"/>
        </w:rPr>
        <w:t xml:space="preserve"> </w:t>
      </w:r>
      <w:r w:rsidRPr="00CD59CC">
        <w:rPr>
          <w:rFonts w:ascii="Arial" w:hAnsi="Arial" w:cs="Arial"/>
        </w:rPr>
        <w:t>prescribes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records</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kept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collection</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p>
    <w:p w14:paraId="07C5ED77" w14:textId="77777777" w:rsidR="001B2C4C" w:rsidRPr="00CD59CC" w:rsidRDefault="001B2C4C" w:rsidP="00CD59CC">
      <w:pPr>
        <w:rPr>
          <w:rFonts w:ascii="Arial" w:hAnsi="Arial" w:cs="Arial"/>
        </w:rPr>
      </w:pPr>
    </w:p>
    <w:p w14:paraId="4F33909F" w14:textId="77777777" w:rsidR="001B2C4C" w:rsidRPr="00CD59CC" w:rsidRDefault="001B2C4C"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practical</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strict</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rules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resemble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great</w:t>
      </w:r>
      <w:r w:rsidR="007B7640" w:rsidRPr="00CD59CC">
        <w:rPr>
          <w:rFonts w:ascii="Arial" w:hAnsi="Arial" w:cs="Arial"/>
        </w:rPr>
        <w:t xml:space="preserve"> </w:t>
      </w:r>
      <w:r w:rsidRPr="00CD59CC">
        <w:rPr>
          <w:rFonts w:ascii="Arial" w:hAnsi="Arial" w:cs="Arial"/>
        </w:rPr>
        <w:t>extent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previous</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1992)</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authorities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fully</w:t>
      </w:r>
      <w:r w:rsidR="007B7640" w:rsidRPr="00CD59CC">
        <w:rPr>
          <w:rFonts w:ascii="Arial" w:hAnsi="Arial" w:cs="Arial"/>
        </w:rPr>
        <w:t xml:space="preserve"> </w:t>
      </w:r>
      <w:r w:rsidRPr="00CD59CC">
        <w:rPr>
          <w:rFonts w:ascii="Arial" w:hAnsi="Arial" w:cs="Arial"/>
        </w:rPr>
        <w:t>stopped</w:t>
      </w:r>
      <w:r w:rsidR="007B7640" w:rsidRPr="00CD59CC">
        <w:rPr>
          <w:rFonts w:ascii="Arial" w:hAnsi="Arial" w:cs="Arial"/>
        </w:rPr>
        <w:t xml:space="preserve"> </w:t>
      </w:r>
      <w:r w:rsidRPr="00CD59CC">
        <w:rPr>
          <w:rFonts w:ascii="Arial" w:hAnsi="Arial" w:cs="Arial"/>
        </w:rPr>
        <w:t>collecting</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sensitive</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obviously</w:t>
      </w:r>
      <w:r w:rsidR="007B7640" w:rsidRPr="00CD59CC">
        <w:rPr>
          <w:rFonts w:ascii="Arial" w:hAnsi="Arial" w:cs="Arial"/>
        </w:rPr>
        <w:t xml:space="preserve"> </w:t>
      </w:r>
      <w:r w:rsidRPr="00CD59CC">
        <w:rPr>
          <w:rFonts w:ascii="Arial" w:hAnsi="Arial" w:cs="Arial"/>
        </w:rPr>
        <w:t>very</w:t>
      </w:r>
      <w:r w:rsidR="007B7640" w:rsidRPr="00CD59CC">
        <w:rPr>
          <w:rFonts w:ascii="Arial" w:hAnsi="Arial" w:cs="Arial"/>
        </w:rPr>
        <w:t xml:space="preserve"> </w:t>
      </w:r>
      <w:r w:rsidRPr="00CD59CC">
        <w:rPr>
          <w:rFonts w:ascii="Arial" w:hAnsi="Arial" w:cs="Arial"/>
        </w:rPr>
        <w:t>detrimental</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monitoring</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fields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life.</w:t>
      </w:r>
      <w:r w:rsidR="007B7640" w:rsidRPr="00CD59CC">
        <w:rPr>
          <w:rFonts w:ascii="Arial" w:hAnsi="Arial" w:cs="Arial"/>
        </w:rPr>
        <w:t xml:space="preserve"> </w:t>
      </w:r>
    </w:p>
    <w:p w14:paraId="08400BEA" w14:textId="77777777" w:rsidR="001B2C4C" w:rsidRPr="00CD59CC" w:rsidRDefault="001B2C4C" w:rsidP="00CD59CC">
      <w:pPr>
        <w:rPr>
          <w:rFonts w:ascii="Arial" w:hAnsi="Arial" w:cs="Arial"/>
        </w:rPr>
      </w:pPr>
    </w:p>
    <w:p w14:paraId="1C15D5EB" w14:textId="77777777" w:rsidR="001B2C4C" w:rsidRPr="00CD59CC" w:rsidRDefault="001B2C4C" w:rsidP="00CD59CC">
      <w:pPr>
        <w:rPr>
          <w:rFonts w:ascii="Arial" w:hAnsi="Arial" w:cs="Arial"/>
        </w:rPr>
      </w:pPr>
      <w:r w:rsidRPr="00CD59CC">
        <w:rPr>
          <w:rFonts w:ascii="Arial" w:hAnsi="Arial" w:cs="Arial"/>
        </w:rPr>
        <w:t>For</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last</w:t>
      </w:r>
      <w:r w:rsidR="007B7640" w:rsidRPr="00CD59CC">
        <w:rPr>
          <w:rFonts w:ascii="Arial" w:hAnsi="Arial" w:cs="Arial"/>
        </w:rPr>
        <w:t xml:space="preserve"> </w:t>
      </w:r>
      <w:r w:rsidRPr="00CD59CC">
        <w:rPr>
          <w:rFonts w:ascii="Arial" w:hAnsi="Arial" w:cs="Arial"/>
        </w:rPr>
        <w:t>official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1993.</w:t>
      </w:r>
      <w:r w:rsidR="007B7640" w:rsidRPr="00CD59CC">
        <w:rPr>
          <w:rFonts w:ascii="Arial" w:hAnsi="Arial" w:cs="Arial"/>
        </w:rPr>
        <w:t xml:space="preserve"> </w:t>
      </w:r>
      <w:r w:rsidRPr="00CD59CC">
        <w:rPr>
          <w:rFonts w:ascii="Arial" w:hAnsi="Arial" w:cs="Arial"/>
        </w:rPr>
        <w:t>Since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t>sociological</w:t>
      </w:r>
      <w:r w:rsidR="007B7640" w:rsidRPr="00CD59CC">
        <w:rPr>
          <w:rFonts w:ascii="Arial" w:hAnsi="Arial" w:cs="Arial"/>
        </w:rPr>
        <w:t xml:space="preserve"> </w:t>
      </w:r>
      <w:r w:rsidRPr="00CD59CC">
        <w:rPr>
          <w:rFonts w:ascii="Arial" w:hAnsi="Arial" w:cs="Arial"/>
        </w:rPr>
        <w:t>researches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source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information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crucial</w:t>
      </w:r>
      <w:r w:rsidR="007B7640" w:rsidRPr="00CD59CC">
        <w:rPr>
          <w:rFonts w:ascii="Arial" w:hAnsi="Arial" w:cs="Arial"/>
        </w:rPr>
        <w:t xml:space="preserve"> </w:t>
      </w:r>
      <w:r w:rsidRPr="00CD59CC">
        <w:rPr>
          <w:rFonts w:ascii="Arial" w:hAnsi="Arial" w:cs="Arial"/>
        </w:rPr>
        <w:t>issue.</w:t>
      </w:r>
      <w:r w:rsidRPr="00CD59CC">
        <w:rPr>
          <w:rStyle w:val="Lbjegyzet-karakterek"/>
          <w:rFonts w:ascii="Arial" w:hAnsi="Arial" w:cs="Arial"/>
        </w:rPr>
        <w:footnoteReference w:id="38"/>
      </w:r>
      <w:r w:rsidR="007B7640" w:rsidRPr="00CD59CC">
        <w:rPr>
          <w:rFonts w:ascii="Arial" w:hAnsi="Arial" w:cs="Arial"/>
        </w:rPr>
        <w:t xml:space="preserve"> </w:t>
      </w:r>
    </w:p>
    <w:p w14:paraId="0CBC5DE8" w14:textId="77777777" w:rsidR="001B2C4C" w:rsidRPr="00CD59CC" w:rsidRDefault="001B2C4C" w:rsidP="00CD59CC">
      <w:pPr>
        <w:rPr>
          <w:rFonts w:ascii="Arial" w:hAnsi="Arial" w:cs="Arial"/>
        </w:rPr>
      </w:pPr>
    </w:p>
    <w:p w14:paraId="316B5656" w14:textId="77777777" w:rsidR="001B2C4C" w:rsidRPr="00CD59CC" w:rsidRDefault="001B2C4C"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exclude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processing</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scientific</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statistical</w:t>
      </w:r>
      <w:r w:rsidR="007B7640" w:rsidRPr="00CD59CC">
        <w:rPr>
          <w:rFonts w:ascii="Arial" w:hAnsi="Arial" w:cs="Arial"/>
        </w:rPr>
        <w:t xml:space="preserve"> </w:t>
      </w:r>
      <w:r w:rsidRPr="00CD59CC">
        <w:rPr>
          <w:rFonts w:ascii="Arial" w:hAnsi="Arial" w:cs="Arial"/>
        </w:rPr>
        <w:t>purposes.</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12,</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recorded</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stored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purposes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scientific</w:t>
      </w:r>
      <w:r w:rsidR="007B7640" w:rsidRPr="00CD59CC">
        <w:rPr>
          <w:rFonts w:ascii="Arial" w:hAnsi="Arial" w:cs="Arial"/>
        </w:rPr>
        <w:t xml:space="preserve"> </w:t>
      </w:r>
      <w:r w:rsidRPr="00CD59CC">
        <w:rPr>
          <w:rFonts w:ascii="Arial" w:hAnsi="Arial" w:cs="Arial"/>
        </w:rPr>
        <w:t>research</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used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purpose.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soon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research</w:t>
      </w:r>
      <w:r w:rsidR="007B7640" w:rsidRPr="00CD59CC">
        <w:rPr>
          <w:rFonts w:ascii="Arial" w:hAnsi="Arial" w:cs="Arial"/>
        </w:rPr>
        <w:t xml:space="preserve"> </w:t>
      </w:r>
      <w:r w:rsidRPr="00CD59CC">
        <w:rPr>
          <w:rFonts w:ascii="Arial" w:hAnsi="Arial" w:cs="Arial"/>
        </w:rPr>
        <w:t>purpose</w:t>
      </w:r>
      <w:r w:rsidR="007B7640" w:rsidRPr="00CD59CC">
        <w:rPr>
          <w:rFonts w:ascii="Arial" w:hAnsi="Arial" w:cs="Arial"/>
        </w:rPr>
        <w:t xml:space="preserve"> </w:t>
      </w:r>
      <w:r w:rsidRPr="00CD59CC">
        <w:rPr>
          <w:rFonts w:ascii="Arial" w:hAnsi="Arial" w:cs="Arial"/>
        </w:rPr>
        <w:t>allows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anonymous.</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make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identify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individual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subject</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stored</w:t>
      </w:r>
      <w:r w:rsidR="007B7640" w:rsidRPr="00CD59CC">
        <w:rPr>
          <w:rFonts w:ascii="Arial" w:hAnsi="Arial" w:cs="Arial"/>
        </w:rPr>
        <w:t xml:space="preserve"> </w:t>
      </w:r>
      <w:r w:rsidRPr="00CD59CC">
        <w:rPr>
          <w:rFonts w:ascii="Arial" w:hAnsi="Arial" w:cs="Arial"/>
        </w:rPr>
        <w:t>separately.</w:t>
      </w:r>
      <w:r w:rsidR="007B7640" w:rsidRPr="00CD59CC">
        <w:rPr>
          <w:rFonts w:ascii="Arial" w:hAnsi="Arial" w:cs="Arial"/>
        </w:rPr>
        <w:t xml:space="preserve"> </w:t>
      </w:r>
    </w:p>
    <w:p w14:paraId="7DDBFEE6" w14:textId="77777777" w:rsidR="001B2C4C" w:rsidRPr="00CD59CC" w:rsidRDefault="001B2C4C" w:rsidP="00CD59CC">
      <w:pPr>
        <w:rPr>
          <w:rFonts w:ascii="Arial" w:hAnsi="Arial" w:cs="Arial"/>
        </w:rPr>
      </w:pPr>
    </w:p>
    <w:p w14:paraId="7BCEBFB4" w14:textId="77777777" w:rsidR="001B2C4C" w:rsidRPr="00CD59CC" w:rsidRDefault="001B2C4C" w:rsidP="00CD59CC">
      <w:pPr>
        <w:rPr>
          <w:rFonts w:ascii="Arial" w:hAnsi="Arial" w:cs="Arial"/>
        </w:rPr>
      </w:pPr>
      <w:r w:rsidRPr="00CD59CC">
        <w:rPr>
          <w:rFonts w:ascii="Arial" w:hAnsi="Arial" w:cs="Arial"/>
        </w:rPr>
        <w:t>This</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solve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problem,</w:t>
      </w:r>
      <w:r w:rsidR="007B7640" w:rsidRPr="00CD59CC">
        <w:rPr>
          <w:rFonts w:ascii="Arial" w:hAnsi="Arial" w:cs="Arial"/>
        </w:rPr>
        <w:t xml:space="preserve"> </w:t>
      </w:r>
      <w:r w:rsidRPr="00CD59CC">
        <w:rPr>
          <w:rFonts w:ascii="Arial" w:hAnsi="Arial" w:cs="Arial"/>
        </w:rPr>
        <w:t>since</w:t>
      </w:r>
      <w:r w:rsidR="007B7640" w:rsidRPr="00CD59CC">
        <w:rPr>
          <w:rFonts w:ascii="Arial" w:hAnsi="Arial" w:cs="Arial"/>
        </w:rPr>
        <w:t xml:space="preserve"> </w:t>
      </w:r>
      <w:r w:rsidRPr="00CD59CC">
        <w:rPr>
          <w:rFonts w:ascii="Arial" w:hAnsi="Arial" w:cs="Arial"/>
        </w:rPr>
        <w:t>due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lack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systematic</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practically</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collection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official</w:t>
      </w:r>
      <w:r w:rsidR="007B7640" w:rsidRPr="00CD59CC">
        <w:rPr>
          <w:rFonts w:ascii="Arial" w:hAnsi="Arial" w:cs="Arial"/>
        </w:rPr>
        <w:t xml:space="preserve"> </w:t>
      </w:r>
      <w:r w:rsidRPr="00CD59CC">
        <w:rPr>
          <w:rFonts w:ascii="Arial" w:hAnsi="Arial" w:cs="Arial"/>
        </w:rPr>
        <w:t>authorities,</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databases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researchers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statistical</w:t>
      </w:r>
      <w:r w:rsidR="007B7640" w:rsidRPr="00CD59CC">
        <w:rPr>
          <w:rFonts w:ascii="Arial" w:hAnsi="Arial" w:cs="Arial"/>
        </w:rPr>
        <w:t xml:space="preserve"> </w:t>
      </w:r>
      <w:r w:rsidRPr="00CD59CC">
        <w:rPr>
          <w:rFonts w:ascii="Arial" w:hAnsi="Arial" w:cs="Arial"/>
        </w:rPr>
        <w:t>experts</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rely,</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need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serious</w:t>
      </w:r>
      <w:r w:rsidR="007B7640" w:rsidRPr="00CD59CC">
        <w:rPr>
          <w:rFonts w:ascii="Arial" w:hAnsi="Arial" w:cs="Arial"/>
        </w:rPr>
        <w:t xml:space="preserve"> </w:t>
      </w:r>
      <w:r w:rsidRPr="00CD59CC">
        <w:rPr>
          <w:rFonts w:ascii="Arial" w:hAnsi="Arial" w:cs="Arial"/>
        </w:rPr>
        <w:t>efforts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collect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directly</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subjects.</w:t>
      </w:r>
      <w:r w:rsidR="007B7640" w:rsidRPr="00CD59CC">
        <w:rPr>
          <w:rFonts w:ascii="Arial" w:hAnsi="Arial" w:cs="Arial"/>
        </w:rPr>
        <w:t xml:space="preserve"> </w:t>
      </w:r>
    </w:p>
    <w:p w14:paraId="459D49DC" w14:textId="77777777" w:rsidR="001B2C4C" w:rsidRPr="00CD59CC" w:rsidRDefault="001B2C4C" w:rsidP="00CD59CC">
      <w:pPr>
        <w:rPr>
          <w:rFonts w:ascii="Arial" w:hAnsi="Arial" w:cs="Arial"/>
        </w:rPr>
      </w:pPr>
    </w:p>
    <w:p w14:paraId="3E27654C" w14:textId="77777777" w:rsidR="001B2C4C" w:rsidRPr="00CD59CC" w:rsidRDefault="001B2C4C" w:rsidP="00CD59CC">
      <w:pPr>
        <w:rPr>
          <w:rFonts w:ascii="Arial" w:hAnsi="Arial" w:cs="Arial"/>
          <w:shd w:val="clear" w:color="auto" w:fill="FFFF00"/>
        </w:rPr>
      </w:pPr>
      <w:r w:rsidRPr="00CD59CC">
        <w:rPr>
          <w:rFonts w:ascii="Arial" w:hAnsi="Arial" w:cs="Arial"/>
        </w:rPr>
        <w:t>This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course</w:t>
      </w:r>
      <w:r w:rsidR="007B7640" w:rsidRPr="00CD59CC">
        <w:rPr>
          <w:rFonts w:ascii="Arial" w:hAnsi="Arial" w:cs="Arial"/>
        </w:rPr>
        <w:t xml:space="preserve"> </w:t>
      </w:r>
      <w:r w:rsidRPr="00CD59CC">
        <w:rPr>
          <w:rFonts w:ascii="Arial" w:hAnsi="Arial" w:cs="Arial"/>
        </w:rPr>
        <w:t>makes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researches</w:t>
      </w:r>
      <w:r w:rsidR="007B7640" w:rsidRPr="00CD59CC">
        <w:rPr>
          <w:rFonts w:ascii="Arial" w:hAnsi="Arial" w:cs="Arial"/>
        </w:rPr>
        <w:t xml:space="preserve"> </w:t>
      </w:r>
      <w:r w:rsidRPr="00CD59CC">
        <w:rPr>
          <w:rFonts w:ascii="Arial" w:hAnsi="Arial" w:cs="Arial"/>
        </w:rPr>
        <w:t>very</w:t>
      </w:r>
      <w:r w:rsidR="007B7640" w:rsidRPr="00CD59CC">
        <w:rPr>
          <w:rFonts w:ascii="Arial" w:hAnsi="Arial" w:cs="Arial"/>
        </w:rPr>
        <w:t xml:space="preserve"> </w:t>
      </w:r>
      <w:r w:rsidRPr="00CD59CC">
        <w:rPr>
          <w:rFonts w:ascii="Arial" w:hAnsi="Arial" w:cs="Arial"/>
        </w:rPr>
        <w:t>expensive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t>consuming,</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surveys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very</w:t>
      </w:r>
      <w:r w:rsidR="007B7640" w:rsidRPr="00CD59CC">
        <w:rPr>
          <w:rFonts w:ascii="Arial" w:hAnsi="Arial" w:cs="Arial"/>
        </w:rPr>
        <w:t xml:space="preserve"> </w:t>
      </w:r>
      <w:r w:rsidRPr="00CD59CC">
        <w:rPr>
          <w:rFonts w:ascii="Arial" w:hAnsi="Arial" w:cs="Arial"/>
        </w:rPr>
        <w:t>rare,</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constitutes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severe</w:t>
      </w:r>
      <w:r w:rsidR="007B7640" w:rsidRPr="00CD59CC">
        <w:rPr>
          <w:rFonts w:ascii="Arial" w:hAnsi="Arial" w:cs="Arial"/>
        </w:rPr>
        <w:t xml:space="preserve"> </w:t>
      </w:r>
      <w:r w:rsidRPr="00CD59CC">
        <w:rPr>
          <w:rFonts w:ascii="Arial" w:hAnsi="Arial" w:cs="Arial"/>
        </w:rPr>
        <w:t>obstacle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assessing</w:t>
      </w:r>
      <w:r w:rsidR="007B7640" w:rsidRPr="00CD59CC">
        <w:rPr>
          <w:rFonts w:ascii="Arial" w:hAnsi="Arial" w:cs="Arial"/>
        </w:rPr>
        <w:t xml:space="preserve"> </w:t>
      </w:r>
      <w:r w:rsidRPr="00CD59CC">
        <w:rPr>
          <w:rFonts w:ascii="Arial" w:hAnsi="Arial" w:cs="Arial"/>
        </w:rPr>
        <w:t>country-wide</w:t>
      </w:r>
      <w:r w:rsidR="007B7640" w:rsidRPr="00CD59CC">
        <w:rPr>
          <w:rFonts w:ascii="Arial" w:hAnsi="Arial" w:cs="Arial"/>
        </w:rPr>
        <w:t xml:space="preserve"> </w:t>
      </w:r>
      <w:r w:rsidRPr="00CD59CC">
        <w:rPr>
          <w:rFonts w:ascii="Arial" w:hAnsi="Arial" w:cs="Arial"/>
        </w:rPr>
        <w:t>trends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problems,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designing</w:t>
      </w:r>
      <w:r w:rsidR="007B7640" w:rsidRPr="00CD59CC">
        <w:rPr>
          <w:rFonts w:ascii="Arial" w:hAnsi="Arial" w:cs="Arial"/>
        </w:rPr>
        <w:t xml:space="preserve"> </w:t>
      </w:r>
      <w:r w:rsidRPr="00CD59CC">
        <w:rPr>
          <w:rFonts w:ascii="Arial" w:hAnsi="Arial" w:cs="Arial"/>
        </w:rPr>
        <w:t>positive</w:t>
      </w:r>
      <w:r w:rsidR="007B7640" w:rsidRPr="00CD59CC">
        <w:rPr>
          <w:rFonts w:ascii="Arial" w:hAnsi="Arial" w:cs="Arial"/>
        </w:rPr>
        <w:t xml:space="preserve"> </w:t>
      </w:r>
      <w:r w:rsidRPr="00CD59CC">
        <w:rPr>
          <w:rFonts w:ascii="Arial" w:hAnsi="Arial" w:cs="Arial"/>
        </w:rPr>
        <w:t>measures.</w:t>
      </w:r>
    </w:p>
    <w:p w14:paraId="0865EF6D" w14:textId="77777777" w:rsidR="001B2C4C" w:rsidRPr="00CD59CC" w:rsidRDefault="001B2C4C" w:rsidP="00CD59CC">
      <w:pPr>
        <w:rPr>
          <w:rFonts w:ascii="Arial" w:hAnsi="Arial" w:cs="Arial"/>
        </w:rPr>
      </w:pPr>
    </w:p>
    <w:p w14:paraId="499EE1C5" w14:textId="4B651BB3" w:rsidR="001B2C4C" w:rsidRPr="00CD59CC" w:rsidRDefault="001B2C4C" w:rsidP="00CD59CC">
      <w:pPr>
        <w:rPr>
          <w:rFonts w:ascii="Arial" w:hAnsi="Arial" w:cs="Arial"/>
        </w:rPr>
      </w:pPr>
      <w:r w:rsidRPr="00CD59CC">
        <w:rPr>
          <w:rFonts w:ascii="Arial" w:hAnsi="Arial" w:cs="Arial"/>
        </w:rPr>
        <w:t>This</w:t>
      </w:r>
      <w:r w:rsidR="007B7640" w:rsidRPr="00CD59CC">
        <w:rPr>
          <w:rFonts w:ascii="Arial" w:hAnsi="Arial" w:cs="Arial"/>
        </w:rPr>
        <w:t xml:space="preserve"> </w:t>
      </w:r>
      <w:r w:rsidRPr="00CD59CC">
        <w:rPr>
          <w:rFonts w:ascii="Arial" w:hAnsi="Arial" w:cs="Arial"/>
        </w:rPr>
        <w:t>forces</w:t>
      </w:r>
      <w:r w:rsidR="007B7640" w:rsidRPr="00CD59CC">
        <w:rPr>
          <w:rFonts w:ascii="Arial" w:hAnsi="Arial" w:cs="Arial"/>
        </w:rPr>
        <w:t xml:space="preserve"> </w:t>
      </w:r>
      <w:r w:rsidRPr="00CD59CC">
        <w:rPr>
          <w:rFonts w:ascii="Arial" w:hAnsi="Arial" w:cs="Arial"/>
        </w:rPr>
        <w:t>legislators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go</w:t>
      </w:r>
      <w:r w:rsidR="007B7640" w:rsidRPr="00CD59CC">
        <w:rPr>
          <w:rFonts w:ascii="Arial" w:hAnsi="Arial" w:cs="Arial"/>
        </w:rPr>
        <w:t xml:space="preserve"> </w:t>
      </w:r>
      <w:r w:rsidRPr="00CD59CC">
        <w:rPr>
          <w:rFonts w:ascii="Arial" w:hAnsi="Arial" w:cs="Arial"/>
        </w:rPr>
        <w:t>round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problems</w:t>
      </w:r>
      <w:r w:rsidR="007B7640" w:rsidRPr="00CD59CC">
        <w:rPr>
          <w:rFonts w:ascii="Arial" w:hAnsi="Arial" w:cs="Arial"/>
        </w:rPr>
        <w:t xml:space="preserve"> </w:t>
      </w:r>
      <w:r w:rsidRPr="00CD59CC">
        <w:rPr>
          <w:rFonts w:ascii="Arial" w:hAnsi="Arial" w:cs="Arial"/>
        </w:rPr>
        <w:t>created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lack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ways.</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example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program</w:t>
      </w:r>
      <w:r w:rsidR="007B7640" w:rsidRPr="00CD59CC">
        <w:rPr>
          <w:rFonts w:ascii="Arial" w:hAnsi="Arial" w:cs="Arial"/>
        </w:rPr>
        <w:t xml:space="preserve">me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eliminating</w:t>
      </w:r>
      <w:r w:rsidR="007B7640" w:rsidRPr="00CD59CC">
        <w:rPr>
          <w:rFonts w:ascii="Arial" w:hAnsi="Arial" w:cs="Arial"/>
        </w:rPr>
        <w:t xml:space="preserve"> </w:t>
      </w:r>
      <w:r w:rsidRPr="00CD59CC">
        <w:rPr>
          <w:rFonts w:ascii="Arial" w:hAnsi="Arial" w:cs="Arial"/>
        </w:rPr>
        <w:t>segregated</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residential</w:t>
      </w:r>
      <w:r w:rsidR="007B7640" w:rsidRPr="00CD59CC">
        <w:rPr>
          <w:rFonts w:ascii="Arial" w:hAnsi="Arial" w:cs="Arial"/>
        </w:rPr>
        <w:t xml:space="preserve"> </w:t>
      </w:r>
      <w:r w:rsidRPr="00CD59CC">
        <w:rPr>
          <w:rFonts w:ascii="Arial" w:hAnsi="Arial" w:cs="Arial"/>
        </w:rPr>
        <w:t>areas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more</w:t>
      </w:r>
      <w:r w:rsidR="007B7640" w:rsidRPr="00CD59CC">
        <w:rPr>
          <w:rFonts w:ascii="Arial" w:hAnsi="Arial" w:cs="Arial"/>
        </w:rPr>
        <w:t xml:space="preserve"> </w:t>
      </w:r>
      <w:r w:rsidRPr="00CD59CC">
        <w:rPr>
          <w:rFonts w:ascii="Arial" w:hAnsi="Arial" w:cs="Arial"/>
        </w:rPr>
        <w:t>details,</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5).</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2008</w:t>
      </w:r>
      <w:r w:rsidR="007B7640" w:rsidRPr="00CD59CC">
        <w:rPr>
          <w:rFonts w:ascii="Arial" w:hAnsi="Arial" w:cs="Arial"/>
        </w:rPr>
        <w:t xml:space="preserve"> </w:t>
      </w:r>
      <w:r w:rsidRPr="00CD59CC">
        <w:rPr>
          <w:rFonts w:ascii="Arial" w:hAnsi="Arial" w:cs="Arial"/>
        </w:rPr>
        <w:t>call</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tender,</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stated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program</w:t>
      </w:r>
      <w:r w:rsidR="007B7640" w:rsidRPr="00CD59CC">
        <w:rPr>
          <w:rFonts w:ascii="Arial" w:hAnsi="Arial" w:cs="Arial"/>
        </w:rPr>
        <w:t xml:space="preserve">me </w:t>
      </w:r>
      <w:r w:rsidRPr="00CD59CC">
        <w:rPr>
          <w:rFonts w:ascii="Arial" w:hAnsi="Arial" w:cs="Arial"/>
        </w:rPr>
        <w:t>is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positive</w:t>
      </w:r>
      <w:r w:rsidR="007B7640" w:rsidRPr="00CD59CC">
        <w:rPr>
          <w:rFonts w:ascii="Arial" w:hAnsi="Arial" w:cs="Arial"/>
        </w:rPr>
        <w:t xml:space="preserve"> </w:t>
      </w:r>
      <w:r w:rsidRPr="00CD59CC">
        <w:rPr>
          <w:rFonts w:ascii="Arial" w:hAnsi="Arial" w:cs="Arial"/>
        </w:rPr>
        <w:t>measure</w:t>
      </w:r>
      <w:r w:rsidR="007B7640" w:rsidRPr="00CD59CC">
        <w:rPr>
          <w:rFonts w:ascii="Arial" w:hAnsi="Arial" w:cs="Arial"/>
        </w:rPr>
        <w:t xml:space="preserve"> </w:t>
      </w:r>
      <w:r w:rsidRPr="00CD59CC">
        <w:rPr>
          <w:rFonts w:ascii="Arial" w:hAnsi="Arial" w:cs="Arial"/>
        </w:rPr>
        <w:t>designed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lastRenderedPageBreak/>
        <w:t>promote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integration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presented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attempt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eliminate</w:t>
      </w:r>
      <w:r w:rsidR="007B7640" w:rsidRPr="00CD59CC">
        <w:rPr>
          <w:rFonts w:ascii="Arial" w:hAnsi="Arial" w:cs="Arial"/>
        </w:rPr>
        <w:t xml:space="preserve"> </w:t>
      </w:r>
      <w:r w:rsidRPr="00CD59CC">
        <w:rPr>
          <w:rFonts w:ascii="Arial" w:hAnsi="Arial" w:cs="Arial"/>
        </w:rPr>
        <w:t>segregated</w:t>
      </w:r>
      <w:r w:rsidR="007B7640" w:rsidRPr="00CD59CC">
        <w:rPr>
          <w:rFonts w:ascii="Arial" w:hAnsi="Arial" w:cs="Arial"/>
        </w:rPr>
        <w:t xml:space="preserve"> </w:t>
      </w:r>
      <w:r w:rsidRPr="00CD59CC">
        <w:rPr>
          <w:rFonts w:ascii="Arial" w:hAnsi="Arial" w:cs="Arial"/>
        </w:rPr>
        <w:t>areas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reduce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geographical</w:t>
      </w:r>
      <w:r w:rsidR="007B7640" w:rsidRPr="00CD59CC">
        <w:rPr>
          <w:rFonts w:ascii="Arial" w:hAnsi="Arial" w:cs="Arial"/>
        </w:rPr>
        <w:t xml:space="preserve"> </w:t>
      </w:r>
      <w:r w:rsidRPr="00CD59CC">
        <w:rPr>
          <w:rFonts w:ascii="Arial" w:hAnsi="Arial" w:cs="Arial"/>
        </w:rPr>
        <w:t>concentration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most</w:t>
      </w:r>
      <w:r w:rsidR="007B7640" w:rsidRPr="00CD59CC">
        <w:rPr>
          <w:rFonts w:ascii="Arial" w:hAnsi="Arial" w:cs="Arial"/>
        </w:rPr>
        <w:t xml:space="preserve"> </w:t>
      </w:r>
      <w:r w:rsidRPr="00CD59CC">
        <w:rPr>
          <w:rFonts w:ascii="Arial" w:hAnsi="Arial" w:cs="Arial"/>
        </w:rPr>
        <w:t>indigent</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designers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program</w:t>
      </w:r>
      <w:r w:rsidR="007B7640" w:rsidRPr="00CD59CC">
        <w:rPr>
          <w:rFonts w:ascii="Arial" w:hAnsi="Arial" w:cs="Arial"/>
        </w:rPr>
        <w:t xml:space="preserve">me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segregated</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settlements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areas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settlements,</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average</w:t>
      </w:r>
      <w:r w:rsidR="007B7640" w:rsidRPr="00CD59CC">
        <w:rPr>
          <w:rFonts w:ascii="Arial" w:hAnsi="Arial" w:cs="Arial"/>
        </w:rPr>
        <w:t xml:space="preserve"> </w:t>
      </w:r>
      <w:r w:rsidRPr="00CD59CC">
        <w:rPr>
          <w:rFonts w:ascii="Arial" w:hAnsi="Arial" w:cs="Arial"/>
        </w:rPr>
        <w:t>proportion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undereducated</w:t>
      </w:r>
      <w:r w:rsidR="007B7640" w:rsidRPr="00CD59CC">
        <w:rPr>
          <w:rFonts w:ascii="Arial" w:hAnsi="Arial" w:cs="Arial"/>
        </w:rPr>
        <w:t xml:space="preserve"> </w:t>
      </w:r>
      <w:r w:rsidRPr="00CD59CC">
        <w:rPr>
          <w:rFonts w:ascii="Arial" w:hAnsi="Arial" w:cs="Arial"/>
        </w:rPr>
        <w:t>and/or</w:t>
      </w:r>
      <w:r w:rsidR="007B7640" w:rsidRPr="00CD59CC">
        <w:rPr>
          <w:rFonts w:ascii="Arial" w:hAnsi="Arial" w:cs="Arial"/>
        </w:rPr>
        <w:t xml:space="preserve"> </w:t>
      </w:r>
      <w:r w:rsidRPr="00CD59CC">
        <w:rPr>
          <w:rFonts w:ascii="Arial" w:hAnsi="Arial" w:cs="Arial"/>
        </w:rPr>
        <w:t>unemployed</w:t>
      </w:r>
      <w:r w:rsidR="007B7640" w:rsidRPr="00CD59CC">
        <w:rPr>
          <w:rFonts w:ascii="Arial" w:hAnsi="Arial" w:cs="Arial"/>
        </w:rPr>
        <w:t xml:space="preserve"> </w:t>
      </w:r>
      <w:r w:rsidRPr="00CD59CC">
        <w:rPr>
          <w:rFonts w:ascii="Arial" w:hAnsi="Arial" w:cs="Arial"/>
        </w:rPr>
        <w:t>population”.</w:t>
      </w:r>
      <w:r w:rsidR="007B7640" w:rsidRPr="00CD59CC">
        <w:rPr>
          <w:rFonts w:ascii="Arial" w:hAnsi="Arial" w:cs="Arial"/>
        </w:rPr>
        <w:t xml:space="preserve"> </w:t>
      </w:r>
    </w:p>
    <w:p w14:paraId="6F480CBE" w14:textId="77777777" w:rsidR="001B2C4C" w:rsidRPr="00CD59CC" w:rsidRDefault="001B2C4C" w:rsidP="00CD59CC">
      <w:pPr>
        <w:rPr>
          <w:rFonts w:ascii="Arial" w:hAnsi="Arial" w:cs="Arial"/>
        </w:rPr>
      </w:pPr>
    </w:p>
    <w:p w14:paraId="3A1DCE7C" w14:textId="00E47D85" w:rsidR="001B2C4C" w:rsidRPr="00CD59CC" w:rsidRDefault="001B2C4C"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programme </w:t>
      </w:r>
      <w:r w:rsidRPr="00CD59CC">
        <w:rPr>
          <w:rFonts w:ascii="Arial" w:hAnsi="Arial" w:cs="Arial"/>
        </w:rPr>
        <w:t>is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reach</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then</w:t>
      </w:r>
      <w:r w:rsidR="007B7640" w:rsidRPr="00CD59CC">
        <w:rPr>
          <w:rFonts w:ascii="Arial" w:hAnsi="Arial" w:cs="Arial"/>
        </w:rPr>
        <w:t xml:space="preserve"> </w:t>
      </w:r>
      <w:r w:rsidRPr="00CD59CC">
        <w:rPr>
          <w:rFonts w:ascii="Arial" w:hAnsi="Arial" w:cs="Arial"/>
        </w:rPr>
        <w:t>end</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project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proportion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unemployed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inactive</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compared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total</w:t>
      </w:r>
      <w:r w:rsidR="007B7640" w:rsidRPr="00CD59CC">
        <w:rPr>
          <w:rFonts w:ascii="Arial" w:hAnsi="Arial" w:cs="Arial"/>
        </w:rPr>
        <w:t xml:space="preserve"> </w:t>
      </w:r>
      <w:r w:rsidRPr="00CD59CC">
        <w:rPr>
          <w:rFonts w:ascii="Arial" w:hAnsi="Arial" w:cs="Arial"/>
        </w:rPr>
        <w:t>population</w:t>
      </w:r>
      <w:r w:rsidR="007B7640" w:rsidRPr="00CD59CC">
        <w:rPr>
          <w:rFonts w:ascii="Arial" w:hAnsi="Arial" w:cs="Arial"/>
        </w:rPr>
        <w:t xml:space="preserve"> </w:t>
      </w:r>
      <w:r w:rsidRPr="00CD59CC">
        <w:rPr>
          <w:rFonts w:ascii="Arial" w:hAnsi="Arial" w:cs="Arial"/>
        </w:rPr>
        <w:t>should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areas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given</w:t>
      </w:r>
      <w:r w:rsidR="007B7640" w:rsidRPr="00CD59CC">
        <w:rPr>
          <w:rFonts w:ascii="Arial" w:hAnsi="Arial" w:cs="Arial"/>
        </w:rPr>
        <w:t xml:space="preserve"> </w:t>
      </w:r>
      <w:r w:rsidRPr="00CD59CC">
        <w:rPr>
          <w:rFonts w:ascii="Arial" w:hAnsi="Arial" w:cs="Arial"/>
        </w:rPr>
        <w:t>settlement.</w:t>
      </w:r>
      <w:r w:rsidRPr="00CD59CC">
        <w:rPr>
          <w:rStyle w:val="Lbjegyzet-karakterek"/>
          <w:rFonts w:ascii="Arial" w:hAnsi="Arial" w:cs="Arial"/>
        </w:rPr>
        <w:footnoteReference w:id="39"/>
      </w:r>
    </w:p>
    <w:p w14:paraId="24872F75" w14:textId="77777777" w:rsidR="001B2C4C" w:rsidRPr="00CD59CC" w:rsidRDefault="001B2C4C" w:rsidP="00CD59CC">
      <w:pPr>
        <w:rPr>
          <w:rFonts w:ascii="Arial" w:hAnsi="Arial" w:cs="Arial"/>
        </w:rPr>
      </w:pPr>
    </w:p>
    <w:p w14:paraId="71346F1F" w14:textId="77777777" w:rsidR="001B2C4C" w:rsidRPr="00CD59CC" w:rsidRDefault="001B2C4C" w:rsidP="00CD59CC">
      <w:pPr>
        <w:rPr>
          <w:rFonts w:ascii="Arial" w:hAnsi="Arial" w:cs="Arial"/>
        </w:rPr>
      </w:pPr>
      <w:r w:rsidRPr="00CD59CC">
        <w:rPr>
          <w:rFonts w:ascii="Arial" w:hAnsi="Arial" w:cs="Arial"/>
        </w:rPr>
        <w:t>This</w:t>
      </w:r>
      <w:r w:rsidR="007B7640" w:rsidRPr="00CD59CC">
        <w:rPr>
          <w:rFonts w:ascii="Arial" w:hAnsi="Arial" w:cs="Arial"/>
        </w:rPr>
        <w:t xml:space="preserve"> </w:t>
      </w:r>
      <w:r w:rsidRPr="00CD59CC">
        <w:rPr>
          <w:rFonts w:ascii="Arial" w:hAnsi="Arial" w:cs="Arial"/>
        </w:rPr>
        <w:t>approach</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indigence</w:t>
      </w:r>
      <w:r w:rsidR="007B7640" w:rsidRPr="00CD59CC">
        <w:rPr>
          <w:rFonts w:ascii="Arial" w:hAnsi="Arial" w:cs="Arial"/>
        </w:rPr>
        <w:t xml:space="preserve"> </w:t>
      </w:r>
      <w:r w:rsidRPr="00CD59CC">
        <w:rPr>
          <w:rFonts w:ascii="Arial" w:hAnsi="Arial" w:cs="Arial"/>
        </w:rPr>
        <w:t>instead</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explained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intention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generate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little</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tension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while</w:t>
      </w:r>
      <w:r w:rsidR="007B7640" w:rsidRPr="00CD59CC">
        <w:rPr>
          <w:rFonts w:ascii="Arial" w:hAnsi="Arial" w:cs="Arial"/>
        </w:rPr>
        <w:t xml:space="preserve"> </w:t>
      </w:r>
      <w:r w:rsidRPr="00CD59CC">
        <w:rPr>
          <w:rFonts w:ascii="Arial" w:hAnsi="Arial" w:cs="Arial"/>
        </w:rPr>
        <w:t>achieving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goal</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highly</w:t>
      </w:r>
      <w:r w:rsidR="007B7640" w:rsidRPr="00CD59CC">
        <w:rPr>
          <w:rFonts w:ascii="Arial" w:hAnsi="Arial" w:cs="Arial"/>
        </w:rPr>
        <w:t xml:space="preserve"> </w:t>
      </w:r>
      <w:r w:rsidRPr="00CD59CC">
        <w:rPr>
          <w:rFonts w:ascii="Arial" w:hAnsi="Arial" w:cs="Arial"/>
        </w:rPr>
        <w:t>over-represented</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poorest</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lack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reliable</w:t>
      </w:r>
      <w:r w:rsidR="007B7640" w:rsidRPr="00CD59CC">
        <w:rPr>
          <w:rFonts w:ascii="Arial" w:hAnsi="Arial" w:cs="Arial"/>
        </w:rPr>
        <w:t xml:space="preserve"> </w:t>
      </w:r>
      <w:r w:rsidRPr="00CD59CC">
        <w:rPr>
          <w:rFonts w:ascii="Arial" w:hAnsi="Arial" w:cs="Arial"/>
        </w:rPr>
        <w:t>statistics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sensitive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(whereas</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unemployment,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entitlement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benefits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place).</w:t>
      </w:r>
    </w:p>
    <w:p w14:paraId="0397ED61" w14:textId="77777777" w:rsidR="001B2C4C" w:rsidRPr="00CD59CC" w:rsidRDefault="001B2C4C" w:rsidP="00CD59CC">
      <w:pPr>
        <w:rPr>
          <w:rFonts w:ascii="Arial" w:hAnsi="Arial" w:cs="Arial"/>
        </w:rPr>
      </w:pPr>
    </w:p>
    <w:p w14:paraId="767A521D" w14:textId="58B00279" w:rsidR="001B2C4C" w:rsidRDefault="001B2C4C" w:rsidP="00CD59CC">
      <w:pPr>
        <w:rPr>
          <w:rFonts w:ascii="Arial" w:hAnsi="Arial" w:cs="Arial"/>
        </w:rPr>
      </w:pPr>
      <w:r w:rsidRPr="00CD59CC">
        <w:rPr>
          <w:rFonts w:ascii="Arial" w:hAnsi="Arial" w:cs="Arial"/>
        </w:rPr>
        <w:t>There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instances</w:t>
      </w:r>
      <w:r w:rsidR="007B7640" w:rsidRPr="00CD59CC">
        <w:rPr>
          <w:rFonts w:ascii="Arial" w:hAnsi="Arial" w:cs="Arial"/>
        </w:rPr>
        <w:t xml:space="preserve"> </w:t>
      </w:r>
      <w:r w:rsidRPr="00CD59CC">
        <w:rPr>
          <w:rFonts w:ascii="Arial" w:hAnsi="Arial" w:cs="Arial"/>
        </w:rPr>
        <w:t>though,</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sensitive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officially</w:t>
      </w:r>
      <w:r w:rsidR="007B7640" w:rsidRPr="00CD59CC">
        <w:rPr>
          <w:rFonts w:ascii="Arial" w:hAnsi="Arial" w:cs="Arial"/>
        </w:rPr>
        <w:t xml:space="preserve"> </w:t>
      </w:r>
      <w:r w:rsidRPr="00CD59CC">
        <w:rPr>
          <w:rFonts w:ascii="Arial" w:hAnsi="Arial" w:cs="Arial"/>
        </w:rPr>
        <w:t>collected.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most</w:t>
      </w:r>
      <w:r w:rsidR="007B7640" w:rsidRPr="00CD59CC">
        <w:rPr>
          <w:rFonts w:ascii="Arial" w:hAnsi="Arial" w:cs="Arial"/>
        </w:rPr>
        <w:t xml:space="preserve"> </w:t>
      </w:r>
      <w:r w:rsidRPr="00CD59CC">
        <w:rPr>
          <w:rFonts w:ascii="Arial" w:hAnsi="Arial" w:cs="Arial"/>
        </w:rPr>
        <w:t>obvious</w:t>
      </w:r>
      <w:r w:rsidR="007B7640" w:rsidRPr="00CD59CC">
        <w:rPr>
          <w:rFonts w:ascii="Arial" w:hAnsi="Arial" w:cs="Arial"/>
        </w:rPr>
        <w:t xml:space="preserve"> </w:t>
      </w:r>
      <w:r w:rsidRPr="00CD59CC">
        <w:rPr>
          <w:rFonts w:ascii="Arial" w:hAnsi="Arial" w:cs="Arial"/>
        </w:rPr>
        <w:t>being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regular</w:t>
      </w:r>
      <w:r w:rsidR="007B7640" w:rsidRPr="00CD59CC">
        <w:rPr>
          <w:rFonts w:ascii="Arial" w:hAnsi="Arial" w:cs="Arial"/>
        </w:rPr>
        <w:t xml:space="preserve"> </w:t>
      </w:r>
      <w:r w:rsidRPr="00CD59CC">
        <w:rPr>
          <w:rFonts w:ascii="Arial" w:hAnsi="Arial" w:cs="Arial"/>
        </w:rPr>
        <w:t>censuses.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last</w:t>
      </w:r>
      <w:r w:rsidR="007B7640" w:rsidRPr="00CD59CC">
        <w:rPr>
          <w:rFonts w:ascii="Arial" w:hAnsi="Arial" w:cs="Arial"/>
        </w:rPr>
        <w:t xml:space="preserve"> </w:t>
      </w:r>
      <w:r w:rsidRPr="00CD59CC">
        <w:rPr>
          <w:rFonts w:ascii="Arial" w:hAnsi="Arial" w:cs="Arial"/>
        </w:rPr>
        <w:t>census</w:t>
      </w:r>
      <w:r w:rsidR="007B7640" w:rsidRPr="00CD59CC">
        <w:rPr>
          <w:rFonts w:ascii="Arial" w:hAnsi="Arial" w:cs="Arial"/>
        </w:rPr>
        <w:t xml:space="preserve"> </w:t>
      </w:r>
      <w:r w:rsidRPr="00CD59CC">
        <w:rPr>
          <w:rFonts w:ascii="Arial" w:hAnsi="Arial" w:cs="Arial"/>
        </w:rPr>
        <w:t>took</w:t>
      </w:r>
      <w:r w:rsidR="007B7640" w:rsidRPr="00CD59CC">
        <w:rPr>
          <w:rFonts w:ascii="Arial" w:hAnsi="Arial" w:cs="Arial"/>
        </w:rPr>
        <w:t xml:space="preserve"> </w:t>
      </w:r>
      <w:r w:rsidRPr="00CD59CC">
        <w:rPr>
          <w:rFonts w:ascii="Arial" w:hAnsi="Arial" w:cs="Arial"/>
        </w:rPr>
        <w:t>place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2011.</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CXXX</w:t>
      </w:r>
      <w:r w:rsidR="00B8467A" w:rsidRPr="00CD59CC">
        <w:rPr>
          <w:rFonts w:ascii="Arial" w:hAnsi="Arial" w:cs="Arial"/>
        </w:rPr>
        <w:t>IX</w:t>
      </w:r>
      <w:r w:rsidR="007B7640" w:rsidRPr="00CD59CC">
        <w:rPr>
          <w:rFonts w:ascii="Arial" w:hAnsi="Arial" w:cs="Arial"/>
        </w:rPr>
        <w:t xml:space="preserve"> </w:t>
      </w:r>
      <w:r w:rsidR="00B8467A" w:rsidRPr="00CD59CC">
        <w:rPr>
          <w:rFonts w:ascii="Arial" w:hAnsi="Arial" w:cs="Arial"/>
        </w:rPr>
        <w:t>of</w:t>
      </w:r>
      <w:r w:rsidR="007B7640" w:rsidRPr="00CD59CC">
        <w:rPr>
          <w:rFonts w:ascii="Arial" w:hAnsi="Arial" w:cs="Arial"/>
        </w:rPr>
        <w:t xml:space="preserve"> </w:t>
      </w:r>
      <w:r w:rsidR="00B8467A" w:rsidRPr="00CD59CC">
        <w:rPr>
          <w:rFonts w:ascii="Arial" w:hAnsi="Arial" w:cs="Arial"/>
        </w:rPr>
        <w:t>2009</w:t>
      </w:r>
      <w:r w:rsidR="007B7640" w:rsidRPr="00CD59CC">
        <w:rPr>
          <w:rFonts w:ascii="Arial" w:hAnsi="Arial" w:cs="Arial"/>
        </w:rPr>
        <w:t xml:space="preserve"> </w:t>
      </w:r>
      <w:r w:rsidR="00B8467A" w:rsidRPr="00CD59CC">
        <w:rPr>
          <w:rFonts w:ascii="Arial" w:hAnsi="Arial" w:cs="Arial"/>
        </w:rPr>
        <w:t>on</w:t>
      </w:r>
      <w:r w:rsidR="007B7640" w:rsidRPr="00CD59CC">
        <w:rPr>
          <w:rFonts w:ascii="Arial" w:hAnsi="Arial" w:cs="Arial"/>
        </w:rPr>
        <w:t xml:space="preserve"> </w:t>
      </w:r>
      <w:r w:rsidR="00B8467A" w:rsidRPr="00CD59CC">
        <w:rPr>
          <w:rFonts w:ascii="Arial" w:hAnsi="Arial" w:cs="Arial"/>
        </w:rPr>
        <w:t>the</w:t>
      </w:r>
      <w:r w:rsidR="007B7640" w:rsidRPr="00CD59CC">
        <w:rPr>
          <w:rFonts w:ascii="Arial" w:hAnsi="Arial" w:cs="Arial"/>
        </w:rPr>
        <w:t xml:space="preserve"> </w:t>
      </w:r>
      <w:r w:rsidR="00B8467A" w:rsidRPr="00CD59CC">
        <w:rPr>
          <w:rFonts w:ascii="Arial" w:hAnsi="Arial" w:cs="Arial"/>
        </w:rPr>
        <w:t>2011</w:t>
      </w:r>
      <w:r w:rsidR="007B7640" w:rsidRPr="00CD59CC">
        <w:rPr>
          <w:rFonts w:ascii="Arial" w:hAnsi="Arial" w:cs="Arial"/>
        </w:rPr>
        <w:t xml:space="preserve"> </w:t>
      </w:r>
      <w:r w:rsidR="00B8467A" w:rsidRPr="00CD59CC">
        <w:rPr>
          <w:rFonts w:ascii="Arial" w:hAnsi="Arial" w:cs="Arial"/>
        </w:rPr>
        <w:t>Census,</w:t>
      </w:r>
      <w:r w:rsidR="007B7640" w:rsidRPr="00CD59CC">
        <w:rPr>
          <w:rFonts w:ascii="Arial" w:hAnsi="Arial" w:cs="Arial"/>
        </w:rPr>
        <w:t xml:space="preserve"> </w:t>
      </w:r>
      <w:r w:rsidRPr="00CD59CC">
        <w:rPr>
          <w:rFonts w:ascii="Arial" w:hAnsi="Arial" w:cs="Arial"/>
        </w:rPr>
        <w:t>answering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questions</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status</w:t>
      </w:r>
      <w:r w:rsidR="007B7640" w:rsidRPr="00CD59CC">
        <w:rPr>
          <w:rFonts w:ascii="Arial" w:hAnsi="Arial" w:cs="Arial"/>
        </w:rPr>
        <w:t xml:space="preserve"> </w:t>
      </w:r>
      <w:r w:rsidRPr="00CD59CC">
        <w:rPr>
          <w:rFonts w:ascii="Arial" w:hAnsi="Arial" w:cs="Arial"/>
        </w:rPr>
        <w:t>(including</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religion,</w:t>
      </w:r>
      <w:r w:rsidR="007B7640" w:rsidRPr="00CD59CC">
        <w:rPr>
          <w:rFonts w:ascii="Arial" w:hAnsi="Arial" w:cs="Arial"/>
        </w:rPr>
        <w:t xml:space="preserve"> </w:t>
      </w:r>
      <w:r w:rsidRPr="00CD59CC">
        <w:rPr>
          <w:rFonts w:ascii="Arial" w:hAnsi="Arial" w:cs="Arial"/>
        </w:rPr>
        <w:t>mother</w:t>
      </w:r>
      <w:r w:rsidR="007B7640" w:rsidRPr="00CD59CC">
        <w:rPr>
          <w:rFonts w:ascii="Arial" w:hAnsi="Arial" w:cs="Arial"/>
        </w:rPr>
        <w:t xml:space="preserve"> </w:t>
      </w:r>
      <w:r w:rsidRPr="00CD59CC">
        <w:rPr>
          <w:rFonts w:ascii="Arial" w:hAnsi="Arial" w:cs="Arial"/>
        </w:rPr>
        <w:t>tongue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ethnicity</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voluntary</w:t>
      </w:r>
      <w:r w:rsidR="007B7640" w:rsidRPr="00CD59CC">
        <w:rPr>
          <w:rFonts w:ascii="Arial" w:hAnsi="Arial" w:cs="Arial"/>
        </w:rPr>
        <w:t xml:space="preserve"> </w:t>
      </w:r>
      <w:r w:rsidRPr="00CD59CC">
        <w:rPr>
          <w:rFonts w:ascii="Arial" w:hAnsi="Arial" w:cs="Arial"/>
        </w:rPr>
        <w:t>(answering</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mandatory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questions).</w:t>
      </w:r>
      <w:r w:rsidR="007B7640" w:rsidRPr="00CD59CC">
        <w:rPr>
          <w:rFonts w:ascii="Arial" w:hAnsi="Arial" w:cs="Arial"/>
        </w:rPr>
        <w:t xml:space="preserve"> </w:t>
      </w:r>
    </w:p>
    <w:p w14:paraId="4DAD255C" w14:textId="77777777" w:rsidR="00B97ED3" w:rsidRPr="00CD59CC" w:rsidRDefault="00B97ED3" w:rsidP="00CD59CC">
      <w:pPr>
        <w:rPr>
          <w:rFonts w:ascii="Arial" w:hAnsi="Arial" w:cs="Arial"/>
        </w:rPr>
      </w:pPr>
    </w:p>
    <w:p w14:paraId="067F19F6" w14:textId="77777777" w:rsidR="001B2C4C" w:rsidRPr="00CD59CC" w:rsidRDefault="001B2C4C" w:rsidP="00CD59CC">
      <w:pPr>
        <w:rPr>
          <w:rFonts w:ascii="Arial" w:hAnsi="Arial" w:cs="Arial"/>
        </w:rPr>
      </w:pP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results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census,</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cca.</w:t>
      </w:r>
      <w:r w:rsidR="007B7640" w:rsidRPr="00CD59CC">
        <w:rPr>
          <w:rFonts w:ascii="Arial" w:hAnsi="Arial" w:cs="Arial"/>
        </w:rPr>
        <w:t xml:space="preserve"> </w:t>
      </w:r>
      <w:r w:rsidRPr="00CD59CC">
        <w:rPr>
          <w:rFonts w:ascii="Arial" w:hAnsi="Arial" w:cs="Arial"/>
        </w:rPr>
        <w:t>9,938,000</w:t>
      </w:r>
      <w:r w:rsidR="007B7640" w:rsidRPr="00CD59CC">
        <w:rPr>
          <w:rFonts w:ascii="Arial" w:hAnsi="Arial" w:cs="Arial"/>
        </w:rPr>
        <w:t xml:space="preserve"> </w:t>
      </w:r>
      <w:r w:rsidRPr="00CD59CC">
        <w:rPr>
          <w:rFonts w:ascii="Arial" w:hAnsi="Arial" w:cs="Arial"/>
        </w:rPr>
        <w:t>citizens,</w:t>
      </w:r>
      <w:r w:rsidR="007B7640" w:rsidRPr="00CD59CC">
        <w:rPr>
          <w:rFonts w:ascii="Arial" w:hAnsi="Arial" w:cs="Arial"/>
        </w:rPr>
        <w:t xml:space="preserve"> </w:t>
      </w:r>
    </w:p>
    <w:p w14:paraId="5513962F" w14:textId="77777777" w:rsidR="001B2C4C" w:rsidRPr="00CD59CC" w:rsidRDefault="001B2C4C" w:rsidP="00CD59CC">
      <w:pPr>
        <w:rPr>
          <w:rFonts w:ascii="Arial" w:hAnsi="Arial" w:cs="Arial"/>
        </w:rPr>
      </w:pPr>
    </w:p>
    <w:p w14:paraId="6B755C2B" w14:textId="77777777" w:rsidR="001B2C4C" w:rsidRPr="00CD59CC" w:rsidRDefault="001B2C4C" w:rsidP="007B4138">
      <w:pPr>
        <w:numPr>
          <w:ilvl w:val="0"/>
          <w:numId w:val="47"/>
        </w:numPr>
        <w:ind w:left="567" w:hanging="567"/>
        <w:rPr>
          <w:rFonts w:ascii="Arial" w:hAnsi="Arial" w:cs="Arial"/>
        </w:rPr>
      </w:pPr>
      <w:r w:rsidRPr="00CD59CC">
        <w:rPr>
          <w:rFonts w:ascii="Arial" w:hAnsi="Arial" w:cs="Arial"/>
        </w:rPr>
        <w:t>cca.</w:t>
      </w:r>
      <w:r w:rsidR="007B7640" w:rsidRPr="00CD59CC">
        <w:rPr>
          <w:rFonts w:ascii="Arial" w:hAnsi="Arial" w:cs="Arial"/>
        </w:rPr>
        <w:t xml:space="preserve"> </w:t>
      </w:r>
      <w:r w:rsidRPr="00CD59CC">
        <w:rPr>
          <w:rFonts w:ascii="Arial" w:hAnsi="Arial" w:cs="Arial"/>
        </w:rPr>
        <w:t>8,314,000</w:t>
      </w:r>
      <w:r w:rsidR="007B7640" w:rsidRPr="00CD59CC">
        <w:rPr>
          <w:rFonts w:ascii="Arial" w:hAnsi="Arial" w:cs="Arial"/>
        </w:rPr>
        <w:t xml:space="preserve"> </w:t>
      </w:r>
      <w:r w:rsidRPr="00CD59CC">
        <w:rPr>
          <w:rFonts w:ascii="Arial" w:hAnsi="Arial" w:cs="Arial"/>
        </w:rPr>
        <w:t>declared</w:t>
      </w:r>
      <w:r w:rsidR="007B7640" w:rsidRPr="00CD59CC">
        <w:rPr>
          <w:rFonts w:ascii="Arial" w:hAnsi="Arial" w:cs="Arial"/>
        </w:rPr>
        <w:t xml:space="preserve"> </w:t>
      </w:r>
      <w:r w:rsidRPr="00CD59CC">
        <w:rPr>
          <w:rFonts w:ascii="Arial" w:hAnsi="Arial" w:cs="Arial"/>
        </w:rPr>
        <w:t>themselves</w:t>
      </w:r>
      <w:r w:rsidR="007B7640" w:rsidRPr="00CD59CC">
        <w:rPr>
          <w:rFonts w:ascii="Arial" w:hAnsi="Arial" w:cs="Arial"/>
        </w:rPr>
        <w:t xml:space="preserve"> </w:t>
      </w:r>
      <w:r w:rsidRPr="00CD59CC">
        <w:rPr>
          <w:rFonts w:ascii="Arial" w:hAnsi="Arial" w:cs="Arial"/>
        </w:rPr>
        <w:t>Hungarians,</w:t>
      </w:r>
      <w:r w:rsidR="007B7640" w:rsidRPr="00CD59CC">
        <w:rPr>
          <w:rFonts w:ascii="Arial" w:hAnsi="Arial" w:cs="Arial"/>
        </w:rPr>
        <w:t xml:space="preserve"> </w:t>
      </w:r>
      <w:r w:rsidRPr="00CD59CC">
        <w:rPr>
          <w:rFonts w:ascii="Arial" w:hAnsi="Arial" w:cs="Arial"/>
        </w:rPr>
        <w:t>cca.</w:t>
      </w:r>
      <w:r w:rsidR="007B7640" w:rsidRPr="00CD59CC">
        <w:rPr>
          <w:rFonts w:ascii="Arial" w:hAnsi="Arial" w:cs="Arial"/>
        </w:rPr>
        <w:t xml:space="preserve"> </w:t>
      </w:r>
      <w:r w:rsidRPr="00CD59CC">
        <w:rPr>
          <w:rFonts w:ascii="Arial" w:hAnsi="Arial" w:cs="Arial"/>
        </w:rPr>
        <w:t>309,000</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cca.</w:t>
      </w:r>
      <w:r w:rsidR="007B7640" w:rsidRPr="00CD59CC">
        <w:rPr>
          <w:rFonts w:ascii="Arial" w:hAnsi="Arial" w:cs="Arial"/>
        </w:rPr>
        <w:t xml:space="preserve"> </w:t>
      </w:r>
      <w:r w:rsidRPr="00CD59CC">
        <w:rPr>
          <w:rFonts w:ascii="Arial" w:hAnsi="Arial" w:cs="Arial"/>
        </w:rPr>
        <w:t>1,456,000</w:t>
      </w:r>
      <w:r w:rsidR="007B7640" w:rsidRPr="00CD59CC">
        <w:rPr>
          <w:rFonts w:ascii="Arial" w:hAnsi="Arial" w:cs="Arial"/>
        </w:rPr>
        <w:t xml:space="preserve"> </w:t>
      </w:r>
      <w:r w:rsidRPr="00CD59CC">
        <w:rPr>
          <w:rFonts w:ascii="Arial" w:hAnsi="Arial" w:cs="Arial"/>
        </w:rPr>
        <w:t>refused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answer;</w:t>
      </w:r>
      <w:r w:rsidR="007B7640" w:rsidRPr="00CD59CC">
        <w:rPr>
          <w:rFonts w:ascii="Arial" w:hAnsi="Arial" w:cs="Arial"/>
        </w:rPr>
        <w:t xml:space="preserve"> </w:t>
      </w:r>
    </w:p>
    <w:p w14:paraId="105DC852" w14:textId="77777777" w:rsidR="001B2C4C" w:rsidRPr="00CD59CC" w:rsidRDefault="001B2C4C" w:rsidP="007B4138">
      <w:pPr>
        <w:numPr>
          <w:ilvl w:val="0"/>
          <w:numId w:val="47"/>
        </w:numPr>
        <w:ind w:left="567" w:hanging="567"/>
        <w:rPr>
          <w:rFonts w:ascii="Arial" w:hAnsi="Arial" w:cs="Arial"/>
        </w:rPr>
      </w:pPr>
      <w:r w:rsidRPr="00CD59CC">
        <w:rPr>
          <w:rFonts w:ascii="Arial" w:hAnsi="Arial" w:cs="Arial"/>
        </w:rPr>
        <w:t>cca.</w:t>
      </w:r>
      <w:r w:rsidR="007B7640" w:rsidRPr="00CD59CC">
        <w:rPr>
          <w:rFonts w:ascii="Arial" w:hAnsi="Arial" w:cs="Arial"/>
        </w:rPr>
        <w:t xml:space="preserve"> </w:t>
      </w:r>
      <w:r w:rsidRPr="00CD59CC">
        <w:rPr>
          <w:rFonts w:ascii="Arial" w:hAnsi="Arial" w:cs="Arial"/>
        </w:rPr>
        <w:t>3,872,000</w:t>
      </w:r>
      <w:r w:rsidR="007B7640" w:rsidRPr="00CD59CC">
        <w:rPr>
          <w:rFonts w:ascii="Arial" w:hAnsi="Arial" w:cs="Arial"/>
        </w:rPr>
        <w:t xml:space="preserve"> </w:t>
      </w:r>
      <w:r w:rsidRPr="00CD59CC">
        <w:rPr>
          <w:rFonts w:ascii="Arial" w:hAnsi="Arial" w:cs="Arial"/>
        </w:rPr>
        <w:t>declared</w:t>
      </w:r>
      <w:r w:rsidR="007B7640" w:rsidRPr="00CD59CC">
        <w:rPr>
          <w:rFonts w:ascii="Arial" w:hAnsi="Arial" w:cs="Arial"/>
        </w:rPr>
        <w:t xml:space="preserve"> </w:t>
      </w:r>
      <w:r w:rsidRPr="00CD59CC">
        <w:rPr>
          <w:rFonts w:ascii="Arial" w:hAnsi="Arial" w:cs="Arial"/>
        </w:rPr>
        <w:t>themselves</w:t>
      </w:r>
      <w:r w:rsidR="007B7640" w:rsidRPr="00CD59CC">
        <w:rPr>
          <w:rFonts w:ascii="Arial" w:hAnsi="Arial" w:cs="Arial"/>
        </w:rPr>
        <w:t xml:space="preserve"> </w:t>
      </w:r>
      <w:r w:rsidRPr="00CD59CC">
        <w:rPr>
          <w:rFonts w:ascii="Arial" w:hAnsi="Arial" w:cs="Arial"/>
        </w:rPr>
        <w:t>Catholics,</w:t>
      </w:r>
      <w:r w:rsidR="007B7640" w:rsidRPr="00CD59CC">
        <w:rPr>
          <w:rFonts w:ascii="Arial" w:hAnsi="Arial" w:cs="Arial"/>
        </w:rPr>
        <w:t xml:space="preserve"> </w:t>
      </w:r>
      <w:r w:rsidRPr="00CD59CC">
        <w:rPr>
          <w:rFonts w:ascii="Arial" w:hAnsi="Arial" w:cs="Arial"/>
        </w:rPr>
        <w:t>cca.</w:t>
      </w:r>
      <w:r w:rsidR="007B7640" w:rsidRPr="00CD59CC">
        <w:rPr>
          <w:rFonts w:ascii="Arial" w:hAnsi="Arial" w:cs="Arial"/>
        </w:rPr>
        <w:t xml:space="preserve"> </w:t>
      </w:r>
      <w:r w:rsidRPr="00CD59CC">
        <w:rPr>
          <w:rFonts w:ascii="Arial" w:hAnsi="Arial" w:cs="Arial"/>
        </w:rPr>
        <w:t>1,806,000</w:t>
      </w:r>
      <w:r w:rsidR="007B7640" w:rsidRPr="00CD59CC">
        <w:rPr>
          <w:rFonts w:ascii="Arial" w:hAnsi="Arial" w:cs="Arial"/>
        </w:rPr>
        <w:t xml:space="preserve"> </w:t>
      </w:r>
      <w:r w:rsidRPr="00CD59CC">
        <w:rPr>
          <w:rFonts w:ascii="Arial" w:hAnsi="Arial" w:cs="Arial"/>
        </w:rPr>
        <w:t>declared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belong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denominations,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cca.</w:t>
      </w:r>
      <w:r w:rsidR="007B7640" w:rsidRPr="00CD59CC">
        <w:rPr>
          <w:rFonts w:ascii="Arial" w:hAnsi="Arial" w:cs="Arial"/>
        </w:rPr>
        <w:t xml:space="preserve"> </w:t>
      </w:r>
      <w:r w:rsidRPr="00CD59CC">
        <w:rPr>
          <w:rFonts w:ascii="Arial" w:hAnsi="Arial" w:cs="Arial"/>
        </w:rPr>
        <w:t>2,700,000</w:t>
      </w:r>
      <w:r w:rsidR="007B7640" w:rsidRPr="00CD59CC">
        <w:rPr>
          <w:rFonts w:ascii="Arial" w:hAnsi="Arial" w:cs="Arial"/>
        </w:rPr>
        <w:t xml:space="preserve"> </w:t>
      </w:r>
      <w:r w:rsidRPr="00CD59CC">
        <w:rPr>
          <w:rFonts w:ascii="Arial" w:hAnsi="Arial" w:cs="Arial"/>
        </w:rPr>
        <w:t>refused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answer</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latter</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increased</w:t>
      </w:r>
      <w:r w:rsidR="007B7640" w:rsidRPr="00CD59CC">
        <w:rPr>
          <w:rFonts w:ascii="Arial" w:hAnsi="Arial" w:cs="Arial"/>
        </w:rPr>
        <w:t xml:space="preserve"> </w:t>
      </w:r>
      <w:r w:rsidRPr="00CD59CC">
        <w:rPr>
          <w:rFonts w:ascii="Arial" w:hAnsi="Arial" w:cs="Arial"/>
        </w:rPr>
        <w:t>significantly,</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2001</w:t>
      </w:r>
      <w:r w:rsidR="007B7640" w:rsidRPr="00CD59CC">
        <w:rPr>
          <w:rFonts w:ascii="Arial" w:hAnsi="Arial" w:cs="Arial"/>
        </w:rPr>
        <w:t xml:space="preserve"> </w:t>
      </w:r>
      <w:r w:rsidRPr="00CD59CC">
        <w:rPr>
          <w:rFonts w:ascii="Arial" w:hAnsi="Arial" w:cs="Arial"/>
        </w:rPr>
        <w:t>census</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cca.</w:t>
      </w:r>
      <w:r w:rsidR="007B7640" w:rsidRPr="00CD59CC">
        <w:rPr>
          <w:rFonts w:ascii="Arial" w:hAnsi="Arial" w:cs="Arial"/>
        </w:rPr>
        <w:t xml:space="preserve"> </w:t>
      </w:r>
      <w:r w:rsidRPr="00CD59CC">
        <w:rPr>
          <w:rFonts w:ascii="Arial" w:hAnsi="Arial" w:cs="Arial"/>
        </w:rPr>
        <w:t>1,035,000</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refused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answer</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question);</w:t>
      </w:r>
    </w:p>
    <w:p w14:paraId="78DABE70" w14:textId="77777777" w:rsidR="001B2C4C" w:rsidRPr="00CD59CC" w:rsidRDefault="001B2C4C" w:rsidP="007B4138">
      <w:pPr>
        <w:numPr>
          <w:ilvl w:val="0"/>
          <w:numId w:val="47"/>
        </w:numPr>
        <w:ind w:left="567" w:hanging="567"/>
        <w:rPr>
          <w:rFonts w:ascii="Arial" w:hAnsi="Arial" w:cs="Arial"/>
        </w:rPr>
      </w:pPr>
      <w:r w:rsidRPr="00CD59CC">
        <w:rPr>
          <w:rFonts w:ascii="Arial" w:hAnsi="Arial" w:cs="Arial"/>
        </w:rPr>
        <w:t>cca.</w:t>
      </w:r>
      <w:r w:rsidR="007B7640" w:rsidRPr="00CD59CC">
        <w:rPr>
          <w:rFonts w:ascii="Arial" w:hAnsi="Arial" w:cs="Arial"/>
        </w:rPr>
        <w:t xml:space="preserve"> </w:t>
      </w:r>
      <w:r w:rsidRPr="00CD59CC">
        <w:rPr>
          <w:rFonts w:ascii="Arial" w:hAnsi="Arial" w:cs="Arial"/>
        </w:rPr>
        <w:t>456,600</w:t>
      </w:r>
      <w:r w:rsidR="007B7640" w:rsidRPr="00CD59CC">
        <w:rPr>
          <w:rFonts w:ascii="Arial" w:hAnsi="Arial" w:cs="Arial"/>
        </w:rPr>
        <w:t xml:space="preserve"> </w:t>
      </w:r>
      <w:r w:rsidRPr="00CD59CC">
        <w:rPr>
          <w:rFonts w:ascii="Arial" w:hAnsi="Arial" w:cs="Arial"/>
        </w:rPr>
        <w:t>stated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lived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cca.</w:t>
      </w:r>
      <w:r w:rsidR="007B7640" w:rsidRPr="00CD59CC">
        <w:rPr>
          <w:rFonts w:ascii="Arial" w:hAnsi="Arial" w:cs="Arial"/>
        </w:rPr>
        <w:t xml:space="preserve"> </w:t>
      </w:r>
      <w:r w:rsidRPr="00CD59CC">
        <w:rPr>
          <w:rFonts w:ascii="Arial" w:hAnsi="Arial" w:cs="Arial"/>
        </w:rPr>
        <w:t>1,648,400</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suffered</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longer</w:t>
      </w:r>
      <w:r w:rsidR="007B7640" w:rsidRPr="00CD59CC">
        <w:rPr>
          <w:rFonts w:ascii="Arial" w:hAnsi="Arial" w:cs="Arial"/>
        </w:rPr>
        <w:t xml:space="preserve"> </w:t>
      </w:r>
      <w:r w:rsidRPr="00CD59CC">
        <w:rPr>
          <w:rFonts w:ascii="Arial" w:hAnsi="Arial" w:cs="Arial"/>
        </w:rPr>
        <w:t>lasting</w:t>
      </w:r>
      <w:r w:rsidR="007B7640" w:rsidRPr="00CD59CC">
        <w:rPr>
          <w:rFonts w:ascii="Arial" w:hAnsi="Arial" w:cs="Arial"/>
        </w:rPr>
        <w:t xml:space="preserve"> </w:t>
      </w:r>
      <w:r w:rsidRPr="00CD59CC">
        <w:rPr>
          <w:rFonts w:ascii="Arial" w:hAnsi="Arial" w:cs="Arial"/>
        </w:rPr>
        <w:t>illnesses.</w:t>
      </w:r>
      <w:r w:rsidRPr="00CD59CC">
        <w:rPr>
          <w:rStyle w:val="FootnoteReference"/>
          <w:rFonts w:ascii="Arial" w:hAnsi="Arial" w:cs="Arial"/>
        </w:rPr>
        <w:footnoteReference w:id="40"/>
      </w:r>
    </w:p>
    <w:p w14:paraId="7AC8C7EB" w14:textId="77777777" w:rsidR="001B2C4C" w:rsidRPr="00CD59CC" w:rsidRDefault="001B2C4C" w:rsidP="00CD59CC">
      <w:pPr>
        <w:rPr>
          <w:rFonts w:ascii="Arial" w:hAnsi="Arial" w:cs="Arial"/>
        </w:rPr>
      </w:pPr>
    </w:p>
    <w:p w14:paraId="03AA7EAE" w14:textId="77777777" w:rsidR="001B2C4C" w:rsidRPr="00CD59CC" w:rsidRDefault="001B2C4C" w:rsidP="00CD59CC">
      <w:pPr>
        <w:rPr>
          <w:rFonts w:ascii="Arial" w:hAnsi="Arial" w:cs="Arial"/>
        </w:rPr>
      </w:pPr>
      <w:r w:rsidRPr="00CD59CC">
        <w:rPr>
          <w:rFonts w:ascii="Arial" w:hAnsi="Arial" w:cs="Arial"/>
        </w:rPr>
        <w:t>It</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pointed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censuses</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always</w:t>
      </w:r>
      <w:r w:rsidR="007B7640" w:rsidRPr="00CD59CC">
        <w:rPr>
          <w:rFonts w:ascii="Arial" w:hAnsi="Arial" w:cs="Arial"/>
        </w:rPr>
        <w:t xml:space="preserve"> </w:t>
      </w:r>
      <w:r w:rsidRPr="00CD59CC">
        <w:rPr>
          <w:rFonts w:ascii="Arial" w:hAnsi="Arial" w:cs="Arial"/>
        </w:rPr>
        <w:t>give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reliable</w:t>
      </w:r>
      <w:r w:rsidR="007B7640" w:rsidRPr="00CD59CC">
        <w:rPr>
          <w:rFonts w:ascii="Arial" w:hAnsi="Arial" w:cs="Arial"/>
        </w:rPr>
        <w:t xml:space="preserve"> </w:t>
      </w:r>
      <w:r w:rsidRPr="00CD59CC">
        <w:rPr>
          <w:rFonts w:ascii="Arial" w:hAnsi="Arial" w:cs="Arial"/>
        </w:rPr>
        <w:t>estimation</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estimates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1992</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1993</w:t>
      </w:r>
      <w:r w:rsidR="007B7640" w:rsidRPr="00CD59CC">
        <w:rPr>
          <w:rFonts w:ascii="Arial" w:hAnsi="Arial" w:cs="Arial"/>
        </w:rPr>
        <w:t xml:space="preserve"> </w:t>
      </w:r>
      <w:r w:rsidRPr="00CD59CC">
        <w:rPr>
          <w:rFonts w:ascii="Arial" w:hAnsi="Arial" w:cs="Arial"/>
        </w:rPr>
        <w:t>educational</w:t>
      </w:r>
      <w:r w:rsidR="007B7640" w:rsidRPr="00CD59CC">
        <w:rPr>
          <w:rFonts w:ascii="Arial" w:hAnsi="Arial" w:cs="Arial"/>
        </w:rPr>
        <w:t xml:space="preserve"> </w:t>
      </w:r>
      <w:r w:rsidRPr="00CD59CC">
        <w:rPr>
          <w:rFonts w:ascii="Arial" w:hAnsi="Arial" w:cs="Arial"/>
        </w:rPr>
        <w:t>statistics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reliable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experts</w:t>
      </w:r>
      <w:r w:rsidR="007B7640" w:rsidRPr="00CD59CC">
        <w:rPr>
          <w:rFonts w:ascii="Arial" w:hAnsi="Arial" w:cs="Arial"/>
        </w:rPr>
        <w:t xml:space="preserve"> </w:t>
      </w:r>
      <w:r w:rsidRPr="00CD59CC">
        <w:rPr>
          <w:rFonts w:ascii="Arial" w:hAnsi="Arial" w:cs="Arial"/>
        </w:rPr>
        <w:t>put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about</w:t>
      </w:r>
      <w:r w:rsidR="007B7640" w:rsidRPr="00CD59CC">
        <w:rPr>
          <w:rFonts w:ascii="Arial" w:hAnsi="Arial" w:cs="Arial"/>
        </w:rPr>
        <w:t xml:space="preserve"> </w:t>
      </w:r>
      <w:r w:rsidRPr="00CD59CC">
        <w:rPr>
          <w:rFonts w:ascii="Arial" w:hAnsi="Arial" w:cs="Arial"/>
        </w:rPr>
        <w:t>460,000</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4.2%</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population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early</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1998.</w:t>
      </w:r>
      <w:r w:rsidRPr="00CD59CC">
        <w:rPr>
          <w:rStyle w:val="Lbjegyzet-karakterek"/>
          <w:rFonts w:ascii="Arial" w:hAnsi="Arial" w:cs="Arial"/>
        </w:rPr>
        <w:footnoteReference w:id="41"/>
      </w:r>
      <w:r w:rsidR="007B7640" w:rsidRPr="00CD59CC">
        <w:rPr>
          <w:rFonts w:ascii="Arial" w:hAnsi="Arial" w:cs="Arial"/>
        </w:rPr>
        <w:t xml:space="preserve"> </w:t>
      </w:r>
      <w:r w:rsidRPr="00CD59CC">
        <w:rPr>
          <w:rFonts w:ascii="Arial" w:hAnsi="Arial" w:cs="Arial"/>
        </w:rPr>
        <w:t>Although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proportion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opinion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demographic</w:t>
      </w:r>
      <w:r w:rsidR="007B7640" w:rsidRPr="00CD59CC">
        <w:rPr>
          <w:rFonts w:ascii="Arial" w:hAnsi="Arial" w:cs="Arial"/>
        </w:rPr>
        <w:t xml:space="preserve"> </w:t>
      </w:r>
      <w:r w:rsidRPr="00CD59CC">
        <w:rPr>
          <w:rFonts w:ascii="Arial" w:hAnsi="Arial" w:cs="Arial"/>
        </w:rPr>
        <w:t>experts</w:t>
      </w:r>
      <w:r w:rsidR="007B7640" w:rsidRPr="00CD59CC">
        <w:rPr>
          <w:rFonts w:ascii="Arial" w:hAnsi="Arial" w:cs="Arial"/>
        </w:rPr>
        <w:t xml:space="preserve"> </w:t>
      </w:r>
      <w:r w:rsidRPr="00CD59CC">
        <w:rPr>
          <w:rFonts w:ascii="Arial" w:hAnsi="Arial" w:cs="Arial"/>
        </w:rPr>
        <w:t>increased</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total</w:t>
      </w:r>
      <w:r w:rsidR="007B7640" w:rsidRPr="00CD59CC">
        <w:rPr>
          <w:rFonts w:ascii="Arial" w:hAnsi="Arial" w:cs="Arial"/>
        </w:rPr>
        <w:t xml:space="preserve"> </w:t>
      </w:r>
      <w:r w:rsidRPr="00CD59CC">
        <w:rPr>
          <w:rFonts w:ascii="Arial" w:hAnsi="Arial" w:cs="Arial"/>
        </w:rPr>
        <w:t>population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since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lastRenderedPageBreak/>
        <w:t>only</w:t>
      </w:r>
      <w:r w:rsidR="007B7640" w:rsidRPr="00CD59CC">
        <w:rPr>
          <w:rFonts w:ascii="Arial" w:hAnsi="Arial" w:cs="Arial"/>
        </w:rPr>
        <w:t xml:space="preserve"> </w:t>
      </w:r>
      <w:r w:rsidRPr="00CD59CC">
        <w:rPr>
          <w:rFonts w:ascii="Arial" w:hAnsi="Arial" w:cs="Arial"/>
        </w:rPr>
        <w:t>cca.</w:t>
      </w:r>
      <w:r w:rsidR="007B7640" w:rsidRPr="00CD59CC">
        <w:rPr>
          <w:rFonts w:ascii="Arial" w:hAnsi="Arial" w:cs="Arial"/>
        </w:rPr>
        <w:t xml:space="preserve"> </w:t>
      </w:r>
      <w:r w:rsidRPr="00CD59CC">
        <w:rPr>
          <w:rFonts w:ascii="Arial" w:hAnsi="Arial" w:cs="Arial"/>
        </w:rPr>
        <w:t>190,000</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year</w:t>
      </w:r>
      <w:r w:rsidR="007B7640" w:rsidRPr="00CD59CC">
        <w:rPr>
          <w:rFonts w:ascii="Arial" w:hAnsi="Arial" w:cs="Arial"/>
        </w:rPr>
        <w:t xml:space="preserve"> </w:t>
      </w:r>
      <w:r w:rsidRPr="00CD59CC">
        <w:rPr>
          <w:rFonts w:ascii="Arial" w:hAnsi="Arial" w:cs="Arial"/>
        </w:rPr>
        <w:t>2001</w:t>
      </w:r>
      <w:r w:rsidR="007B7640" w:rsidRPr="00CD59CC">
        <w:rPr>
          <w:rFonts w:ascii="Arial" w:hAnsi="Arial" w:cs="Arial"/>
        </w:rPr>
        <w:t xml:space="preserve"> </w:t>
      </w:r>
      <w:r w:rsidRPr="00CD59CC">
        <w:rPr>
          <w:rFonts w:ascii="Arial" w:hAnsi="Arial" w:cs="Arial"/>
        </w:rPr>
        <w:t>census.</w:t>
      </w:r>
      <w:r w:rsidR="007B7640" w:rsidRPr="00CD59CC">
        <w:rPr>
          <w:rFonts w:ascii="Arial" w:hAnsi="Arial" w:cs="Arial"/>
        </w:rPr>
        <w:t xml:space="preserve"> </w:t>
      </w:r>
      <w:r w:rsidRPr="00CD59CC">
        <w:rPr>
          <w:rFonts w:ascii="Arial" w:hAnsi="Arial" w:cs="Arial"/>
        </w:rPr>
        <w:t>During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2011</w:t>
      </w:r>
      <w:r w:rsidR="007B7640" w:rsidRPr="00CD59CC">
        <w:rPr>
          <w:rFonts w:ascii="Arial" w:hAnsi="Arial" w:cs="Arial"/>
        </w:rPr>
        <w:t xml:space="preserve"> </w:t>
      </w:r>
      <w:r w:rsidRPr="00CD59CC">
        <w:rPr>
          <w:rFonts w:ascii="Arial" w:hAnsi="Arial" w:cs="Arial"/>
        </w:rPr>
        <w:t>census,</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activists</w:t>
      </w:r>
      <w:r w:rsidR="007B7640" w:rsidRPr="00CD59CC">
        <w:rPr>
          <w:rFonts w:ascii="Arial" w:hAnsi="Arial" w:cs="Arial"/>
        </w:rPr>
        <w:t xml:space="preserve"> </w:t>
      </w:r>
      <w:r w:rsidRPr="00CD59CC">
        <w:rPr>
          <w:rFonts w:ascii="Arial" w:hAnsi="Arial" w:cs="Arial"/>
        </w:rPr>
        <w:t>carried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solid</w:t>
      </w:r>
      <w:r w:rsidR="007B7640" w:rsidRPr="00CD59CC">
        <w:rPr>
          <w:rFonts w:ascii="Arial" w:hAnsi="Arial" w:cs="Arial"/>
        </w:rPr>
        <w:t xml:space="preserve"> </w:t>
      </w:r>
      <w:r w:rsidRPr="00CD59CC">
        <w:rPr>
          <w:rFonts w:ascii="Arial" w:hAnsi="Arial" w:cs="Arial"/>
        </w:rPr>
        <w:t>campaign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convince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declare</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ethnicity,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although</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significant</w:t>
      </w:r>
      <w:r w:rsidR="007B7640" w:rsidRPr="00CD59CC">
        <w:rPr>
          <w:rFonts w:ascii="Arial" w:hAnsi="Arial" w:cs="Arial"/>
        </w:rPr>
        <w:t xml:space="preserve"> </w:t>
      </w:r>
      <w:r w:rsidRPr="00CD59CC">
        <w:rPr>
          <w:rFonts w:ascii="Arial" w:hAnsi="Arial" w:cs="Arial"/>
        </w:rPr>
        <w:t>rise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declared</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census</w:t>
      </w:r>
      <w:r w:rsidR="007B7640" w:rsidRPr="00CD59CC">
        <w:rPr>
          <w:rFonts w:ascii="Arial" w:hAnsi="Arial" w:cs="Arial"/>
        </w:rPr>
        <w:t xml:space="preserve"> </w:t>
      </w:r>
      <w:r w:rsidRPr="00CD59CC">
        <w:rPr>
          <w:rFonts w:ascii="Arial" w:hAnsi="Arial" w:cs="Arial"/>
        </w:rPr>
        <w:t>numbers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still</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below</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estimated</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Hungary.</w:t>
      </w:r>
    </w:p>
    <w:p w14:paraId="3ECA99E0" w14:textId="77777777" w:rsidR="001B2C4C" w:rsidRPr="00CD59CC" w:rsidRDefault="001B2C4C" w:rsidP="00CD59CC">
      <w:pPr>
        <w:rPr>
          <w:rFonts w:ascii="Arial" w:hAnsi="Arial" w:cs="Arial"/>
        </w:rPr>
      </w:pPr>
    </w:p>
    <w:p w14:paraId="7D7DF6D8" w14:textId="77777777" w:rsidR="001B2C4C" w:rsidRPr="00CD59CC" w:rsidRDefault="001B2C4C" w:rsidP="00CD59CC">
      <w:pPr>
        <w:rPr>
          <w:rFonts w:ascii="Arial" w:hAnsi="Arial" w:cs="Arial"/>
        </w:rPr>
      </w:pPr>
      <w:r w:rsidRPr="00CD59CC">
        <w:rPr>
          <w:rFonts w:ascii="Arial" w:hAnsi="Arial" w:cs="Arial"/>
        </w:rPr>
        <w:t>There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positive</w:t>
      </w:r>
      <w:r w:rsidR="007B7640" w:rsidRPr="00CD59CC">
        <w:rPr>
          <w:rFonts w:ascii="Arial" w:hAnsi="Arial" w:cs="Arial"/>
        </w:rPr>
        <w:t xml:space="preserve"> </w:t>
      </w:r>
      <w:r w:rsidRPr="00CD59CC">
        <w:rPr>
          <w:rFonts w:ascii="Arial" w:hAnsi="Arial" w:cs="Arial"/>
        </w:rPr>
        <w:t>actions,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make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some</w:t>
      </w:r>
      <w:r w:rsidR="007B7640" w:rsidRPr="00CD59CC">
        <w:rPr>
          <w:rFonts w:ascii="Arial" w:hAnsi="Arial" w:cs="Arial"/>
        </w:rPr>
        <w:t xml:space="preserve"> </w:t>
      </w:r>
      <w:r w:rsidRPr="00CD59CC">
        <w:rPr>
          <w:rFonts w:ascii="Arial" w:hAnsi="Arial" w:cs="Arial"/>
        </w:rPr>
        <w:t>degree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collection.</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p>
    <w:p w14:paraId="6473BFD1" w14:textId="77777777" w:rsidR="001B2C4C" w:rsidRPr="00CD59CC" w:rsidRDefault="001B2C4C" w:rsidP="00CD59CC">
      <w:pPr>
        <w:rPr>
          <w:rFonts w:ascii="Arial" w:hAnsi="Arial" w:cs="Arial"/>
        </w:rPr>
      </w:pPr>
    </w:p>
    <w:p w14:paraId="47929ECD" w14:textId="77777777" w:rsidR="001B2C4C" w:rsidRPr="00CD59CC" w:rsidRDefault="001B2C4C" w:rsidP="00CD59CC">
      <w:pPr>
        <w:rPr>
          <w:rFonts w:ascii="Arial" w:hAnsi="Arial" w:cs="Arial"/>
        </w:rPr>
      </w:pPr>
      <w:r w:rsidRPr="00CD59CC">
        <w:rPr>
          <w:rFonts w:ascii="Arial" w:hAnsi="Arial" w:cs="Arial"/>
          <w:i/>
        </w:rPr>
        <w:t>Ethnic</w:t>
      </w:r>
      <w:r w:rsidR="007B7640" w:rsidRPr="00CD59CC">
        <w:rPr>
          <w:rFonts w:ascii="Arial" w:hAnsi="Arial" w:cs="Arial"/>
          <w:i/>
        </w:rPr>
        <w:t xml:space="preserve"> </w:t>
      </w:r>
      <w:r w:rsidRPr="00CD59CC">
        <w:rPr>
          <w:rFonts w:ascii="Arial" w:hAnsi="Arial" w:cs="Arial"/>
          <w:i/>
        </w:rPr>
        <w:t>origin</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education:</w:t>
      </w:r>
      <w:r w:rsidR="007B7640" w:rsidRPr="00CD59CC">
        <w:rPr>
          <w:rFonts w:ascii="Arial" w:hAnsi="Arial" w:cs="Arial"/>
          <w:i/>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complex</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Hungary.</w:t>
      </w:r>
      <w:r w:rsidRPr="00CD59CC">
        <w:rPr>
          <w:rStyle w:val="Lbjegyzet-karakterek"/>
          <w:rFonts w:ascii="Arial" w:hAnsi="Arial" w:cs="Arial"/>
        </w:rPr>
        <w:footnoteReference w:id="42"/>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22</w:t>
      </w:r>
      <w:r w:rsidR="007B7640" w:rsidRPr="00CD59CC">
        <w:rPr>
          <w:rFonts w:ascii="Arial" w:hAnsi="Arial" w:cs="Arial"/>
        </w:rPr>
        <w:t xml:space="preserve"> </w:t>
      </w:r>
      <w:r w:rsidRPr="00CD59CC">
        <w:rPr>
          <w:rFonts w:ascii="Arial" w:hAnsi="Arial" w:cs="Arial"/>
        </w:rPr>
        <w:t>(3)</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Nationalities,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parents</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belonging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nationality</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receive</w:t>
      </w:r>
      <w:r w:rsidR="007B7640" w:rsidRPr="00CD59CC">
        <w:rPr>
          <w:rFonts w:ascii="Arial" w:hAnsi="Arial" w:cs="Arial"/>
        </w:rPr>
        <w:t xml:space="preserve"> </w:t>
      </w:r>
      <w:r w:rsidRPr="00CD59CC">
        <w:rPr>
          <w:rFonts w:ascii="Arial" w:hAnsi="Arial" w:cs="Arial"/>
        </w:rPr>
        <w:t>(i)</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mother</w:t>
      </w:r>
      <w:r w:rsidR="007B7640" w:rsidRPr="00CD59CC">
        <w:rPr>
          <w:rFonts w:ascii="Arial" w:hAnsi="Arial" w:cs="Arial"/>
        </w:rPr>
        <w:t xml:space="preserve"> </w:t>
      </w:r>
      <w:r w:rsidRPr="00CD59CC">
        <w:rPr>
          <w:rFonts w:ascii="Arial" w:hAnsi="Arial" w:cs="Arial"/>
        </w:rPr>
        <w:t>tongue,</w:t>
      </w:r>
      <w:r w:rsidR="007B7640" w:rsidRPr="00CD59CC">
        <w:rPr>
          <w:rFonts w:ascii="Arial" w:hAnsi="Arial" w:cs="Arial"/>
        </w:rPr>
        <w:t xml:space="preserve"> </w:t>
      </w:r>
      <w:r w:rsidRPr="00CD59CC">
        <w:rPr>
          <w:rFonts w:ascii="Arial" w:hAnsi="Arial" w:cs="Arial"/>
        </w:rPr>
        <w:t>(ii)</w:t>
      </w:r>
      <w:r w:rsidR="007B7640" w:rsidRPr="00CD59CC">
        <w:rPr>
          <w:rFonts w:ascii="Arial" w:hAnsi="Arial" w:cs="Arial"/>
        </w:rPr>
        <w:t xml:space="preserve"> </w:t>
      </w:r>
      <w:r w:rsidRPr="00CD59CC">
        <w:rPr>
          <w:rFonts w:ascii="Arial" w:hAnsi="Arial" w:cs="Arial"/>
        </w:rPr>
        <w:t>bilingual</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(iii)</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language</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framework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his/her</w:t>
      </w:r>
      <w:r w:rsidR="007B7640" w:rsidRPr="00CD59CC">
        <w:rPr>
          <w:rFonts w:ascii="Arial" w:hAnsi="Arial" w:cs="Arial"/>
        </w:rPr>
        <w:t xml:space="preserve"> </w:t>
      </w:r>
      <w:r w:rsidRPr="00CD59CC">
        <w:rPr>
          <w:rFonts w:ascii="Arial" w:hAnsi="Arial" w:cs="Arial"/>
        </w:rPr>
        <w:t>nationality</w:t>
      </w:r>
      <w:r w:rsidR="007B7640" w:rsidRPr="00CD59CC">
        <w:rPr>
          <w:rFonts w:ascii="Arial" w:hAnsi="Arial" w:cs="Arial"/>
        </w:rPr>
        <w:t xml:space="preserve"> </w:t>
      </w:r>
      <w:r w:rsidRPr="00CD59CC">
        <w:rPr>
          <w:rFonts w:ascii="Arial" w:hAnsi="Arial" w:cs="Arial"/>
        </w:rPr>
        <w:t>language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taught,</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(iv)</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nationality</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January</w:t>
      </w:r>
      <w:r w:rsidR="007B7640" w:rsidRPr="00CD59CC">
        <w:rPr>
          <w:rFonts w:ascii="Arial" w:hAnsi="Arial" w:cs="Arial"/>
        </w:rPr>
        <w:t xml:space="preserve"> </w:t>
      </w:r>
      <w:r w:rsidRPr="00CD59CC">
        <w:rPr>
          <w:rFonts w:ascii="Arial" w:hAnsi="Arial" w:cs="Arial"/>
        </w:rPr>
        <w:t>2012</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coming</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force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Nationalities),</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forms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existed.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existence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forms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naturally</w:t>
      </w:r>
      <w:r w:rsidR="007B7640" w:rsidRPr="00CD59CC">
        <w:rPr>
          <w:rFonts w:ascii="Arial" w:hAnsi="Arial" w:cs="Arial"/>
        </w:rPr>
        <w:t xml:space="preserve"> </w:t>
      </w:r>
      <w:r w:rsidRPr="00CD59CC">
        <w:rPr>
          <w:rFonts w:ascii="Arial" w:hAnsi="Arial" w:cs="Arial"/>
        </w:rPr>
        <w:t>creates</w:t>
      </w:r>
      <w:r w:rsidR="007B7640" w:rsidRPr="00CD59CC">
        <w:rPr>
          <w:rFonts w:ascii="Arial" w:hAnsi="Arial" w:cs="Arial"/>
        </w:rPr>
        <w:t xml:space="preserve"> </w:t>
      </w:r>
      <w:r w:rsidRPr="00CD59CC">
        <w:rPr>
          <w:rFonts w:ascii="Arial" w:hAnsi="Arial" w:cs="Arial"/>
        </w:rPr>
        <w:t>statistics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participating</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forms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p>
    <w:p w14:paraId="5EE2EB33" w14:textId="77777777" w:rsidR="001B2C4C" w:rsidRPr="00CD59CC" w:rsidRDefault="001B2C4C" w:rsidP="00CD59CC">
      <w:pPr>
        <w:rPr>
          <w:rFonts w:ascii="Arial" w:hAnsi="Arial" w:cs="Arial"/>
        </w:rPr>
      </w:pPr>
    </w:p>
    <w:p w14:paraId="4265DD5E" w14:textId="0F9A926B" w:rsidR="001B2C4C" w:rsidRPr="00CD59CC" w:rsidRDefault="001B2C4C"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B8467A" w:rsidRPr="00CD59CC">
        <w:rPr>
          <w:rFonts w:ascii="Arial" w:hAnsi="Arial" w:cs="Arial"/>
        </w:rPr>
        <w:t>2011/2012</w:t>
      </w:r>
      <w:r w:rsidR="007B7640" w:rsidRPr="00CD59CC">
        <w:rPr>
          <w:rFonts w:ascii="Arial" w:hAnsi="Arial" w:cs="Arial"/>
        </w:rPr>
        <w:t xml:space="preserve"> </w:t>
      </w:r>
      <w:r w:rsidRPr="00CD59CC">
        <w:rPr>
          <w:rFonts w:ascii="Arial" w:hAnsi="Arial" w:cs="Arial"/>
        </w:rPr>
        <w:t>school</w:t>
      </w:r>
      <w:r w:rsidR="007B7640" w:rsidRPr="00CD59CC">
        <w:rPr>
          <w:rFonts w:ascii="Arial" w:hAnsi="Arial" w:cs="Arial"/>
        </w:rPr>
        <w:t xml:space="preserve"> </w:t>
      </w:r>
      <w:r w:rsidRPr="00CD59CC">
        <w:rPr>
          <w:rFonts w:ascii="Arial" w:hAnsi="Arial" w:cs="Arial"/>
        </w:rPr>
        <w:t>year,</w:t>
      </w:r>
      <w:r w:rsidR="007B7640" w:rsidRPr="00CD59CC">
        <w:rPr>
          <w:rFonts w:ascii="Arial" w:hAnsi="Arial" w:cs="Arial"/>
        </w:rPr>
        <w:t xml:space="preserve"> </w:t>
      </w:r>
      <w:r w:rsidR="00B8467A" w:rsidRPr="00CD59CC">
        <w:rPr>
          <w:rFonts w:ascii="Arial" w:hAnsi="Arial" w:cs="Arial"/>
        </w:rPr>
        <w:t>54,232</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00B8467A" w:rsidRPr="00CD59CC">
        <w:rPr>
          <w:rFonts w:ascii="Arial" w:hAnsi="Arial" w:cs="Arial"/>
        </w:rPr>
        <w:t>47,294</w:t>
      </w:r>
      <w:r w:rsidR="007B7640" w:rsidRPr="00CD59CC">
        <w:rPr>
          <w:rFonts w:ascii="Arial" w:hAnsi="Arial" w:cs="Arial"/>
        </w:rPr>
        <w:t xml:space="preserve"> </w:t>
      </w:r>
      <w:r w:rsidRPr="00CD59CC">
        <w:rPr>
          <w:rFonts w:ascii="Arial" w:hAnsi="Arial" w:cs="Arial"/>
        </w:rPr>
        <w:t>German,</w:t>
      </w:r>
      <w:r w:rsidR="007B7640" w:rsidRPr="00CD59CC">
        <w:rPr>
          <w:rFonts w:ascii="Arial" w:hAnsi="Arial" w:cs="Arial"/>
        </w:rPr>
        <w:t xml:space="preserve"> </w:t>
      </w:r>
      <w:r w:rsidR="00B8467A" w:rsidRPr="00CD59CC">
        <w:rPr>
          <w:rFonts w:ascii="Arial" w:hAnsi="Arial" w:cs="Arial"/>
        </w:rPr>
        <w:t>1,314</w:t>
      </w:r>
      <w:r w:rsidR="007B7640" w:rsidRPr="00CD59CC">
        <w:rPr>
          <w:rFonts w:ascii="Arial" w:hAnsi="Arial" w:cs="Arial"/>
        </w:rPr>
        <w:t xml:space="preserve"> </w:t>
      </w:r>
      <w:r w:rsidRPr="00CD59CC">
        <w:rPr>
          <w:rFonts w:ascii="Arial" w:hAnsi="Arial" w:cs="Arial"/>
        </w:rPr>
        <w:t>Romanian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00B8467A" w:rsidRPr="00CD59CC">
        <w:rPr>
          <w:rFonts w:ascii="Arial" w:hAnsi="Arial" w:cs="Arial"/>
        </w:rPr>
        <w:t>4,511</w:t>
      </w:r>
      <w:r w:rsidR="007B7640" w:rsidRPr="00CD59CC">
        <w:rPr>
          <w:rFonts w:ascii="Arial" w:hAnsi="Arial" w:cs="Arial"/>
        </w:rPr>
        <w:t xml:space="preserve"> </w:t>
      </w:r>
      <w:r w:rsidRPr="00CD59CC">
        <w:rPr>
          <w:rFonts w:ascii="Arial" w:hAnsi="Arial" w:cs="Arial"/>
        </w:rPr>
        <w:t>Slovak</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participated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elementary</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education.</w:t>
      </w:r>
      <w:r w:rsidR="007B7640" w:rsidRPr="00CD59CC">
        <w:rPr>
          <w:rStyle w:val="FootnoteReference"/>
          <w:rFonts w:ascii="Arial" w:hAnsi="Arial" w:cs="Arial"/>
        </w:rPr>
        <w:t xml:space="preserve"> </w:t>
      </w:r>
      <w:r w:rsidR="00B8467A" w:rsidRPr="00CD59CC">
        <w:rPr>
          <w:rStyle w:val="FootnoteReference"/>
          <w:rFonts w:ascii="Arial" w:hAnsi="Arial" w:cs="Arial"/>
        </w:rPr>
        <w:footnoteReference w:id="43"/>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201</w:t>
      </w:r>
      <w:r w:rsidR="00B8467A" w:rsidRPr="00CD59CC">
        <w:rPr>
          <w:rFonts w:ascii="Arial" w:hAnsi="Arial" w:cs="Arial"/>
        </w:rPr>
        <w:t>2</w:t>
      </w:r>
      <w:r w:rsidRPr="00CD59CC">
        <w:rPr>
          <w:rFonts w:ascii="Arial" w:hAnsi="Arial" w:cs="Arial"/>
        </w:rPr>
        <w:t>/201</w:t>
      </w:r>
      <w:r w:rsidR="00B8467A" w:rsidRPr="00CD59CC">
        <w:rPr>
          <w:rFonts w:ascii="Arial" w:hAnsi="Arial" w:cs="Arial"/>
        </w:rPr>
        <w:t>3</w:t>
      </w:r>
      <w:r w:rsidR="007B7640" w:rsidRPr="00CD59CC">
        <w:rPr>
          <w:rFonts w:ascii="Arial" w:hAnsi="Arial" w:cs="Arial"/>
        </w:rPr>
        <w:t xml:space="preserve"> </w:t>
      </w:r>
      <w:r w:rsidRPr="00CD59CC">
        <w:rPr>
          <w:rFonts w:ascii="Arial" w:hAnsi="Arial" w:cs="Arial"/>
        </w:rPr>
        <w:t>school</w:t>
      </w:r>
      <w:r w:rsidR="007B7640" w:rsidRPr="00CD59CC">
        <w:rPr>
          <w:rFonts w:ascii="Arial" w:hAnsi="Arial" w:cs="Arial"/>
        </w:rPr>
        <w:t xml:space="preserve"> </w:t>
      </w:r>
      <w:r w:rsidRPr="00CD59CC">
        <w:rPr>
          <w:rFonts w:ascii="Arial" w:hAnsi="Arial" w:cs="Arial"/>
        </w:rPr>
        <w:t>year</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numbers</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00B8467A" w:rsidRPr="00CD59CC">
        <w:rPr>
          <w:rFonts w:ascii="Arial" w:hAnsi="Arial" w:cs="Arial"/>
        </w:rPr>
        <w:t>53</w:t>
      </w:r>
      <w:r w:rsidR="007B7640" w:rsidRPr="00CD59CC">
        <w:rPr>
          <w:rFonts w:ascii="Arial" w:hAnsi="Arial" w:cs="Arial"/>
        </w:rPr>
        <w:t xml:space="preserve"> </w:t>
      </w:r>
      <w:r w:rsidR="00B8467A" w:rsidRPr="00CD59CC">
        <w:rPr>
          <w:rFonts w:ascii="Arial" w:hAnsi="Arial" w:cs="Arial"/>
        </w:rPr>
        <w:t>006,</w:t>
      </w:r>
      <w:r w:rsidR="007B7640" w:rsidRPr="00CD59CC">
        <w:rPr>
          <w:rFonts w:ascii="Arial" w:hAnsi="Arial" w:cs="Arial"/>
        </w:rPr>
        <w:t xml:space="preserve"> </w:t>
      </w:r>
      <w:r w:rsidR="00B8467A" w:rsidRPr="00CD59CC">
        <w:rPr>
          <w:rFonts w:ascii="Arial" w:hAnsi="Arial" w:cs="Arial"/>
        </w:rPr>
        <w:t>48</w:t>
      </w:r>
      <w:r w:rsidR="007B7640" w:rsidRPr="00CD59CC">
        <w:rPr>
          <w:rFonts w:ascii="Arial" w:hAnsi="Arial" w:cs="Arial"/>
        </w:rPr>
        <w:t xml:space="preserve"> </w:t>
      </w:r>
      <w:r w:rsidR="00B8467A" w:rsidRPr="00CD59CC">
        <w:rPr>
          <w:rFonts w:ascii="Arial" w:hAnsi="Arial" w:cs="Arial"/>
        </w:rPr>
        <w:t>910,</w:t>
      </w:r>
      <w:r w:rsidR="007B7640" w:rsidRPr="00CD59CC">
        <w:rPr>
          <w:rFonts w:ascii="Arial" w:hAnsi="Arial" w:cs="Arial"/>
        </w:rPr>
        <w:t xml:space="preserve"> </w:t>
      </w:r>
      <w:r w:rsidR="00B8467A" w:rsidRPr="00CD59CC">
        <w:rPr>
          <w:rFonts w:ascii="Arial" w:hAnsi="Arial" w:cs="Arial"/>
        </w:rPr>
        <w:t>1</w:t>
      </w:r>
      <w:r w:rsidR="007B7640" w:rsidRPr="00CD59CC">
        <w:rPr>
          <w:rFonts w:ascii="Arial" w:hAnsi="Arial" w:cs="Arial"/>
        </w:rPr>
        <w:t xml:space="preserve"> </w:t>
      </w:r>
      <w:r w:rsidR="00B8467A" w:rsidRPr="00CD59CC">
        <w:rPr>
          <w:rFonts w:ascii="Arial" w:hAnsi="Arial" w:cs="Arial"/>
        </w:rPr>
        <w:t>089</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00B8467A" w:rsidRPr="00CD59CC">
        <w:rPr>
          <w:rFonts w:ascii="Arial" w:hAnsi="Arial" w:cs="Arial"/>
        </w:rPr>
        <w:t>4</w:t>
      </w:r>
      <w:r w:rsidR="007B7640" w:rsidRPr="00CD59CC">
        <w:rPr>
          <w:rFonts w:ascii="Arial" w:hAnsi="Arial" w:cs="Arial"/>
        </w:rPr>
        <w:t xml:space="preserve"> </w:t>
      </w:r>
      <w:r w:rsidR="00B8467A" w:rsidRPr="00CD59CC">
        <w:rPr>
          <w:rFonts w:ascii="Arial" w:hAnsi="Arial" w:cs="Arial"/>
        </w:rPr>
        <w:t>333</w:t>
      </w:r>
      <w:r w:rsidR="007B7640" w:rsidRPr="00CD59CC">
        <w:rPr>
          <w:rFonts w:ascii="Arial" w:hAnsi="Arial" w:cs="Arial"/>
        </w:rPr>
        <w:t xml:space="preserve"> </w:t>
      </w:r>
      <w:r w:rsidRPr="00CD59CC">
        <w:rPr>
          <w:rFonts w:ascii="Arial" w:hAnsi="Arial" w:cs="Arial"/>
        </w:rPr>
        <w:t>respectively.</w:t>
      </w:r>
      <w:r w:rsidR="00B8467A" w:rsidRPr="00CD59CC">
        <w:rPr>
          <w:rStyle w:val="FootnoteReference"/>
          <w:rFonts w:ascii="Arial" w:hAnsi="Arial" w:cs="Arial"/>
        </w:rPr>
        <w:footnoteReference w:id="44"/>
      </w:r>
      <w:r w:rsidR="007B7640" w:rsidRPr="00CD59CC">
        <w:rPr>
          <w:rFonts w:ascii="Arial" w:hAnsi="Arial" w:cs="Arial"/>
        </w:rPr>
        <w:t xml:space="preserve"> </w:t>
      </w:r>
    </w:p>
    <w:p w14:paraId="58EA30D2" w14:textId="77777777" w:rsidR="001B2C4C" w:rsidRPr="00CD59CC" w:rsidRDefault="001B2C4C" w:rsidP="00CD59CC">
      <w:pPr>
        <w:rPr>
          <w:rFonts w:ascii="Arial" w:hAnsi="Arial" w:cs="Arial"/>
        </w:rPr>
      </w:pPr>
    </w:p>
    <w:p w14:paraId="2B5FC1AE" w14:textId="77777777" w:rsidR="001B2C4C" w:rsidRDefault="001B2C4C" w:rsidP="00CD59CC">
      <w:pPr>
        <w:rPr>
          <w:rFonts w:ascii="Arial" w:hAnsi="Arial" w:cs="Arial"/>
        </w:rPr>
      </w:pPr>
      <w:r w:rsidRPr="00CD59CC">
        <w:rPr>
          <w:rFonts w:ascii="Arial" w:hAnsi="Arial" w:cs="Arial"/>
          <w:i/>
        </w:rPr>
        <w:t>Ethnic</w:t>
      </w:r>
      <w:r w:rsidR="007B7640" w:rsidRPr="00CD59CC">
        <w:rPr>
          <w:rFonts w:ascii="Arial" w:hAnsi="Arial" w:cs="Arial"/>
          <w:i/>
        </w:rPr>
        <w:t xml:space="preserve"> </w:t>
      </w:r>
      <w:r w:rsidRPr="00CD59CC">
        <w:rPr>
          <w:rFonts w:ascii="Arial" w:hAnsi="Arial" w:cs="Arial"/>
          <w:i/>
        </w:rPr>
        <w:t>origin</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purposes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minority</w:t>
      </w:r>
      <w:r w:rsidR="007B7640" w:rsidRPr="00CD59CC">
        <w:rPr>
          <w:rFonts w:ascii="Arial" w:hAnsi="Arial" w:cs="Arial"/>
          <w:i/>
        </w:rPr>
        <w:t xml:space="preserve"> </w:t>
      </w:r>
      <w:r w:rsidRPr="00CD59CC">
        <w:rPr>
          <w:rFonts w:ascii="Arial" w:hAnsi="Arial" w:cs="Arial"/>
          <w:i/>
        </w:rPr>
        <w:t>elections:</w:t>
      </w:r>
      <w:r w:rsidR="007B7640" w:rsidRPr="00CD59CC">
        <w:rPr>
          <w:rFonts w:ascii="Arial" w:hAnsi="Arial" w:cs="Arial"/>
          <w:i/>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13</w:t>
      </w:r>
      <w:r w:rsidR="007B7640" w:rsidRPr="00CD59CC">
        <w:rPr>
          <w:rFonts w:ascii="Arial" w:hAnsi="Arial" w:cs="Arial"/>
        </w:rPr>
        <w:t xml:space="preserve"> </w:t>
      </w:r>
      <w:r w:rsidRPr="00CD59CC">
        <w:rPr>
          <w:rFonts w:ascii="Arial" w:hAnsi="Arial" w:cs="Arial"/>
        </w:rPr>
        <w:t>minorities</w:t>
      </w:r>
      <w:r w:rsidR="007B7640" w:rsidRPr="00CD59CC">
        <w:rPr>
          <w:rFonts w:ascii="Arial" w:hAnsi="Arial" w:cs="Arial"/>
        </w:rPr>
        <w:t xml:space="preserve"> </w:t>
      </w:r>
      <w:r w:rsidRPr="00CD59CC">
        <w:rPr>
          <w:rFonts w:ascii="Arial" w:hAnsi="Arial" w:cs="Arial"/>
        </w:rPr>
        <w:t>recognised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Nationalities</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list</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1.1.1)</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later</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Parliament</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form</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regional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self-governments,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wide-ranging</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preservation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language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traditions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given</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Furthermore,</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self-governments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foreseen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say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issues</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respective</w:t>
      </w:r>
      <w:r w:rsidR="007B7640" w:rsidRPr="00CD59CC">
        <w:rPr>
          <w:rFonts w:ascii="Arial" w:hAnsi="Arial" w:cs="Arial"/>
        </w:rPr>
        <w:t xml:space="preserve"> </w:t>
      </w:r>
      <w:r w:rsidRPr="00CD59CC">
        <w:rPr>
          <w:rFonts w:ascii="Arial" w:hAnsi="Arial" w:cs="Arial"/>
        </w:rPr>
        <w:t>minorities.</w:t>
      </w:r>
      <w:r w:rsidR="007B7640" w:rsidRPr="00CD59CC">
        <w:rPr>
          <w:rFonts w:ascii="Arial" w:hAnsi="Arial" w:cs="Arial"/>
        </w:rPr>
        <w:t xml:space="preserve"> </w:t>
      </w:r>
      <w:r w:rsidRPr="00CD59CC">
        <w:rPr>
          <w:rFonts w:ascii="Arial" w:hAnsi="Arial" w:cs="Arial"/>
        </w:rPr>
        <w:t>Last</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least,</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self-governments</w:t>
      </w:r>
      <w:r w:rsidR="007B7640" w:rsidRPr="00CD59CC">
        <w:rPr>
          <w:rFonts w:ascii="Arial" w:hAnsi="Arial" w:cs="Arial"/>
        </w:rPr>
        <w:t xml:space="preserve"> </w:t>
      </w:r>
      <w:r w:rsidRPr="00CD59CC">
        <w:rPr>
          <w:rFonts w:ascii="Arial" w:hAnsi="Arial" w:cs="Arial"/>
        </w:rPr>
        <w:t>receive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funding.</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gave</w:t>
      </w:r>
      <w:r w:rsidR="007B7640" w:rsidRPr="00CD59CC">
        <w:rPr>
          <w:rFonts w:ascii="Arial" w:hAnsi="Arial" w:cs="Arial"/>
        </w:rPr>
        <w:t xml:space="preserve"> </w:t>
      </w:r>
      <w:r w:rsidRPr="00CD59CC">
        <w:rPr>
          <w:rFonts w:ascii="Arial" w:hAnsi="Arial" w:cs="Arial"/>
        </w:rPr>
        <w:t>rise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so-called</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business”,</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candidates</w:t>
      </w:r>
      <w:r w:rsidR="007B7640" w:rsidRPr="00CD59CC">
        <w:rPr>
          <w:rFonts w:ascii="Arial" w:hAnsi="Arial" w:cs="Arial"/>
        </w:rPr>
        <w:t xml:space="preserve"> </w:t>
      </w:r>
      <w:r w:rsidRPr="00CD59CC">
        <w:rPr>
          <w:rFonts w:ascii="Arial" w:hAnsi="Arial" w:cs="Arial"/>
        </w:rPr>
        <w:t>misuse</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identity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sake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political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economic</w:t>
      </w:r>
      <w:r w:rsidR="007B7640" w:rsidRPr="00CD59CC">
        <w:rPr>
          <w:rFonts w:ascii="Arial" w:hAnsi="Arial" w:cs="Arial"/>
        </w:rPr>
        <w:t xml:space="preserve"> </w:t>
      </w:r>
      <w:r w:rsidRPr="00CD59CC">
        <w:rPr>
          <w:rFonts w:ascii="Arial" w:hAnsi="Arial" w:cs="Arial"/>
        </w:rPr>
        <w:t>ambitions.</w:t>
      </w:r>
      <w:r w:rsidR="007B7640" w:rsidRPr="00CD59CC">
        <w:rPr>
          <w:rFonts w:ascii="Arial" w:hAnsi="Arial" w:cs="Arial"/>
        </w:rPr>
        <w:t xml:space="preserve">  </w:t>
      </w:r>
    </w:p>
    <w:p w14:paraId="781EED06" w14:textId="37EFD569" w:rsidR="00D46A7C" w:rsidRPr="00CD59CC" w:rsidRDefault="001B2C4C" w:rsidP="00CD59CC">
      <w:pPr>
        <w:rPr>
          <w:rFonts w:ascii="Arial" w:hAnsi="Arial" w:cs="Arial"/>
        </w:rPr>
      </w:pPr>
      <w:r w:rsidRPr="00CD59CC">
        <w:rPr>
          <w:rFonts w:ascii="Arial" w:hAnsi="Arial" w:cs="Arial"/>
        </w:rPr>
        <w:lastRenderedPageBreak/>
        <w:t>To</w:t>
      </w:r>
      <w:r w:rsidR="007B7640" w:rsidRPr="00CD59CC">
        <w:rPr>
          <w:rFonts w:ascii="Arial" w:hAnsi="Arial" w:cs="Arial"/>
        </w:rPr>
        <w:t xml:space="preserve"> </w:t>
      </w:r>
      <w:r w:rsidRPr="00CD59CC">
        <w:rPr>
          <w:rFonts w:ascii="Arial" w:hAnsi="Arial" w:cs="Arial"/>
        </w:rPr>
        <w:t>curb</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phenomenon,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registration</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introduced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October</w:t>
      </w:r>
      <w:r w:rsidR="007B7640" w:rsidRPr="00CD59CC">
        <w:rPr>
          <w:rFonts w:ascii="Arial" w:hAnsi="Arial" w:cs="Arial"/>
        </w:rPr>
        <w:t xml:space="preserve"> </w:t>
      </w:r>
      <w:r w:rsidRPr="00CD59CC">
        <w:rPr>
          <w:rFonts w:ascii="Arial" w:hAnsi="Arial" w:cs="Arial"/>
        </w:rPr>
        <w:t>2005,</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Parliament</w:t>
      </w:r>
      <w:r w:rsidR="007B7640" w:rsidRPr="00CD59CC">
        <w:rPr>
          <w:rFonts w:ascii="Arial" w:hAnsi="Arial" w:cs="Arial"/>
        </w:rPr>
        <w:t xml:space="preserve"> </w:t>
      </w:r>
      <w:r w:rsidRPr="00CD59CC">
        <w:rPr>
          <w:rFonts w:ascii="Arial" w:hAnsi="Arial" w:cs="Arial"/>
        </w:rPr>
        <w:t>passed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CXIV</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2005</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Election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Self-Government</w:t>
      </w:r>
      <w:r w:rsidR="007B7640" w:rsidRPr="00CD59CC">
        <w:rPr>
          <w:rFonts w:ascii="Arial" w:hAnsi="Arial" w:cs="Arial"/>
        </w:rPr>
        <w:t xml:space="preserve"> </w:t>
      </w:r>
      <w:r w:rsidRPr="00CD59CC">
        <w:rPr>
          <w:rFonts w:ascii="Arial" w:hAnsi="Arial" w:cs="Arial"/>
        </w:rPr>
        <w:t>Representatives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Amendment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Acts</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Minorities</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Elections</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repealed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January</w:t>
      </w:r>
      <w:r w:rsidR="007B7640" w:rsidRPr="00CD59CC">
        <w:rPr>
          <w:rFonts w:ascii="Arial" w:hAnsi="Arial" w:cs="Arial"/>
        </w:rPr>
        <w:t xml:space="preserve"> </w:t>
      </w:r>
      <w:r w:rsidRPr="00CD59CC">
        <w:rPr>
          <w:rFonts w:ascii="Arial" w:hAnsi="Arial" w:cs="Arial"/>
        </w:rPr>
        <w:t>2012</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Nationalities,</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introduced</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00D46A7C" w:rsidRPr="00CD59CC">
        <w:rPr>
          <w:rFonts w:ascii="Arial" w:hAnsi="Arial" w:cs="Arial"/>
        </w:rPr>
        <w:t>preserved,</w:t>
      </w:r>
      <w:r w:rsidR="007B7640" w:rsidRPr="00CD59CC">
        <w:rPr>
          <w:rFonts w:ascii="Arial" w:hAnsi="Arial" w:cs="Arial"/>
        </w:rPr>
        <w:t xml:space="preserve"> </w:t>
      </w:r>
      <w:r w:rsidR="00D46A7C" w:rsidRPr="00CD59CC">
        <w:rPr>
          <w:rFonts w:ascii="Arial" w:hAnsi="Arial" w:cs="Arial"/>
        </w:rPr>
        <w:t>and</w:t>
      </w:r>
      <w:r w:rsidR="007B7640" w:rsidRPr="00CD59CC">
        <w:rPr>
          <w:rFonts w:ascii="Arial" w:hAnsi="Arial" w:cs="Arial"/>
        </w:rPr>
        <w:t xml:space="preserve"> </w:t>
      </w:r>
      <w:r w:rsidR="00D46A7C" w:rsidRPr="00CD59CC">
        <w:rPr>
          <w:rFonts w:ascii="Arial" w:hAnsi="Arial" w:cs="Arial"/>
        </w:rPr>
        <w:t>also</w:t>
      </w:r>
      <w:r w:rsidR="007B7640" w:rsidRPr="00CD59CC">
        <w:rPr>
          <w:rFonts w:ascii="Arial" w:hAnsi="Arial" w:cs="Arial"/>
        </w:rPr>
        <w:t xml:space="preserve"> </w:t>
      </w:r>
      <w:r w:rsidR="00D46A7C" w:rsidRPr="00CD59CC">
        <w:rPr>
          <w:rFonts w:ascii="Arial" w:hAnsi="Arial" w:cs="Arial"/>
        </w:rPr>
        <w:t>extended</w:t>
      </w:r>
      <w:r w:rsidR="007B7640" w:rsidRPr="00CD59CC">
        <w:rPr>
          <w:rFonts w:ascii="Arial" w:hAnsi="Arial" w:cs="Arial"/>
        </w:rPr>
        <w:t xml:space="preserve"> </w:t>
      </w:r>
      <w:r w:rsidR="00D46A7C" w:rsidRPr="00CD59CC">
        <w:rPr>
          <w:rFonts w:ascii="Arial" w:hAnsi="Arial" w:cs="Arial"/>
        </w:rPr>
        <w:t>to</w:t>
      </w:r>
      <w:r w:rsidR="007B7640" w:rsidRPr="00CD59CC">
        <w:rPr>
          <w:rFonts w:ascii="Arial" w:hAnsi="Arial" w:cs="Arial"/>
        </w:rPr>
        <w:t xml:space="preserve"> </w:t>
      </w:r>
      <w:r w:rsidR="00D46A7C" w:rsidRPr="00CD59CC">
        <w:rPr>
          <w:rFonts w:ascii="Arial" w:hAnsi="Arial" w:cs="Arial"/>
        </w:rPr>
        <w:t>the</w:t>
      </w:r>
      <w:r w:rsidR="007B7640" w:rsidRPr="00CD59CC">
        <w:rPr>
          <w:rFonts w:ascii="Arial" w:hAnsi="Arial" w:cs="Arial"/>
        </w:rPr>
        <w:t xml:space="preserve"> </w:t>
      </w:r>
      <w:r w:rsidR="00D46A7C" w:rsidRPr="00CD59CC">
        <w:rPr>
          <w:rFonts w:ascii="Arial" w:hAnsi="Arial" w:cs="Arial"/>
        </w:rPr>
        <w:t>parliamentary</w:t>
      </w:r>
      <w:r w:rsidR="007B7640" w:rsidRPr="00CD59CC">
        <w:rPr>
          <w:rFonts w:ascii="Arial" w:hAnsi="Arial" w:cs="Arial"/>
        </w:rPr>
        <w:t xml:space="preserve"> </w:t>
      </w:r>
      <w:r w:rsidR="00D46A7C" w:rsidRPr="00CD59CC">
        <w:rPr>
          <w:rFonts w:ascii="Arial" w:hAnsi="Arial" w:cs="Arial"/>
        </w:rPr>
        <w:t>elections,</w:t>
      </w:r>
      <w:r w:rsidR="007B7640" w:rsidRPr="00CD59CC">
        <w:rPr>
          <w:rFonts w:ascii="Arial" w:hAnsi="Arial" w:cs="Arial"/>
        </w:rPr>
        <w:t xml:space="preserve"> </w:t>
      </w:r>
      <w:r w:rsidR="00D46A7C" w:rsidRPr="00CD59CC">
        <w:rPr>
          <w:rFonts w:ascii="Arial" w:hAnsi="Arial" w:cs="Arial"/>
        </w:rPr>
        <w:t>since</w:t>
      </w:r>
      <w:r w:rsidR="007B7640" w:rsidRPr="00CD59CC">
        <w:rPr>
          <w:rFonts w:ascii="Arial" w:hAnsi="Arial" w:cs="Arial"/>
        </w:rPr>
        <w:t xml:space="preserve"> </w:t>
      </w:r>
      <w:r w:rsidR="00D46A7C" w:rsidRPr="00CD59CC">
        <w:rPr>
          <w:rFonts w:ascii="Arial" w:hAnsi="Arial" w:cs="Arial"/>
        </w:rPr>
        <w:t>starting</w:t>
      </w:r>
      <w:r w:rsidR="007B7640" w:rsidRPr="00CD59CC">
        <w:rPr>
          <w:rFonts w:ascii="Arial" w:hAnsi="Arial" w:cs="Arial"/>
        </w:rPr>
        <w:t xml:space="preserve"> </w:t>
      </w:r>
      <w:r w:rsidR="00D46A7C" w:rsidRPr="00CD59CC">
        <w:rPr>
          <w:rFonts w:ascii="Arial" w:hAnsi="Arial" w:cs="Arial"/>
        </w:rPr>
        <w:t>from</w:t>
      </w:r>
      <w:r w:rsidR="007B7640" w:rsidRPr="00CD59CC">
        <w:rPr>
          <w:rFonts w:ascii="Arial" w:hAnsi="Arial" w:cs="Arial"/>
        </w:rPr>
        <w:t xml:space="preserve"> </w:t>
      </w:r>
      <w:r w:rsidR="00D46A7C" w:rsidRPr="00CD59CC">
        <w:rPr>
          <w:rFonts w:ascii="Arial" w:hAnsi="Arial" w:cs="Arial"/>
        </w:rPr>
        <w:t>the</w:t>
      </w:r>
      <w:r w:rsidR="007B7640" w:rsidRPr="00CD59CC">
        <w:rPr>
          <w:rFonts w:ascii="Arial" w:hAnsi="Arial" w:cs="Arial"/>
        </w:rPr>
        <w:t xml:space="preserve"> </w:t>
      </w:r>
      <w:r w:rsidR="00D46A7C" w:rsidRPr="00CD59CC">
        <w:rPr>
          <w:rFonts w:ascii="Arial" w:hAnsi="Arial" w:cs="Arial"/>
        </w:rPr>
        <w:t>general</w:t>
      </w:r>
      <w:r w:rsidR="007B7640" w:rsidRPr="00CD59CC">
        <w:rPr>
          <w:rFonts w:ascii="Arial" w:hAnsi="Arial" w:cs="Arial"/>
        </w:rPr>
        <w:t xml:space="preserve"> </w:t>
      </w:r>
      <w:r w:rsidR="00D46A7C" w:rsidRPr="00CD59CC">
        <w:rPr>
          <w:rFonts w:ascii="Arial" w:hAnsi="Arial" w:cs="Arial"/>
        </w:rPr>
        <w:t>elections</w:t>
      </w:r>
      <w:r w:rsidR="007B7640" w:rsidRPr="00CD59CC">
        <w:rPr>
          <w:rFonts w:ascii="Arial" w:hAnsi="Arial" w:cs="Arial"/>
        </w:rPr>
        <w:t xml:space="preserve"> </w:t>
      </w:r>
      <w:r w:rsidR="00D46A7C" w:rsidRPr="00CD59CC">
        <w:rPr>
          <w:rFonts w:ascii="Arial" w:hAnsi="Arial" w:cs="Arial"/>
        </w:rPr>
        <w:t>of</w:t>
      </w:r>
      <w:r w:rsidR="007B7640" w:rsidRPr="00CD59CC">
        <w:rPr>
          <w:rFonts w:ascii="Arial" w:hAnsi="Arial" w:cs="Arial"/>
        </w:rPr>
        <w:t xml:space="preserve"> </w:t>
      </w:r>
      <w:r w:rsidR="00D46A7C" w:rsidRPr="00CD59CC">
        <w:rPr>
          <w:rFonts w:ascii="Arial" w:hAnsi="Arial" w:cs="Arial"/>
        </w:rPr>
        <w:t>2014,</w:t>
      </w:r>
      <w:r w:rsidR="007B7640" w:rsidRPr="00CD59CC">
        <w:rPr>
          <w:rFonts w:ascii="Arial" w:hAnsi="Arial" w:cs="Arial"/>
        </w:rPr>
        <w:t xml:space="preserve"> </w:t>
      </w:r>
      <w:r w:rsidR="00F505C4" w:rsidRPr="00CD59CC">
        <w:rPr>
          <w:rFonts w:ascii="Arial" w:hAnsi="Arial" w:cs="Arial"/>
        </w:rPr>
        <w:t>not</w:t>
      </w:r>
      <w:r w:rsidR="007B7640" w:rsidRPr="00CD59CC">
        <w:rPr>
          <w:rFonts w:ascii="Arial" w:hAnsi="Arial" w:cs="Arial"/>
        </w:rPr>
        <w:t xml:space="preserve"> </w:t>
      </w:r>
      <w:r w:rsidR="00F505C4" w:rsidRPr="00CD59CC">
        <w:rPr>
          <w:rFonts w:ascii="Arial" w:hAnsi="Arial" w:cs="Arial"/>
        </w:rPr>
        <w:t>only</w:t>
      </w:r>
      <w:r w:rsidR="007B7640" w:rsidRPr="00CD59CC">
        <w:rPr>
          <w:rFonts w:ascii="Arial" w:hAnsi="Arial" w:cs="Arial"/>
        </w:rPr>
        <w:t xml:space="preserve"> </w:t>
      </w:r>
      <w:r w:rsidR="00F505C4" w:rsidRPr="00CD59CC">
        <w:rPr>
          <w:rFonts w:ascii="Arial" w:hAnsi="Arial" w:cs="Arial"/>
        </w:rPr>
        <w:t>political</w:t>
      </w:r>
      <w:r w:rsidR="007B7640" w:rsidRPr="00CD59CC">
        <w:rPr>
          <w:rFonts w:ascii="Arial" w:hAnsi="Arial" w:cs="Arial"/>
        </w:rPr>
        <w:t xml:space="preserve"> </w:t>
      </w:r>
      <w:r w:rsidR="00F505C4" w:rsidRPr="00CD59CC">
        <w:rPr>
          <w:rFonts w:ascii="Arial" w:hAnsi="Arial" w:cs="Arial"/>
        </w:rPr>
        <w:t>parties,</w:t>
      </w:r>
      <w:r w:rsidR="007B7640" w:rsidRPr="00CD59CC">
        <w:rPr>
          <w:rFonts w:ascii="Arial" w:hAnsi="Arial" w:cs="Arial"/>
        </w:rPr>
        <w:t xml:space="preserve"> </w:t>
      </w:r>
      <w:r w:rsidR="00F505C4" w:rsidRPr="00CD59CC">
        <w:rPr>
          <w:rFonts w:ascii="Arial" w:hAnsi="Arial" w:cs="Arial"/>
        </w:rPr>
        <w:t>but</w:t>
      </w:r>
      <w:r w:rsidR="007B7640" w:rsidRPr="00CD59CC">
        <w:rPr>
          <w:rFonts w:ascii="Arial" w:hAnsi="Arial" w:cs="Arial"/>
        </w:rPr>
        <w:t xml:space="preserve"> </w:t>
      </w:r>
      <w:r w:rsidR="00F505C4" w:rsidRPr="00CD59CC">
        <w:rPr>
          <w:rFonts w:ascii="Arial" w:hAnsi="Arial" w:cs="Arial"/>
        </w:rPr>
        <w:t>also</w:t>
      </w:r>
      <w:r w:rsidR="007B7640" w:rsidRPr="00CD59CC">
        <w:rPr>
          <w:rFonts w:ascii="Arial" w:hAnsi="Arial" w:cs="Arial"/>
        </w:rPr>
        <w:t xml:space="preserve"> </w:t>
      </w:r>
      <w:r w:rsidR="00F505C4" w:rsidRPr="00CD59CC">
        <w:rPr>
          <w:rFonts w:ascii="Arial" w:hAnsi="Arial" w:cs="Arial"/>
        </w:rPr>
        <w:t>national</w:t>
      </w:r>
      <w:r w:rsidR="007B7640" w:rsidRPr="00CD59CC">
        <w:rPr>
          <w:rFonts w:ascii="Arial" w:hAnsi="Arial" w:cs="Arial"/>
        </w:rPr>
        <w:t xml:space="preserve"> </w:t>
      </w:r>
      <w:r w:rsidR="00F505C4" w:rsidRPr="00CD59CC">
        <w:rPr>
          <w:rFonts w:ascii="Arial" w:hAnsi="Arial" w:cs="Arial"/>
        </w:rPr>
        <w:t>self-governments</w:t>
      </w:r>
      <w:r w:rsidR="007B7640" w:rsidRPr="00CD59CC">
        <w:rPr>
          <w:rFonts w:ascii="Arial" w:hAnsi="Arial" w:cs="Arial"/>
        </w:rPr>
        <w:t xml:space="preserve"> </w:t>
      </w:r>
      <w:r w:rsidR="00F505C4" w:rsidRPr="00CD59CC">
        <w:rPr>
          <w:rFonts w:ascii="Arial" w:hAnsi="Arial" w:cs="Arial"/>
        </w:rPr>
        <w:t>can</w:t>
      </w:r>
      <w:r w:rsidR="007B7640" w:rsidRPr="00CD59CC">
        <w:rPr>
          <w:rFonts w:ascii="Arial" w:hAnsi="Arial" w:cs="Arial"/>
        </w:rPr>
        <w:t xml:space="preserve"> </w:t>
      </w:r>
      <w:r w:rsidR="00F505C4" w:rsidRPr="00CD59CC">
        <w:rPr>
          <w:rFonts w:ascii="Arial" w:hAnsi="Arial" w:cs="Arial"/>
        </w:rPr>
        <w:t>send</w:t>
      </w:r>
      <w:r w:rsidR="007B7640" w:rsidRPr="00CD59CC">
        <w:rPr>
          <w:rFonts w:ascii="Arial" w:hAnsi="Arial" w:cs="Arial"/>
        </w:rPr>
        <w:t xml:space="preserve"> </w:t>
      </w:r>
      <w:r w:rsidR="00F505C4" w:rsidRPr="00CD59CC">
        <w:rPr>
          <w:rFonts w:ascii="Arial" w:hAnsi="Arial" w:cs="Arial"/>
        </w:rPr>
        <w:t>MP’s</w:t>
      </w:r>
      <w:r w:rsidR="007B7640" w:rsidRPr="00CD59CC">
        <w:rPr>
          <w:rFonts w:ascii="Arial" w:hAnsi="Arial" w:cs="Arial"/>
        </w:rPr>
        <w:t xml:space="preserve"> </w:t>
      </w:r>
      <w:r w:rsidR="00F505C4" w:rsidRPr="00CD59CC">
        <w:rPr>
          <w:rFonts w:ascii="Arial" w:hAnsi="Arial" w:cs="Arial"/>
        </w:rPr>
        <w:t>to</w:t>
      </w:r>
      <w:r w:rsidR="007B7640" w:rsidRPr="00CD59CC">
        <w:rPr>
          <w:rFonts w:ascii="Arial" w:hAnsi="Arial" w:cs="Arial"/>
        </w:rPr>
        <w:t xml:space="preserve"> </w:t>
      </w:r>
      <w:r w:rsidR="00F505C4" w:rsidRPr="00CD59CC">
        <w:rPr>
          <w:rFonts w:ascii="Arial" w:hAnsi="Arial" w:cs="Arial"/>
        </w:rPr>
        <w:t>the</w:t>
      </w:r>
      <w:r w:rsidR="007B7640" w:rsidRPr="00CD59CC">
        <w:rPr>
          <w:rFonts w:ascii="Arial" w:hAnsi="Arial" w:cs="Arial"/>
        </w:rPr>
        <w:t xml:space="preserve"> </w:t>
      </w:r>
      <w:r w:rsidR="00F505C4" w:rsidRPr="00CD59CC">
        <w:rPr>
          <w:rFonts w:ascii="Arial" w:hAnsi="Arial" w:cs="Arial"/>
        </w:rPr>
        <w:t>Parliament</w:t>
      </w:r>
      <w:r w:rsidR="007B7640" w:rsidRPr="00CD59CC">
        <w:rPr>
          <w:rFonts w:ascii="Arial" w:hAnsi="Arial" w:cs="Arial"/>
        </w:rPr>
        <w:t xml:space="preserve"> </w:t>
      </w:r>
      <w:r w:rsidR="00F505C4" w:rsidRPr="00CD59CC">
        <w:rPr>
          <w:rFonts w:ascii="Arial" w:hAnsi="Arial" w:cs="Arial"/>
        </w:rPr>
        <w:t>–</w:t>
      </w:r>
      <w:r w:rsidR="007B7640" w:rsidRPr="00CD59CC">
        <w:rPr>
          <w:rFonts w:ascii="Arial" w:hAnsi="Arial" w:cs="Arial"/>
        </w:rPr>
        <w:t xml:space="preserve"> </w:t>
      </w:r>
      <w:r w:rsidR="00F505C4" w:rsidRPr="00CD59CC">
        <w:rPr>
          <w:rFonts w:ascii="Arial" w:hAnsi="Arial" w:cs="Arial"/>
        </w:rPr>
        <w:t>provided</w:t>
      </w:r>
      <w:r w:rsidR="007B7640" w:rsidRPr="00CD59CC">
        <w:rPr>
          <w:rFonts w:ascii="Arial" w:hAnsi="Arial" w:cs="Arial"/>
        </w:rPr>
        <w:t xml:space="preserve"> </w:t>
      </w:r>
      <w:r w:rsidR="00F505C4" w:rsidRPr="00CD59CC">
        <w:rPr>
          <w:rFonts w:ascii="Arial" w:hAnsi="Arial" w:cs="Arial"/>
        </w:rPr>
        <w:t>that</w:t>
      </w:r>
      <w:r w:rsidR="007B7640" w:rsidRPr="00CD59CC">
        <w:rPr>
          <w:rFonts w:ascii="Arial" w:hAnsi="Arial" w:cs="Arial"/>
        </w:rPr>
        <w:t xml:space="preserve"> </w:t>
      </w:r>
      <w:r w:rsidR="00F505C4" w:rsidRPr="00CD59CC">
        <w:rPr>
          <w:rFonts w:ascii="Arial" w:hAnsi="Arial" w:cs="Arial"/>
        </w:rPr>
        <w:t>a</w:t>
      </w:r>
      <w:r w:rsidR="007B7640" w:rsidRPr="00CD59CC">
        <w:rPr>
          <w:rFonts w:ascii="Arial" w:hAnsi="Arial" w:cs="Arial"/>
        </w:rPr>
        <w:t xml:space="preserve"> </w:t>
      </w:r>
      <w:r w:rsidR="00F505C4" w:rsidRPr="00CD59CC">
        <w:rPr>
          <w:rFonts w:ascii="Arial" w:hAnsi="Arial" w:cs="Arial"/>
        </w:rPr>
        <w:t>sufficient</w:t>
      </w:r>
      <w:r w:rsidR="007B7640" w:rsidRPr="00CD59CC">
        <w:rPr>
          <w:rFonts w:ascii="Arial" w:hAnsi="Arial" w:cs="Arial"/>
        </w:rPr>
        <w:t xml:space="preserve"> </w:t>
      </w:r>
      <w:r w:rsidR="00F505C4" w:rsidRPr="00CD59CC">
        <w:rPr>
          <w:rFonts w:ascii="Arial" w:hAnsi="Arial" w:cs="Arial"/>
        </w:rPr>
        <w:t>number</w:t>
      </w:r>
      <w:r w:rsidR="007B7640" w:rsidRPr="00CD59CC">
        <w:rPr>
          <w:rFonts w:ascii="Arial" w:hAnsi="Arial" w:cs="Arial"/>
        </w:rPr>
        <w:t xml:space="preserve"> </w:t>
      </w:r>
      <w:r w:rsidR="00F505C4" w:rsidRPr="00CD59CC">
        <w:rPr>
          <w:rFonts w:ascii="Arial" w:hAnsi="Arial" w:cs="Arial"/>
        </w:rPr>
        <w:t>of</w:t>
      </w:r>
      <w:r w:rsidR="007B7640" w:rsidRPr="00CD59CC">
        <w:rPr>
          <w:rFonts w:ascii="Arial" w:hAnsi="Arial" w:cs="Arial"/>
        </w:rPr>
        <w:t xml:space="preserve"> </w:t>
      </w:r>
      <w:r w:rsidR="00F505C4" w:rsidRPr="00CD59CC">
        <w:rPr>
          <w:rFonts w:ascii="Arial" w:hAnsi="Arial" w:cs="Arial"/>
        </w:rPr>
        <w:t>national</w:t>
      </w:r>
      <w:r w:rsidR="007B7640" w:rsidRPr="00CD59CC">
        <w:rPr>
          <w:rFonts w:ascii="Arial" w:hAnsi="Arial" w:cs="Arial"/>
        </w:rPr>
        <w:t xml:space="preserve"> </w:t>
      </w:r>
      <w:r w:rsidR="00F505C4" w:rsidRPr="00CD59CC">
        <w:rPr>
          <w:rFonts w:ascii="Arial" w:hAnsi="Arial" w:cs="Arial"/>
        </w:rPr>
        <w:t>minority</w:t>
      </w:r>
      <w:r w:rsidR="007B7640" w:rsidRPr="00CD59CC">
        <w:rPr>
          <w:rFonts w:ascii="Arial" w:hAnsi="Arial" w:cs="Arial"/>
        </w:rPr>
        <w:t xml:space="preserve"> </w:t>
      </w:r>
      <w:r w:rsidR="00F505C4" w:rsidRPr="00CD59CC">
        <w:rPr>
          <w:rFonts w:ascii="Arial" w:hAnsi="Arial" w:cs="Arial"/>
        </w:rPr>
        <w:t>voters</w:t>
      </w:r>
      <w:r w:rsidR="007B7640" w:rsidRPr="00CD59CC">
        <w:rPr>
          <w:rFonts w:ascii="Arial" w:hAnsi="Arial" w:cs="Arial"/>
        </w:rPr>
        <w:t xml:space="preserve"> </w:t>
      </w:r>
      <w:r w:rsidR="00F505C4" w:rsidRPr="00CD59CC">
        <w:rPr>
          <w:rFonts w:ascii="Arial" w:hAnsi="Arial" w:cs="Arial"/>
        </w:rPr>
        <w:t>vote</w:t>
      </w:r>
      <w:r w:rsidR="007B7640" w:rsidRPr="00CD59CC">
        <w:rPr>
          <w:rFonts w:ascii="Arial" w:hAnsi="Arial" w:cs="Arial"/>
        </w:rPr>
        <w:t xml:space="preserve"> </w:t>
      </w:r>
      <w:r w:rsidR="00F505C4" w:rsidRPr="00CD59CC">
        <w:rPr>
          <w:rFonts w:ascii="Arial" w:hAnsi="Arial" w:cs="Arial"/>
        </w:rPr>
        <w:t>on</w:t>
      </w:r>
      <w:r w:rsidR="007B7640" w:rsidRPr="00CD59CC">
        <w:rPr>
          <w:rFonts w:ascii="Arial" w:hAnsi="Arial" w:cs="Arial"/>
        </w:rPr>
        <w:t xml:space="preserve"> </w:t>
      </w:r>
      <w:r w:rsidR="00F505C4" w:rsidRPr="00CD59CC">
        <w:rPr>
          <w:rFonts w:ascii="Arial" w:hAnsi="Arial" w:cs="Arial"/>
        </w:rPr>
        <w:t>their</w:t>
      </w:r>
      <w:r w:rsidR="007B7640" w:rsidRPr="00CD59CC">
        <w:rPr>
          <w:rFonts w:ascii="Arial" w:hAnsi="Arial" w:cs="Arial"/>
        </w:rPr>
        <w:t xml:space="preserve"> </w:t>
      </w:r>
      <w:r w:rsidR="00F505C4" w:rsidRPr="00CD59CC">
        <w:rPr>
          <w:rFonts w:ascii="Arial" w:hAnsi="Arial" w:cs="Arial"/>
        </w:rPr>
        <w:t>lists.</w:t>
      </w:r>
    </w:p>
    <w:p w14:paraId="55780693" w14:textId="77777777" w:rsidR="00D46A7C" w:rsidRPr="00CD59CC" w:rsidRDefault="00D46A7C" w:rsidP="00CD59CC">
      <w:pPr>
        <w:rPr>
          <w:rFonts w:ascii="Arial" w:hAnsi="Arial" w:cs="Arial"/>
        </w:rPr>
      </w:pPr>
    </w:p>
    <w:p w14:paraId="57200031" w14:textId="77777777" w:rsidR="003A4A9F" w:rsidRPr="00CD59CC" w:rsidRDefault="00F505C4" w:rsidP="00CD59CC">
      <w:pPr>
        <w:rPr>
          <w:rFonts w:ascii="Arial" w:hAnsi="Arial" w:cs="Arial"/>
        </w:rPr>
      </w:pPr>
      <w:r w:rsidRPr="00CD59CC">
        <w:rPr>
          <w:rFonts w:ascii="Arial" w:hAnsi="Arial" w:cs="Arial"/>
        </w:rPr>
        <w:t>At</w:t>
      </w:r>
      <w:r w:rsidR="007B7640" w:rsidRPr="00CD59CC">
        <w:rPr>
          <w:rFonts w:ascii="Arial" w:hAnsi="Arial" w:cs="Arial"/>
        </w:rPr>
        <w:t xml:space="preserve"> </w:t>
      </w:r>
      <w:r w:rsidRPr="00CD59CC">
        <w:rPr>
          <w:rFonts w:ascii="Arial" w:hAnsi="Arial" w:cs="Arial"/>
        </w:rPr>
        <w:t>present,</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voter</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request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he/she</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registered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voter</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filing</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Election</w:t>
      </w:r>
      <w:r w:rsidR="007B7640" w:rsidRPr="00CD59CC">
        <w:rPr>
          <w:rFonts w:ascii="Arial" w:hAnsi="Arial" w:cs="Arial"/>
        </w:rPr>
        <w:t xml:space="preserve"> </w:t>
      </w:r>
      <w:r w:rsidRPr="00CD59CC">
        <w:rPr>
          <w:rFonts w:ascii="Arial" w:hAnsi="Arial" w:cs="Arial"/>
        </w:rPr>
        <w:t>Office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request</w:t>
      </w:r>
      <w:r w:rsidR="007B7640" w:rsidRPr="00CD59CC">
        <w:rPr>
          <w:rFonts w:ascii="Arial" w:hAnsi="Arial" w:cs="Arial"/>
        </w:rPr>
        <w:t xml:space="preserve"> </w:t>
      </w:r>
      <w:r w:rsidRPr="00CD59CC">
        <w:rPr>
          <w:rFonts w:ascii="Arial" w:hAnsi="Arial" w:cs="Arial"/>
        </w:rPr>
        <w:t>containing</w:t>
      </w:r>
      <w:r w:rsidR="007B7640" w:rsidRPr="00CD59CC">
        <w:rPr>
          <w:rFonts w:ascii="Arial" w:hAnsi="Arial" w:cs="Arial"/>
        </w:rPr>
        <w:t xml:space="preserve"> </w:t>
      </w:r>
      <w:r w:rsidRPr="00CD59CC">
        <w:rPr>
          <w:rFonts w:ascii="Arial" w:hAnsi="Arial" w:cs="Arial"/>
        </w:rPr>
        <w:t>(i)</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he/she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member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(ii)</w:t>
      </w:r>
      <w:r w:rsidR="007B7640" w:rsidRPr="00CD59CC">
        <w:rPr>
          <w:rFonts w:ascii="Arial" w:hAnsi="Arial" w:cs="Arial"/>
        </w:rPr>
        <w:t xml:space="preserve"> </w:t>
      </w:r>
      <w:r w:rsidRPr="00CD59CC">
        <w:rPr>
          <w:rFonts w:ascii="Arial" w:hAnsi="Arial" w:cs="Arial"/>
        </w:rPr>
        <w:t>his/her</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he/she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affiliated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(iii)</w:t>
      </w:r>
      <w:r w:rsidR="007B7640" w:rsidRPr="00CD59CC">
        <w:rPr>
          <w:rFonts w:ascii="Arial" w:hAnsi="Arial" w:cs="Arial"/>
        </w:rPr>
        <w:t xml:space="preserve"> </w:t>
      </w:r>
      <w:r w:rsidRPr="00CD59CC">
        <w:rPr>
          <w:rFonts w:ascii="Arial" w:hAnsi="Arial" w:cs="Arial"/>
        </w:rPr>
        <w:t>his/her</w:t>
      </w:r>
      <w:r w:rsidR="007B7640" w:rsidRPr="00CD59CC">
        <w:rPr>
          <w:rFonts w:ascii="Arial" w:hAnsi="Arial" w:cs="Arial"/>
        </w:rPr>
        <w:t xml:space="preserve"> </w:t>
      </w:r>
      <w:r w:rsidRPr="00CD59CC">
        <w:rPr>
          <w:rFonts w:ascii="Arial" w:hAnsi="Arial" w:cs="Arial"/>
        </w:rPr>
        <w:t>statement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whether</w:t>
      </w:r>
      <w:r w:rsidR="007B7640" w:rsidRPr="00CD59CC">
        <w:rPr>
          <w:rFonts w:ascii="Arial" w:hAnsi="Arial" w:cs="Arial"/>
        </w:rPr>
        <w:t xml:space="preserve"> </w:t>
      </w:r>
      <w:r w:rsidRPr="00CD59CC">
        <w:rPr>
          <w:rFonts w:ascii="Arial" w:hAnsi="Arial" w:cs="Arial"/>
        </w:rPr>
        <w:t>he/she</w:t>
      </w:r>
      <w:r w:rsidR="007B7640" w:rsidRPr="00CD59CC">
        <w:rPr>
          <w:rFonts w:ascii="Arial" w:hAnsi="Arial" w:cs="Arial"/>
        </w:rPr>
        <w:t xml:space="preserve"> </w:t>
      </w:r>
      <w:r w:rsidRPr="00CD59CC">
        <w:rPr>
          <w:rFonts w:ascii="Arial" w:hAnsi="Arial" w:cs="Arial"/>
        </w:rPr>
        <w:t>wishes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voter</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self-government</w:t>
      </w:r>
      <w:r w:rsidR="007B7640" w:rsidRPr="00CD59CC">
        <w:rPr>
          <w:rFonts w:ascii="Arial" w:hAnsi="Arial" w:cs="Arial"/>
        </w:rPr>
        <w:t xml:space="preserve"> </w:t>
      </w:r>
      <w:r w:rsidRPr="00CD59CC">
        <w:rPr>
          <w:rFonts w:ascii="Arial" w:hAnsi="Arial" w:cs="Arial"/>
        </w:rPr>
        <w:t>elections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elections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he/she</w:t>
      </w:r>
      <w:r w:rsidR="007B7640" w:rsidRPr="00CD59CC">
        <w:rPr>
          <w:rFonts w:ascii="Arial" w:hAnsi="Arial" w:cs="Arial"/>
        </w:rPr>
        <w:t xml:space="preserve"> </w:t>
      </w:r>
      <w:r w:rsidRPr="00CD59CC">
        <w:rPr>
          <w:rFonts w:ascii="Arial" w:hAnsi="Arial" w:cs="Arial"/>
        </w:rPr>
        <w:t>will</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eligible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vote</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party</w:t>
      </w:r>
      <w:r w:rsidR="007B7640" w:rsidRPr="00CD59CC">
        <w:rPr>
          <w:rFonts w:ascii="Arial" w:hAnsi="Arial" w:cs="Arial"/>
        </w:rPr>
        <w:t xml:space="preserve"> </w:t>
      </w:r>
      <w:r w:rsidRPr="00CD59CC">
        <w:rPr>
          <w:rFonts w:ascii="Arial" w:hAnsi="Arial" w:cs="Arial"/>
        </w:rPr>
        <w:t>lists</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elections,</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individual</w:t>
      </w:r>
      <w:r w:rsidR="007B7640" w:rsidRPr="00CD59CC">
        <w:rPr>
          <w:rFonts w:ascii="Arial" w:hAnsi="Arial" w:cs="Arial"/>
        </w:rPr>
        <w:t xml:space="preserve"> </w:t>
      </w:r>
      <w:r w:rsidRPr="00CD59CC">
        <w:rPr>
          <w:rFonts w:ascii="Arial" w:hAnsi="Arial" w:cs="Arial"/>
        </w:rPr>
        <w:t>candidates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lists).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Election</w:t>
      </w:r>
      <w:r w:rsidR="007B7640" w:rsidRPr="00CD59CC">
        <w:rPr>
          <w:rFonts w:ascii="Arial" w:hAnsi="Arial" w:cs="Arial"/>
        </w:rPr>
        <w:t xml:space="preserve"> </w:t>
      </w:r>
      <w:r w:rsidRPr="00CD59CC">
        <w:rPr>
          <w:rFonts w:ascii="Arial" w:hAnsi="Arial" w:cs="Arial"/>
        </w:rPr>
        <w:t>Office</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examine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genuineness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reject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request</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given</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already</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registered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voter</w:t>
      </w:r>
      <w:r w:rsidR="007B7640" w:rsidRPr="00CD59CC">
        <w:rPr>
          <w:rFonts w:ascii="Arial" w:hAnsi="Arial" w:cs="Arial"/>
        </w:rPr>
        <w:t xml:space="preserve"> </w:t>
      </w:r>
      <w:r w:rsidRPr="00CD59CC">
        <w:rPr>
          <w:rFonts w:ascii="Arial" w:hAnsi="Arial" w:cs="Arial"/>
        </w:rPr>
        <w:t>belonging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another</w:t>
      </w:r>
      <w:r w:rsidR="007B7640" w:rsidRPr="00CD59CC">
        <w:rPr>
          <w:rFonts w:ascii="Arial" w:hAnsi="Arial" w:cs="Arial"/>
        </w:rPr>
        <w:t xml:space="preserve"> </w:t>
      </w:r>
      <w:r w:rsidR="00541197" w:rsidRPr="00CD59CC">
        <w:rPr>
          <w:rFonts w:ascii="Arial" w:hAnsi="Arial" w:cs="Arial"/>
        </w:rPr>
        <w:t>national</w:t>
      </w:r>
      <w:r w:rsidR="007B7640" w:rsidRPr="00CD59CC">
        <w:rPr>
          <w:rFonts w:ascii="Arial" w:hAnsi="Arial" w:cs="Arial"/>
        </w:rPr>
        <w:t xml:space="preserve"> </w:t>
      </w:r>
      <w:r w:rsidR="00541197" w:rsidRPr="00CD59CC">
        <w:rPr>
          <w:rFonts w:ascii="Arial" w:hAnsi="Arial" w:cs="Arial"/>
        </w:rPr>
        <w:t>minority.</w:t>
      </w:r>
      <w:r w:rsidR="00541197" w:rsidRPr="00CD59CC">
        <w:rPr>
          <w:rStyle w:val="FootnoteReference"/>
          <w:rFonts w:ascii="Arial" w:hAnsi="Arial" w:cs="Arial"/>
        </w:rPr>
        <w:footnoteReference w:id="45"/>
      </w:r>
      <w:r w:rsidR="007B7640" w:rsidRPr="00CD59CC">
        <w:rPr>
          <w:rFonts w:ascii="Arial" w:hAnsi="Arial" w:cs="Arial"/>
        </w:rPr>
        <w:t xml:space="preserve"> </w:t>
      </w:r>
    </w:p>
    <w:p w14:paraId="01B44606" w14:textId="77777777" w:rsidR="003A4A9F" w:rsidRPr="00CD59CC" w:rsidRDefault="007B7640" w:rsidP="00CD59CC">
      <w:pPr>
        <w:rPr>
          <w:rFonts w:ascii="Arial" w:hAnsi="Arial" w:cs="Arial"/>
        </w:rPr>
      </w:pPr>
      <w:r w:rsidRPr="00CD59CC">
        <w:rPr>
          <w:rFonts w:ascii="Arial" w:hAnsi="Arial" w:cs="Arial"/>
        </w:rPr>
        <w:t xml:space="preserve"> </w:t>
      </w:r>
    </w:p>
    <w:p w14:paraId="7BEF0F12" w14:textId="77777777" w:rsidR="001B2C4C" w:rsidRPr="00CD59CC" w:rsidRDefault="00541197"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n</w:t>
      </w:r>
      <w:r w:rsidR="001B2C4C" w:rsidRPr="00CD59CC">
        <w:rPr>
          <w:rFonts w:ascii="Arial" w:hAnsi="Arial" w:cs="Arial"/>
        </w:rPr>
        <w:t>umbers</w:t>
      </w:r>
      <w:r w:rsidR="007B7640" w:rsidRPr="00CD59CC">
        <w:rPr>
          <w:rFonts w:ascii="Arial" w:hAnsi="Arial" w:cs="Arial"/>
        </w:rPr>
        <w:t xml:space="preserve"> </w:t>
      </w:r>
      <w:r w:rsidR="001B2C4C" w:rsidRPr="00CD59CC">
        <w:rPr>
          <w:rFonts w:ascii="Arial" w:hAnsi="Arial" w:cs="Arial"/>
        </w:rPr>
        <w:t>were</w:t>
      </w:r>
      <w:r w:rsidR="007B7640" w:rsidRPr="00CD59CC">
        <w:rPr>
          <w:rFonts w:ascii="Arial" w:hAnsi="Arial" w:cs="Arial"/>
        </w:rPr>
        <w:t xml:space="preserve"> </w:t>
      </w:r>
      <w:r w:rsidR="001B2C4C" w:rsidRPr="00CD59CC">
        <w:rPr>
          <w:rFonts w:ascii="Arial" w:hAnsi="Arial" w:cs="Arial"/>
        </w:rPr>
        <w:t>registered</w:t>
      </w:r>
      <w:r w:rsidR="007B7640" w:rsidRPr="00CD59CC">
        <w:rPr>
          <w:rFonts w:ascii="Arial" w:hAnsi="Arial" w:cs="Arial"/>
        </w:rPr>
        <w:t xml:space="preserve"> </w:t>
      </w:r>
      <w:r w:rsidR="001B2C4C" w:rsidRPr="00CD59CC">
        <w:rPr>
          <w:rFonts w:ascii="Arial" w:hAnsi="Arial" w:cs="Arial"/>
        </w:rPr>
        <w:t>at</w:t>
      </w:r>
      <w:r w:rsidR="007B7640" w:rsidRPr="00CD59CC">
        <w:rPr>
          <w:rFonts w:ascii="Arial" w:hAnsi="Arial" w:cs="Arial"/>
        </w:rPr>
        <w:t xml:space="preserve"> </w:t>
      </w:r>
      <w:r w:rsidR="001B2C4C" w:rsidRPr="00CD59CC">
        <w:rPr>
          <w:rFonts w:ascii="Arial" w:hAnsi="Arial" w:cs="Arial"/>
        </w:rPr>
        <w:t>the</w:t>
      </w:r>
      <w:r w:rsidR="007B7640" w:rsidRPr="00CD59CC">
        <w:rPr>
          <w:rFonts w:ascii="Arial" w:hAnsi="Arial" w:cs="Arial"/>
        </w:rPr>
        <w:t xml:space="preserve"> </w:t>
      </w:r>
      <w:r w:rsidR="001B2C4C" w:rsidRPr="00CD59CC">
        <w:rPr>
          <w:rFonts w:ascii="Arial" w:hAnsi="Arial" w:cs="Arial"/>
        </w:rPr>
        <w:t>2006</w:t>
      </w:r>
      <w:r w:rsidR="007B7640" w:rsidRPr="00CD59CC">
        <w:rPr>
          <w:rFonts w:ascii="Arial" w:hAnsi="Arial" w:cs="Arial"/>
        </w:rPr>
        <w:t xml:space="preserve"> </w:t>
      </w:r>
      <w:r w:rsidR="001B2C4C" w:rsidRPr="00CD59CC">
        <w:rPr>
          <w:rFonts w:ascii="Arial" w:hAnsi="Arial" w:cs="Arial"/>
        </w:rPr>
        <w:t>and</w:t>
      </w:r>
      <w:r w:rsidR="007B7640" w:rsidRPr="00CD59CC">
        <w:rPr>
          <w:rFonts w:ascii="Arial" w:hAnsi="Arial" w:cs="Arial"/>
        </w:rPr>
        <w:t xml:space="preserve"> </w:t>
      </w:r>
      <w:r w:rsidR="001B2C4C" w:rsidRPr="00CD59CC">
        <w:rPr>
          <w:rFonts w:ascii="Arial" w:hAnsi="Arial" w:cs="Arial"/>
        </w:rPr>
        <w:t>2011</w:t>
      </w:r>
      <w:r w:rsidR="007B7640" w:rsidRPr="00CD59CC">
        <w:rPr>
          <w:rFonts w:ascii="Arial" w:hAnsi="Arial" w:cs="Arial"/>
        </w:rPr>
        <w:t xml:space="preserve"> </w:t>
      </w:r>
      <w:r w:rsidR="001B2C4C" w:rsidRPr="00CD59CC">
        <w:rPr>
          <w:rFonts w:ascii="Arial" w:hAnsi="Arial" w:cs="Arial"/>
        </w:rPr>
        <w:t>minority</w:t>
      </w:r>
      <w:r w:rsidR="007B7640" w:rsidRPr="00CD59CC">
        <w:rPr>
          <w:rFonts w:ascii="Arial" w:hAnsi="Arial" w:cs="Arial"/>
        </w:rPr>
        <w:t xml:space="preserve"> </w:t>
      </w:r>
      <w:r w:rsidR="001B2C4C" w:rsidRPr="00CD59CC">
        <w:rPr>
          <w:rFonts w:ascii="Arial" w:hAnsi="Arial" w:cs="Arial"/>
        </w:rPr>
        <w:t>elections</w:t>
      </w:r>
      <w:r w:rsidR="00592BD1">
        <w:rPr>
          <w:rFonts w:ascii="Arial" w:hAnsi="Arial" w:cs="Arial"/>
        </w:rPr>
        <w:t>:</w:t>
      </w:r>
      <w:r w:rsidR="001B2C4C" w:rsidRPr="00CD59CC">
        <w:rPr>
          <w:rStyle w:val="Lbjegyzet-karakterek"/>
          <w:rFonts w:ascii="Arial" w:hAnsi="Arial" w:cs="Arial"/>
        </w:rPr>
        <w:footnoteReference w:id="46"/>
      </w:r>
    </w:p>
    <w:p w14:paraId="4BE12BBE" w14:textId="77777777" w:rsidR="001B2C4C" w:rsidRPr="00CD59CC" w:rsidRDefault="001B2C4C" w:rsidP="00CD59C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668"/>
        <w:gridCol w:w="1984"/>
        <w:gridCol w:w="1559"/>
      </w:tblGrid>
      <w:tr w:rsidR="001B2C4C" w:rsidRPr="00CD59CC" w14:paraId="625B2930" w14:textId="77777777" w:rsidTr="00E34CF1">
        <w:tc>
          <w:tcPr>
            <w:tcW w:w="1668" w:type="dxa"/>
          </w:tcPr>
          <w:p w14:paraId="1857F2B0" w14:textId="77777777" w:rsidR="001B2C4C" w:rsidRPr="00CD59CC" w:rsidRDefault="001B2C4C" w:rsidP="00CD59CC">
            <w:pPr>
              <w:snapToGrid w:val="0"/>
              <w:rPr>
                <w:rFonts w:ascii="Arial" w:hAnsi="Arial" w:cs="Arial"/>
                <w:b/>
              </w:rPr>
            </w:pPr>
            <w:r w:rsidRPr="00CD59CC">
              <w:rPr>
                <w:rFonts w:ascii="Arial" w:hAnsi="Arial" w:cs="Arial"/>
                <w:b/>
              </w:rPr>
              <w:t>Minority</w:t>
            </w:r>
          </w:p>
        </w:tc>
        <w:tc>
          <w:tcPr>
            <w:tcW w:w="3543" w:type="dxa"/>
            <w:gridSpan w:val="2"/>
          </w:tcPr>
          <w:p w14:paraId="01061B8A" w14:textId="77777777" w:rsidR="001B2C4C" w:rsidRPr="00CD59CC" w:rsidRDefault="001B2C4C" w:rsidP="00CD59CC">
            <w:pPr>
              <w:snapToGrid w:val="0"/>
              <w:rPr>
                <w:rFonts w:ascii="Arial" w:hAnsi="Arial" w:cs="Arial"/>
                <w:b/>
              </w:rPr>
            </w:pPr>
            <w:r w:rsidRPr="00CD59CC">
              <w:rPr>
                <w:rFonts w:ascii="Arial" w:hAnsi="Arial" w:cs="Arial"/>
                <w:b/>
              </w:rPr>
              <w:t>Number</w:t>
            </w:r>
            <w:r w:rsidR="007B7640" w:rsidRPr="00CD59CC">
              <w:rPr>
                <w:rFonts w:ascii="Arial" w:hAnsi="Arial" w:cs="Arial"/>
                <w:b/>
              </w:rPr>
              <w:t xml:space="preserve"> </w:t>
            </w:r>
            <w:r w:rsidRPr="00CD59CC">
              <w:rPr>
                <w:rFonts w:ascii="Arial" w:hAnsi="Arial" w:cs="Arial"/>
                <w:b/>
              </w:rPr>
              <w:t>of</w:t>
            </w:r>
            <w:r w:rsidR="007B7640" w:rsidRPr="00CD59CC">
              <w:rPr>
                <w:rFonts w:ascii="Arial" w:hAnsi="Arial" w:cs="Arial"/>
                <w:b/>
              </w:rPr>
              <w:t xml:space="preserve"> </w:t>
            </w:r>
            <w:r w:rsidRPr="00CD59CC">
              <w:rPr>
                <w:rFonts w:ascii="Arial" w:hAnsi="Arial" w:cs="Arial"/>
                <w:b/>
              </w:rPr>
              <w:t>registered</w:t>
            </w:r>
            <w:r w:rsidR="007B7640" w:rsidRPr="00CD59CC">
              <w:rPr>
                <w:rFonts w:ascii="Arial" w:hAnsi="Arial" w:cs="Arial"/>
                <w:b/>
              </w:rPr>
              <w:t xml:space="preserve"> </w:t>
            </w:r>
            <w:r w:rsidRPr="00CD59CC">
              <w:rPr>
                <w:rFonts w:ascii="Arial" w:hAnsi="Arial" w:cs="Arial"/>
                <w:b/>
              </w:rPr>
              <w:t>voters</w:t>
            </w:r>
          </w:p>
        </w:tc>
      </w:tr>
      <w:tr w:rsidR="001B2C4C" w:rsidRPr="00CD59CC" w14:paraId="76B7C1CC" w14:textId="77777777" w:rsidTr="00E34CF1">
        <w:tc>
          <w:tcPr>
            <w:tcW w:w="1668" w:type="dxa"/>
          </w:tcPr>
          <w:p w14:paraId="5E480F26" w14:textId="77777777" w:rsidR="001B2C4C" w:rsidRPr="00CD59CC" w:rsidRDefault="001B2C4C" w:rsidP="00CD59CC">
            <w:pPr>
              <w:snapToGrid w:val="0"/>
              <w:rPr>
                <w:rFonts w:ascii="Arial" w:hAnsi="Arial" w:cs="Arial"/>
              </w:rPr>
            </w:pPr>
          </w:p>
        </w:tc>
        <w:tc>
          <w:tcPr>
            <w:tcW w:w="1984" w:type="dxa"/>
          </w:tcPr>
          <w:p w14:paraId="0D79FBA6" w14:textId="77777777" w:rsidR="001B2C4C" w:rsidRPr="00CD59CC" w:rsidRDefault="001B2C4C" w:rsidP="00CD59CC">
            <w:pPr>
              <w:snapToGrid w:val="0"/>
              <w:rPr>
                <w:rFonts w:ascii="Arial" w:hAnsi="Arial" w:cs="Arial"/>
                <w:b/>
              </w:rPr>
            </w:pPr>
            <w:r w:rsidRPr="00CD59CC">
              <w:rPr>
                <w:rFonts w:ascii="Arial" w:hAnsi="Arial" w:cs="Arial"/>
                <w:b/>
              </w:rPr>
              <w:t>2006</w:t>
            </w:r>
          </w:p>
        </w:tc>
        <w:tc>
          <w:tcPr>
            <w:tcW w:w="1559" w:type="dxa"/>
          </w:tcPr>
          <w:p w14:paraId="1BB7D6CA" w14:textId="77777777" w:rsidR="001B2C4C" w:rsidRPr="00CD59CC" w:rsidRDefault="001B2C4C" w:rsidP="00CD59CC">
            <w:pPr>
              <w:snapToGrid w:val="0"/>
              <w:rPr>
                <w:rFonts w:ascii="Arial" w:hAnsi="Arial" w:cs="Arial"/>
              </w:rPr>
            </w:pPr>
            <w:r w:rsidRPr="00CD59CC">
              <w:rPr>
                <w:rFonts w:ascii="Arial" w:hAnsi="Arial" w:cs="Arial"/>
                <w:b/>
              </w:rPr>
              <w:t>2010</w:t>
            </w:r>
          </w:p>
        </w:tc>
      </w:tr>
      <w:tr w:rsidR="001B2C4C" w:rsidRPr="00CD59CC" w14:paraId="281E072F" w14:textId="77777777" w:rsidTr="00E34CF1">
        <w:tc>
          <w:tcPr>
            <w:tcW w:w="1668" w:type="dxa"/>
          </w:tcPr>
          <w:p w14:paraId="029294B7" w14:textId="77777777" w:rsidR="001B2C4C" w:rsidRPr="00CD59CC" w:rsidRDefault="001B2C4C" w:rsidP="00CD59CC">
            <w:pPr>
              <w:snapToGrid w:val="0"/>
              <w:rPr>
                <w:rFonts w:ascii="Arial" w:hAnsi="Arial" w:cs="Arial"/>
              </w:rPr>
            </w:pPr>
            <w:r w:rsidRPr="00CD59CC">
              <w:rPr>
                <w:rFonts w:ascii="Arial" w:hAnsi="Arial" w:cs="Arial"/>
              </w:rPr>
              <w:t>Bulgarian</w:t>
            </w:r>
          </w:p>
        </w:tc>
        <w:tc>
          <w:tcPr>
            <w:tcW w:w="1984" w:type="dxa"/>
          </w:tcPr>
          <w:p w14:paraId="4C5FEFA5" w14:textId="77777777" w:rsidR="001B2C4C" w:rsidRPr="00CD59CC" w:rsidRDefault="001B2C4C" w:rsidP="00CD59CC">
            <w:pPr>
              <w:snapToGrid w:val="0"/>
              <w:rPr>
                <w:rFonts w:ascii="Arial" w:hAnsi="Arial" w:cs="Arial"/>
              </w:rPr>
            </w:pPr>
            <w:r w:rsidRPr="00CD59CC">
              <w:rPr>
                <w:rFonts w:ascii="Arial" w:hAnsi="Arial" w:cs="Arial"/>
              </w:rPr>
              <w:t>2</w:t>
            </w:r>
            <w:r w:rsidR="007B7640" w:rsidRPr="00CD59CC">
              <w:rPr>
                <w:rFonts w:ascii="Arial" w:hAnsi="Arial" w:cs="Arial"/>
              </w:rPr>
              <w:t xml:space="preserve"> </w:t>
            </w:r>
            <w:r w:rsidRPr="00CD59CC">
              <w:rPr>
                <w:rFonts w:ascii="Arial" w:hAnsi="Arial" w:cs="Arial"/>
              </w:rPr>
              <w:t>110</w:t>
            </w:r>
          </w:p>
        </w:tc>
        <w:tc>
          <w:tcPr>
            <w:tcW w:w="1559" w:type="dxa"/>
            <w:vAlign w:val="center"/>
          </w:tcPr>
          <w:p w14:paraId="17796B82" w14:textId="6EE34CFF" w:rsidR="001B2C4C" w:rsidRPr="00CD59CC" w:rsidRDefault="001B2C4C" w:rsidP="00CD59CC">
            <w:pPr>
              <w:rPr>
                <w:rFonts w:ascii="Arial" w:hAnsi="Arial" w:cs="Arial"/>
              </w:rPr>
            </w:pPr>
            <w:r w:rsidRPr="00CD59CC">
              <w:rPr>
                <w:rFonts w:ascii="Arial" w:hAnsi="Arial" w:cs="Arial"/>
              </w:rPr>
              <w:t>2</w:t>
            </w:r>
            <w:r w:rsidR="007B7640" w:rsidRPr="00CD59CC">
              <w:rPr>
                <w:rFonts w:ascii="Arial" w:hAnsi="Arial" w:cs="Arial"/>
              </w:rPr>
              <w:t xml:space="preserve"> </w:t>
            </w:r>
            <w:r w:rsidRPr="00CD59CC">
              <w:rPr>
                <w:rFonts w:ascii="Arial" w:hAnsi="Arial" w:cs="Arial"/>
              </w:rPr>
              <w:t>088</w:t>
            </w:r>
          </w:p>
        </w:tc>
      </w:tr>
      <w:tr w:rsidR="001B2C4C" w:rsidRPr="00CD59CC" w14:paraId="2837B98D" w14:textId="77777777" w:rsidTr="00E34CF1">
        <w:tc>
          <w:tcPr>
            <w:tcW w:w="1668" w:type="dxa"/>
          </w:tcPr>
          <w:p w14:paraId="23066F51" w14:textId="77777777" w:rsidR="001B2C4C" w:rsidRPr="00CD59CC" w:rsidRDefault="001B2C4C" w:rsidP="00CD59CC">
            <w:pPr>
              <w:snapToGrid w:val="0"/>
              <w:rPr>
                <w:rFonts w:ascii="Arial" w:hAnsi="Arial" w:cs="Arial"/>
              </w:rPr>
            </w:pPr>
            <w:r w:rsidRPr="00CD59CC">
              <w:rPr>
                <w:rFonts w:ascii="Arial" w:hAnsi="Arial" w:cs="Arial"/>
              </w:rPr>
              <w:t>Roma</w:t>
            </w:r>
          </w:p>
        </w:tc>
        <w:tc>
          <w:tcPr>
            <w:tcW w:w="1984" w:type="dxa"/>
          </w:tcPr>
          <w:p w14:paraId="48E936B7" w14:textId="77777777" w:rsidR="001B2C4C" w:rsidRPr="00CD59CC" w:rsidRDefault="001B2C4C" w:rsidP="00CD59CC">
            <w:pPr>
              <w:snapToGrid w:val="0"/>
              <w:rPr>
                <w:rFonts w:ascii="Arial" w:hAnsi="Arial" w:cs="Arial"/>
              </w:rPr>
            </w:pPr>
            <w:r w:rsidRPr="00CD59CC">
              <w:rPr>
                <w:rFonts w:ascii="Arial" w:hAnsi="Arial" w:cs="Arial"/>
              </w:rPr>
              <w:t>106</w:t>
            </w:r>
            <w:r w:rsidR="007B7640" w:rsidRPr="00CD59CC">
              <w:rPr>
                <w:rFonts w:ascii="Arial" w:hAnsi="Arial" w:cs="Arial"/>
              </w:rPr>
              <w:t xml:space="preserve"> </w:t>
            </w:r>
            <w:r w:rsidRPr="00CD59CC">
              <w:rPr>
                <w:rFonts w:ascii="Arial" w:hAnsi="Arial" w:cs="Arial"/>
              </w:rPr>
              <w:t>333</w:t>
            </w:r>
          </w:p>
        </w:tc>
        <w:tc>
          <w:tcPr>
            <w:tcW w:w="1559" w:type="dxa"/>
            <w:vAlign w:val="center"/>
          </w:tcPr>
          <w:p w14:paraId="35E4DE7A" w14:textId="210DD337" w:rsidR="001B2C4C" w:rsidRPr="00CD59CC" w:rsidRDefault="001B2C4C" w:rsidP="00CD59CC">
            <w:pPr>
              <w:rPr>
                <w:rFonts w:ascii="Arial" w:hAnsi="Arial" w:cs="Arial"/>
              </w:rPr>
            </w:pPr>
            <w:r w:rsidRPr="00CD59CC">
              <w:rPr>
                <w:rFonts w:ascii="Arial" w:hAnsi="Arial" w:cs="Arial"/>
              </w:rPr>
              <w:t>133</w:t>
            </w:r>
            <w:r w:rsidR="007B7640" w:rsidRPr="00CD59CC">
              <w:rPr>
                <w:rFonts w:ascii="Arial" w:hAnsi="Arial" w:cs="Arial"/>
              </w:rPr>
              <w:t xml:space="preserve"> </w:t>
            </w:r>
            <w:r w:rsidRPr="00CD59CC">
              <w:rPr>
                <w:rFonts w:ascii="Arial" w:hAnsi="Arial" w:cs="Arial"/>
              </w:rPr>
              <w:t>514</w:t>
            </w:r>
          </w:p>
        </w:tc>
      </w:tr>
      <w:tr w:rsidR="001B2C4C" w:rsidRPr="00CD59CC" w14:paraId="4C88E9F5" w14:textId="77777777" w:rsidTr="00E34CF1">
        <w:tc>
          <w:tcPr>
            <w:tcW w:w="1668" w:type="dxa"/>
          </w:tcPr>
          <w:p w14:paraId="7CD617C8" w14:textId="77777777" w:rsidR="001B2C4C" w:rsidRPr="00CD59CC" w:rsidRDefault="001B2C4C" w:rsidP="00CD59CC">
            <w:pPr>
              <w:snapToGrid w:val="0"/>
              <w:rPr>
                <w:rFonts w:ascii="Arial" w:hAnsi="Arial" w:cs="Arial"/>
              </w:rPr>
            </w:pPr>
            <w:r w:rsidRPr="00CD59CC">
              <w:rPr>
                <w:rFonts w:ascii="Arial" w:hAnsi="Arial" w:cs="Arial"/>
              </w:rPr>
              <w:t>Greek</w:t>
            </w:r>
          </w:p>
        </w:tc>
        <w:tc>
          <w:tcPr>
            <w:tcW w:w="1984" w:type="dxa"/>
          </w:tcPr>
          <w:p w14:paraId="3C5B5163" w14:textId="77777777" w:rsidR="001B2C4C" w:rsidRPr="00CD59CC" w:rsidRDefault="001B2C4C" w:rsidP="00CD59CC">
            <w:pPr>
              <w:snapToGrid w:val="0"/>
              <w:rPr>
                <w:rFonts w:ascii="Arial" w:hAnsi="Arial" w:cs="Arial"/>
              </w:rPr>
            </w:pPr>
            <w:r w:rsidRPr="00CD59CC">
              <w:rPr>
                <w:rFonts w:ascii="Arial" w:hAnsi="Arial" w:cs="Arial"/>
              </w:rPr>
              <w:t>2</w:t>
            </w:r>
            <w:r w:rsidR="007B7640" w:rsidRPr="00CD59CC">
              <w:rPr>
                <w:rFonts w:ascii="Arial" w:hAnsi="Arial" w:cs="Arial"/>
              </w:rPr>
              <w:t xml:space="preserve"> </w:t>
            </w:r>
            <w:r w:rsidRPr="00CD59CC">
              <w:rPr>
                <w:rFonts w:ascii="Arial" w:hAnsi="Arial" w:cs="Arial"/>
              </w:rPr>
              <w:t>451</w:t>
            </w:r>
          </w:p>
        </w:tc>
        <w:tc>
          <w:tcPr>
            <w:tcW w:w="1559" w:type="dxa"/>
            <w:vAlign w:val="center"/>
          </w:tcPr>
          <w:p w14:paraId="164E1504" w14:textId="2A6CB322" w:rsidR="001B2C4C" w:rsidRPr="00CD59CC" w:rsidRDefault="001B2C4C" w:rsidP="00CD59CC">
            <w:pPr>
              <w:rPr>
                <w:rFonts w:ascii="Arial" w:hAnsi="Arial" w:cs="Arial"/>
              </w:rPr>
            </w:pPr>
            <w:r w:rsidRPr="00CD59CC">
              <w:rPr>
                <w:rFonts w:ascii="Arial" w:hAnsi="Arial" w:cs="Arial"/>
              </w:rPr>
              <w:t>2</w:t>
            </w:r>
            <w:r w:rsidR="007B7640" w:rsidRPr="00CD59CC">
              <w:rPr>
                <w:rFonts w:ascii="Arial" w:hAnsi="Arial" w:cs="Arial"/>
              </w:rPr>
              <w:t xml:space="preserve"> </w:t>
            </w:r>
            <w:r w:rsidRPr="00CD59CC">
              <w:rPr>
                <w:rFonts w:ascii="Arial" w:hAnsi="Arial" w:cs="Arial"/>
              </w:rPr>
              <w:t>267</w:t>
            </w:r>
          </w:p>
        </w:tc>
      </w:tr>
      <w:tr w:rsidR="001B2C4C" w:rsidRPr="00CD59CC" w14:paraId="594CB972" w14:textId="77777777" w:rsidTr="00E34CF1">
        <w:tc>
          <w:tcPr>
            <w:tcW w:w="1668" w:type="dxa"/>
          </w:tcPr>
          <w:p w14:paraId="3B843BFD" w14:textId="77777777" w:rsidR="001B2C4C" w:rsidRPr="00CD59CC" w:rsidRDefault="001B2C4C" w:rsidP="00CD59CC">
            <w:pPr>
              <w:snapToGrid w:val="0"/>
              <w:rPr>
                <w:rFonts w:ascii="Arial" w:hAnsi="Arial" w:cs="Arial"/>
              </w:rPr>
            </w:pPr>
            <w:r w:rsidRPr="00CD59CC">
              <w:rPr>
                <w:rFonts w:ascii="Arial" w:hAnsi="Arial" w:cs="Arial"/>
              </w:rPr>
              <w:t>Croatian</w:t>
            </w:r>
          </w:p>
        </w:tc>
        <w:tc>
          <w:tcPr>
            <w:tcW w:w="1984" w:type="dxa"/>
          </w:tcPr>
          <w:p w14:paraId="5AFE2689" w14:textId="77777777" w:rsidR="001B2C4C" w:rsidRPr="00CD59CC" w:rsidRDefault="001B2C4C" w:rsidP="00CD59CC">
            <w:pPr>
              <w:snapToGrid w:val="0"/>
              <w:rPr>
                <w:rFonts w:ascii="Arial" w:hAnsi="Arial" w:cs="Arial"/>
              </w:rPr>
            </w:pPr>
            <w:r w:rsidRPr="00CD59CC">
              <w:rPr>
                <w:rFonts w:ascii="Arial" w:hAnsi="Arial" w:cs="Arial"/>
              </w:rPr>
              <w:t>11</w:t>
            </w:r>
            <w:r w:rsidR="007B7640" w:rsidRPr="00CD59CC">
              <w:rPr>
                <w:rFonts w:ascii="Arial" w:hAnsi="Arial" w:cs="Arial"/>
              </w:rPr>
              <w:t xml:space="preserve"> </w:t>
            </w:r>
            <w:r w:rsidRPr="00CD59CC">
              <w:rPr>
                <w:rFonts w:ascii="Arial" w:hAnsi="Arial" w:cs="Arial"/>
              </w:rPr>
              <w:t>090</w:t>
            </w:r>
          </w:p>
        </w:tc>
        <w:tc>
          <w:tcPr>
            <w:tcW w:w="1559" w:type="dxa"/>
            <w:vAlign w:val="center"/>
          </w:tcPr>
          <w:p w14:paraId="63193680" w14:textId="2720E423" w:rsidR="001B2C4C" w:rsidRPr="00CD59CC" w:rsidRDefault="001B2C4C" w:rsidP="00CD59CC">
            <w:pPr>
              <w:rPr>
                <w:rFonts w:ascii="Arial" w:hAnsi="Arial" w:cs="Arial"/>
              </w:rPr>
            </w:pPr>
            <w:r w:rsidRPr="00CD59CC">
              <w:rPr>
                <w:rFonts w:ascii="Arial" w:hAnsi="Arial" w:cs="Arial"/>
              </w:rPr>
              <w:t>11</w:t>
            </w:r>
            <w:r w:rsidR="007B7640" w:rsidRPr="00CD59CC">
              <w:rPr>
                <w:rFonts w:ascii="Arial" w:hAnsi="Arial" w:cs="Arial"/>
              </w:rPr>
              <w:t xml:space="preserve"> </w:t>
            </w:r>
            <w:r w:rsidRPr="00CD59CC">
              <w:rPr>
                <w:rFonts w:ascii="Arial" w:hAnsi="Arial" w:cs="Arial"/>
              </w:rPr>
              <w:t>571</w:t>
            </w:r>
          </w:p>
        </w:tc>
      </w:tr>
      <w:tr w:rsidR="001B2C4C" w:rsidRPr="00CD59CC" w14:paraId="176BA3D2" w14:textId="77777777" w:rsidTr="00E34CF1">
        <w:tc>
          <w:tcPr>
            <w:tcW w:w="1668" w:type="dxa"/>
          </w:tcPr>
          <w:p w14:paraId="6F73284C" w14:textId="77777777" w:rsidR="001B2C4C" w:rsidRPr="00CD59CC" w:rsidRDefault="001B2C4C" w:rsidP="00CD59CC">
            <w:pPr>
              <w:snapToGrid w:val="0"/>
              <w:rPr>
                <w:rFonts w:ascii="Arial" w:hAnsi="Arial" w:cs="Arial"/>
              </w:rPr>
            </w:pPr>
            <w:r w:rsidRPr="00CD59CC">
              <w:rPr>
                <w:rFonts w:ascii="Arial" w:hAnsi="Arial" w:cs="Arial"/>
              </w:rPr>
              <w:t>Polish</w:t>
            </w:r>
          </w:p>
        </w:tc>
        <w:tc>
          <w:tcPr>
            <w:tcW w:w="1984" w:type="dxa"/>
          </w:tcPr>
          <w:p w14:paraId="2FDDDC4E" w14:textId="77777777" w:rsidR="001B2C4C" w:rsidRPr="00CD59CC" w:rsidRDefault="001B2C4C" w:rsidP="00CD59CC">
            <w:pPr>
              <w:snapToGrid w:val="0"/>
              <w:rPr>
                <w:rFonts w:ascii="Arial" w:hAnsi="Arial" w:cs="Arial"/>
              </w:rPr>
            </w:pPr>
            <w:r w:rsidRPr="00CD59CC">
              <w:rPr>
                <w:rFonts w:ascii="Arial" w:hAnsi="Arial" w:cs="Arial"/>
              </w:rPr>
              <w:t>3</w:t>
            </w:r>
            <w:r w:rsidR="007B7640" w:rsidRPr="00CD59CC">
              <w:rPr>
                <w:rFonts w:ascii="Arial" w:hAnsi="Arial" w:cs="Arial"/>
              </w:rPr>
              <w:t xml:space="preserve"> </w:t>
            </w:r>
            <w:r w:rsidRPr="00CD59CC">
              <w:rPr>
                <w:rFonts w:ascii="Arial" w:hAnsi="Arial" w:cs="Arial"/>
              </w:rPr>
              <w:t>061</w:t>
            </w:r>
          </w:p>
        </w:tc>
        <w:tc>
          <w:tcPr>
            <w:tcW w:w="1559" w:type="dxa"/>
            <w:vAlign w:val="center"/>
          </w:tcPr>
          <w:p w14:paraId="6D595701" w14:textId="33DCE2D0" w:rsidR="001B2C4C" w:rsidRPr="00CD59CC" w:rsidRDefault="001B2C4C" w:rsidP="00CD59CC">
            <w:pPr>
              <w:rPr>
                <w:rFonts w:ascii="Arial" w:hAnsi="Arial" w:cs="Arial"/>
              </w:rPr>
            </w:pPr>
            <w:r w:rsidRPr="00CD59CC">
              <w:rPr>
                <w:rFonts w:ascii="Arial" w:hAnsi="Arial" w:cs="Arial"/>
              </w:rPr>
              <w:t>3</w:t>
            </w:r>
            <w:r w:rsidR="007B7640" w:rsidRPr="00CD59CC">
              <w:rPr>
                <w:rFonts w:ascii="Arial" w:hAnsi="Arial" w:cs="Arial"/>
              </w:rPr>
              <w:t xml:space="preserve"> </w:t>
            </w:r>
            <w:r w:rsidRPr="00CD59CC">
              <w:rPr>
                <w:rFonts w:ascii="Arial" w:hAnsi="Arial" w:cs="Arial"/>
              </w:rPr>
              <w:t>052</w:t>
            </w:r>
          </w:p>
        </w:tc>
      </w:tr>
      <w:tr w:rsidR="001B2C4C" w:rsidRPr="00CD59CC" w14:paraId="6BF94FFD" w14:textId="77777777" w:rsidTr="00E34CF1">
        <w:tc>
          <w:tcPr>
            <w:tcW w:w="1668" w:type="dxa"/>
          </w:tcPr>
          <w:p w14:paraId="17787CD8" w14:textId="77777777" w:rsidR="001B2C4C" w:rsidRPr="00CD59CC" w:rsidRDefault="001B2C4C" w:rsidP="00CD59CC">
            <w:pPr>
              <w:snapToGrid w:val="0"/>
              <w:rPr>
                <w:rFonts w:ascii="Arial" w:hAnsi="Arial" w:cs="Arial"/>
              </w:rPr>
            </w:pPr>
            <w:r w:rsidRPr="00CD59CC">
              <w:rPr>
                <w:rFonts w:ascii="Arial" w:hAnsi="Arial" w:cs="Arial"/>
              </w:rPr>
              <w:t>German</w:t>
            </w:r>
          </w:p>
        </w:tc>
        <w:tc>
          <w:tcPr>
            <w:tcW w:w="1984" w:type="dxa"/>
          </w:tcPr>
          <w:p w14:paraId="045A1DE0" w14:textId="77777777" w:rsidR="001B2C4C" w:rsidRPr="00CD59CC" w:rsidRDefault="001B2C4C" w:rsidP="00CD59CC">
            <w:pPr>
              <w:snapToGrid w:val="0"/>
              <w:rPr>
                <w:rFonts w:ascii="Arial" w:hAnsi="Arial" w:cs="Arial"/>
              </w:rPr>
            </w:pPr>
            <w:r w:rsidRPr="00CD59CC">
              <w:rPr>
                <w:rFonts w:ascii="Arial" w:hAnsi="Arial" w:cs="Arial"/>
              </w:rPr>
              <w:t>45</w:t>
            </w:r>
            <w:r w:rsidR="007B7640" w:rsidRPr="00CD59CC">
              <w:rPr>
                <w:rFonts w:ascii="Arial" w:hAnsi="Arial" w:cs="Arial"/>
              </w:rPr>
              <w:t xml:space="preserve"> </w:t>
            </w:r>
            <w:r w:rsidRPr="00CD59CC">
              <w:rPr>
                <w:rFonts w:ascii="Arial" w:hAnsi="Arial" w:cs="Arial"/>
              </w:rPr>
              <w:t>983</w:t>
            </w:r>
          </w:p>
        </w:tc>
        <w:tc>
          <w:tcPr>
            <w:tcW w:w="1559" w:type="dxa"/>
            <w:vAlign w:val="center"/>
          </w:tcPr>
          <w:p w14:paraId="1038BEB8" w14:textId="3BF62612" w:rsidR="001B2C4C" w:rsidRPr="00CD59CC" w:rsidRDefault="001B2C4C" w:rsidP="00CD59CC">
            <w:pPr>
              <w:rPr>
                <w:rFonts w:ascii="Arial" w:hAnsi="Arial" w:cs="Arial"/>
              </w:rPr>
            </w:pPr>
            <w:r w:rsidRPr="00CD59CC">
              <w:rPr>
                <w:rFonts w:ascii="Arial" w:hAnsi="Arial" w:cs="Arial"/>
              </w:rPr>
              <w:t>46</w:t>
            </w:r>
            <w:r w:rsidR="007B7640" w:rsidRPr="00CD59CC">
              <w:rPr>
                <w:rFonts w:ascii="Arial" w:hAnsi="Arial" w:cs="Arial"/>
              </w:rPr>
              <w:t xml:space="preserve"> </w:t>
            </w:r>
            <w:r w:rsidRPr="00CD59CC">
              <w:rPr>
                <w:rFonts w:ascii="Arial" w:hAnsi="Arial" w:cs="Arial"/>
              </w:rPr>
              <w:t>627</w:t>
            </w:r>
          </w:p>
        </w:tc>
      </w:tr>
      <w:tr w:rsidR="001B2C4C" w:rsidRPr="00CD59CC" w14:paraId="2AE03E9E" w14:textId="77777777" w:rsidTr="00E34CF1">
        <w:tc>
          <w:tcPr>
            <w:tcW w:w="1668" w:type="dxa"/>
          </w:tcPr>
          <w:p w14:paraId="567E911F" w14:textId="77777777" w:rsidR="001B2C4C" w:rsidRPr="00CD59CC" w:rsidRDefault="001B2C4C" w:rsidP="00CD59CC">
            <w:pPr>
              <w:snapToGrid w:val="0"/>
              <w:rPr>
                <w:rFonts w:ascii="Arial" w:hAnsi="Arial" w:cs="Arial"/>
              </w:rPr>
            </w:pPr>
            <w:r w:rsidRPr="00CD59CC">
              <w:rPr>
                <w:rFonts w:ascii="Arial" w:hAnsi="Arial" w:cs="Arial"/>
              </w:rPr>
              <w:t>Armenian</w:t>
            </w:r>
          </w:p>
        </w:tc>
        <w:tc>
          <w:tcPr>
            <w:tcW w:w="1984" w:type="dxa"/>
          </w:tcPr>
          <w:p w14:paraId="509247F9" w14:textId="77777777" w:rsidR="001B2C4C" w:rsidRPr="00CD59CC" w:rsidRDefault="001B2C4C" w:rsidP="00CD59CC">
            <w:pPr>
              <w:snapToGrid w:val="0"/>
              <w:rPr>
                <w:rFonts w:ascii="Arial" w:hAnsi="Arial" w:cs="Arial"/>
              </w:rPr>
            </w:pPr>
            <w:r w:rsidRPr="00CD59CC">
              <w:rPr>
                <w:rFonts w:ascii="Arial" w:hAnsi="Arial" w:cs="Arial"/>
              </w:rPr>
              <w:t>2</w:t>
            </w:r>
            <w:r w:rsidR="007B7640" w:rsidRPr="00CD59CC">
              <w:rPr>
                <w:rFonts w:ascii="Arial" w:hAnsi="Arial" w:cs="Arial"/>
              </w:rPr>
              <w:t xml:space="preserve"> </w:t>
            </w:r>
            <w:r w:rsidRPr="00CD59CC">
              <w:rPr>
                <w:rFonts w:ascii="Arial" w:hAnsi="Arial" w:cs="Arial"/>
              </w:rPr>
              <w:t>361</w:t>
            </w:r>
          </w:p>
        </w:tc>
        <w:tc>
          <w:tcPr>
            <w:tcW w:w="1559" w:type="dxa"/>
            <w:vAlign w:val="center"/>
          </w:tcPr>
          <w:p w14:paraId="16E00303" w14:textId="6D1F5894" w:rsidR="001B2C4C" w:rsidRPr="00CD59CC" w:rsidRDefault="001B2C4C" w:rsidP="00CD59CC">
            <w:pPr>
              <w:rPr>
                <w:rFonts w:ascii="Arial" w:hAnsi="Arial" w:cs="Arial"/>
              </w:rPr>
            </w:pPr>
            <w:r w:rsidRPr="00CD59CC">
              <w:rPr>
                <w:rFonts w:ascii="Arial" w:hAnsi="Arial" w:cs="Arial"/>
              </w:rPr>
              <w:t>2</w:t>
            </w:r>
            <w:r w:rsidR="007B7640" w:rsidRPr="00CD59CC">
              <w:rPr>
                <w:rFonts w:ascii="Arial" w:hAnsi="Arial" w:cs="Arial"/>
              </w:rPr>
              <w:t xml:space="preserve"> </w:t>
            </w:r>
            <w:r w:rsidRPr="00CD59CC">
              <w:rPr>
                <w:rFonts w:ascii="Arial" w:hAnsi="Arial" w:cs="Arial"/>
              </w:rPr>
              <w:t>357</w:t>
            </w:r>
          </w:p>
        </w:tc>
      </w:tr>
      <w:tr w:rsidR="001B2C4C" w:rsidRPr="00CD59CC" w14:paraId="499A901D" w14:textId="77777777" w:rsidTr="00E34CF1">
        <w:tc>
          <w:tcPr>
            <w:tcW w:w="1668" w:type="dxa"/>
          </w:tcPr>
          <w:p w14:paraId="77CEF389" w14:textId="77777777" w:rsidR="001B2C4C" w:rsidRPr="00CD59CC" w:rsidRDefault="001B2C4C" w:rsidP="00CD59CC">
            <w:pPr>
              <w:snapToGrid w:val="0"/>
              <w:rPr>
                <w:rFonts w:ascii="Arial" w:hAnsi="Arial" w:cs="Arial"/>
              </w:rPr>
            </w:pPr>
            <w:r w:rsidRPr="00CD59CC">
              <w:rPr>
                <w:rFonts w:ascii="Arial" w:hAnsi="Arial" w:cs="Arial"/>
              </w:rPr>
              <w:t>Romanian</w:t>
            </w:r>
          </w:p>
        </w:tc>
        <w:tc>
          <w:tcPr>
            <w:tcW w:w="1984" w:type="dxa"/>
          </w:tcPr>
          <w:p w14:paraId="5961BB31" w14:textId="77777777" w:rsidR="001B2C4C" w:rsidRPr="00CD59CC" w:rsidRDefault="001B2C4C" w:rsidP="00CD59CC">
            <w:pPr>
              <w:snapToGrid w:val="0"/>
              <w:rPr>
                <w:rFonts w:ascii="Arial" w:hAnsi="Arial" w:cs="Arial"/>
              </w:rPr>
            </w:pPr>
            <w:r w:rsidRPr="00CD59CC">
              <w:rPr>
                <w:rFonts w:ascii="Arial" w:hAnsi="Arial" w:cs="Arial"/>
              </w:rPr>
              <w:t>4</w:t>
            </w:r>
            <w:r w:rsidR="007B7640" w:rsidRPr="00CD59CC">
              <w:rPr>
                <w:rFonts w:ascii="Arial" w:hAnsi="Arial" w:cs="Arial"/>
              </w:rPr>
              <w:t xml:space="preserve"> </w:t>
            </w:r>
            <w:r w:rsidRPr="00CD59CC">
              <w:rPr>
                <w:rFonts w:ascii="Arial" w:hAnsi="Arial" w:cs="Arial"/>
              </w:rPr>
              <w:t>404</w:t>
            </w:r>
          </w:p>
        </w:tc>
        <w:tc>
          <w:tcPr>
            <w:tcW w:w="1559" w:type="dxa"/>
            <w:vAlign w:val="center"/>
          </w:tcPr>
          <w:p w14:paraId="15571A59" w14:textId="66961003" w:rsidR="001B2C4C" w:rsidRPr="00CD59CC" w:rsidRDefault="001B2C4C" w:rsidP="00CD59CC">
            <w:pPr>
              <w:rPr>
                <w:rFonts w:ascii="Arial" w:hAnsi="Arial" w:cs="Arial"/>
              </w:rPr>
            </w:pPr>
            <w:r w:rsidRPr="00CD59CC">
              <w:rPr>
                <w:rFonts w:ascii="Arial" w:hAnsi="Arial" w:cs="Arial"/>
              </w:rPr>
              <w:t>5</w:t>
            </w:r>
            <w:r w:rsidR="007B7640" w:rsidRPr="00CD59CC">
              <w:rPr>
                <w:rFonts w:ascii="Arial" w:hAnsi="Arial" w:cs="Arial"/>
              </w:rPr>
              <w:t xml:space="preserve"> </w:t>
            </w:r>
            <w:r w:rsidRPr="00CD59CC">
              <w:rPr>
                <w:rFonts w:ascii="Arial" w:hAnsi="Arial" w:cs="Arial"/>
              </w:rPr>
              <w:t>277</w:t>
            </w:r>
          </w:p>
        </w:tc>
      </w:tr>
      <w:tr w:rsidR="001B2C4C" w:rsidRPr="00CD59CC" w14:paraId="2CE7A8B1" w14:textId="77777777" w:rsidTr="00E34CF1">
        <w:tc>
          <w:tcPr>
            <w:tcW w:w="1668" w:type="dxa"/>
          </w:tcPr>
          <w:p w14:paraId="499782D3" w14:textId="77777777" w:rsidR="001B2C4C" w:rsidRPr="00CD59CC" w:rsidRDefault="001B2C4C" w:rsidP="00CD59CC">
            <w:pPr>
              <w:snapToGrid w:val="0"/>
              <w:rPr>
                <w:rFonts w:ascii="Arial" w:hAnsi="Arial" w:cs="Arial"/>
              </w:rPr>
            </w:pPr>
            <w:r w:rsidRPr="00CD59CC">
              <w:rPr>
                <w:rFonts w:ascii="Arial" w:hAnsi="Arial" w:cs="Arial"/>
              </w:rPr>
              <w:t>Ruthenian</w:t>
            </w:r>
          </w:p>
        </w:tc>
        <w:tc>
          <w:tcPr>
            <w:tcW w:w="1984" w:type="dxa"/>
          </w:tcPr>
          <w:p w14:paraId="5482ADC5" w14:textId="77777777" w:rsidR="001B2C4C" w:rsidRPr="00CD59CC" w:rsidRDefault="001B2C4C" w:rsidP="00CD59CC">
            <w:pPr>
              <w:snapToGrid w:val="0"/>
              <w:rPr>
                <w:rFonts w:ascii="Arial" w:hAnsi="Arial" w:cs="Arial"/>
              </w:rPr>
            </w:pPr>
            <w:r w:rsidRPr="00CD59CC">
              <w:rPr>
                <w:rFonts w:ascii="Arial" w:hAnsi="Arial" w:cs="Arial"/>
              </w:rPr>
              <w:t>2</w:t>
            </w:r>
            <w:r w:rsidR="007B7640" w:rsidRPr="00CD59CC">
              <w:rPr>
                <w:rFonts w:ascii="Arial" w:hAnsi="Arial" w:cs="Arial"/>
              </w:rPr>
              <w:t xml:space="preserve"> </w:t>
            </w:r>
            <w:r w:rsidRPr="00CD59CC">
              <w:rPr>
                <w:rFonts w:ascii="Arial" w:hAnsi="Arial" w:cs="Arial"/>
              </w:rPr>
              <w:t>729</w:t>
            </w:r>
          </w:p>
        </w:tc>
        <w:tc>
          <w:tcPr>
            <w:tcW w:w="1559" w:type="dxa"/>
            <w:vAlign w:val="center"/>
          </w:tcPr>
          <w:p w14:paraId="34514598" w14:textId="25F132CF" w:rsidR="001B2C4C" w:rsidRPr="00CD59CC" w:rsidRDefault="001B2C4C" w:rsidP="00CD59CC">
            <w:pPr>
              <w:rPr>
                <w:rFonts w:ascii="Arial" w:hAnsi="Arial" w:cs="Arial"/>
              </w:rPr>
            </w:pPr>
            <w:r w:rsidRPr="00CD59CC">
              <w:rPr>
                <w:rFonts w:ascii="Arial" w:hAnsi="Arial" w:cs="Arial"/>
              </w:rPr>
              <w:t>4</w:t>
            </w:r>
            <w:r w:rsidR="007B7640" w:rsidRPr="00CD59CC">
              <w:rPr>
                <w:rFonts w:ascii="Arial" w:hAnsi="Arial" w:cs="Arial"/>
              </w:rPr>
              <w:t xml:space="preserve"> </w:t>
            </w:r>
            <w:r w:rsidRPr="00CD59CC">
              <w:rPr>
                <w:rFonts w:ascii="Arial" w:hAnsi="Arial" w:cs="Arial"/>
              </w:rPr>
              <w:t>228</w:t>
            </w:r>
          </w:p>
        </w:tc>
      </w:tr>
      <w:tr w:rsidR="001B2C4C" w:rsidRPr="00CD59CC" w14:paraId="76F78CE4" w14:textId="77777777" w:rsidTr="00E34CF1">
        <w:tc>
          <w:tcPr>
            <w:tcW w:w="1668" w:type="dxa"/>
          </w:tcPr>
          <w:p w14:paraId="4E3F6B49" w14:textId="77777777" w:rsidR="001B2C4C" w:rsidRPr="00CD59CC" w:rsidRDefault="001B2C4C" w:rsidP="00CD59CC">
            <w:pPr>
              <w:snapToGrid w:val="0"/>
              <w:rPr>
                <w:rFonts w:ascii="Arial" w:hAnsi="Arial" w:cs="Arial"/>
              </w:rPr>
            </w:pPr>
            <w:r w:rsidRPr="00CD59CC">
              <w:rPr>
                <w:rFonts w:ascii="Arial" w:hAnsi="Arial" w:cs="Arial"/>
              </w:rPr>
              <w:t>Serbian</w:t>
            </w:r>
          </w:p>
        </w:tc>
        <w:tc>
          <w:tcPr>
            <w:tcW w:w="1984" w:type="dxa"/>
          </w:tcPr>
          <w:p w14:paraId="7203B951" w14:textId="77777777" w:rsidR="001B2C4C" w:rsidRPr="00CD59CC" w:rsidRDefault="001B2C4C" w:rsidP="00CD59CC">
            <w:pPr>
              <w:snapToGrid w:val="0"/>
              <w:rPr>
                <w:rFonts w:ascii="Arial" w:hAnsi="Arial" w:cs="Arial"/>
              </w:rPr>
            </w:pPr>
            <w:r w:rsidRPr="00CD59CC">
              <w:rPr>
                <w:rFonts w:ascii="Arial" w:hAnsi="Arial" w:cs="Arial"/>
              </w:rPr>
              <w:t>2</w:t>
            </w:r>
            <w:r w:rsidR="007B7640" w:rsidRPr="00CD59CC">
              <w:rPr>
                <w:rFonts w:ascii="Arial" w:hAnsi="Arial" w:cs="Arial"/>
              </w:rPr>
              <w:t xml:space="preserve"> </w:t>
            </w:r>
            <w:r w:rsidRPr="00CD59CC">
              <w:rPr>
                <w:rFonts w:ascii="Arial" w:hAnsi="Arial" w:cs="Arial"/>
              </w:rPr>
              <w:t>143</w:t>
            </w:r>
          </w:p>
        </w:tc>
        <w:tc>
          <w:tcPr>
            <w:tcW w:w="1559" w:type="dxa"/>
            <w:vAlign w:val="center"/>
          </w:tcPr>
          <w:p w14:paraId="13E9448D" w14:textId="3137025F" w:rsidR="001B2C4C" w:rsidRPr="00CD59CC" w:rsidRDefault="001B2C4C" w:rsidP="00CD59CC">
            <w:pPr>
              <w:rPr>
                <w:rFonts w:ascii="Arial" w:hAnsi="Arial" w:cs="Arial"/>
              </w:rPr>
            </w:pPr>
            <w:r w:rsidRPr="00CD59CC">
              <w:rPr>
                <w:rFonts w:ascii="Arial" w:hAnsi="Arial" w:cs="Arial"/>
              </w:rPr>
              <w:t>2</w:t>
            </w:r>
            <w:r w:rsidR="007B7640" w:rsidRPr="00CD59CC">
              <w:rPr>
                <w:rFonts w:ascii="Arial" w:hAnsi="Arial" w:cs="Arial"/>
              </w:rPr>
              <w:t xml:space="preserve"> </w:t>
            </w:r>
            <w:r w:rsidRPr="00CD59CC">
              <w:rPr>
                <w:rFonts w:ascii="Arial" w:hAnsi="Arial" w:cs="Arial"/>
              </w:rPr>
              <w:t>432</w:t>
            </w:r>
          </w:p>
        </w:tc>
      </w:tr>
      <w:tr w:rsidR="001B2C4C" w:rsidRPr="00CD59CC" w14:paraId="6006DE47" w14:textId="77777777" w:rsidTr="00E34CF1">
        <w:tc>
          <w:tcPr>
            <w:tcW w:w="1668" w:type="dxa"/>
          </w:tcPr>
          <w:p w14:paraId="11E50576" w14:textId="77777777" w:rsidR="001B2C4C" w:rsidRPr="00CD59CC" w:rsidRDefault="001B2C4C" w:rsidP="00CD59CC">
            <w:pPr>
              <w:snapToGrid w:val="0"/>
              <w:rPr>
                <w:rFonts w:ascii="Arial" w:hAnsi="Arial" w:cs="Arial"/>
              </w:rPr>
            </w:pPr>
            <w:r w:rsidRPr="00CD59CC">
              <w:rPr>
                <w:rFonts w:ascii="Arial" w:hAnsi="Arial" w:cs="Arial"/>
              </w:rPr>
              <w:t>Slovakian</w:t>
            </w:r>
          </w:p>
        </w:tc>
        <w:tc>
          <w:tcPr>
            <w:tcW w:w="1984" w:type="dxa"/>
          </w:tcPr>
          <w:p w14:paraId="1A0F3272" w14:textId="77777777" w:rsidR="001B2C4C" w:rsidRPr="00CD59CC" w:rsidRDefault="001B2C4C" w:rsidP="00CD59CC">
            <w:pPr>
              <w:snapToGrid w:val="0"/>
              <w:rPr>
                <w:rFonts w:ascii="Arial" w:hAnsi="Arial" w:cs="Arial"/>
              </w:rPr>
            </w:pPr>
            <w:r w:rsidRPr="00CD59CC">
              <w:rPr>
                <w:rFonts w:ascii="Arial" w:hAnsi="Arial" w:cs="Arial"/>
              </w:rPr>
              <w:t>15</w:t>
            </w:r>
            <w:r w:rsidR="007B7640" w:rsidRPr="00CD59CC">
              <w:rPr>
                <w:rFonts w:ascii="Arial" w:hAnsi="Arial" w:cs="Arial"/>
              </w:rPr>
              <w:t xml:space="preserve"> </w:t>
            </w:r>
            <w:r w:rsidRPr="00CD59CC">
              <w:rPr>
                <w:rFonts w:ascii="Arial" w:hAnsi="Arial" w:cs="Arial"/>
              </w:rPr>
              <w:t>049</w:t>
            </w:r>
          </w:p>
        </w:tc>
        <w:tc>
          <w:tcPr>
            <w:tcW w:w="1559" w:type="dxa"/>
            <w:vAlign w:val="center"/>
          </w:tcPr>
          <w:p w14:paraId="540F0A31" w14:textId="2662C1D1" w:rsidR="001B2C4C" w:rsidRPr="00CD59CC" w:rsidRDefault="001B2C4C" w:rsidP="00CD59CC">
            <w:pPr>
              <w:rPr>
                <w:rFonts w:ascii="Arial" w:hAnsi="Arial" w:cs="Arial"/>
              </w:rPr>
            </w:pPr>
            <w:r w:rsidRPr="00CD59CC">
              <w:rPr>
                <w:rFonts w:ascii="Arial" w:hAnsi="Arial" w:cs="Arial"/>
              </w:rPr>
              <w:t>12</w:t>
            </w:r>
            <w:r w:rsidR="007B7640" w:rsidRPr="00CD59CC">
              <w:rPr>
                <w:rFonts w:ascii="Arial" w:hAnsi="Arial" w:cs="Arial"/>
              </w:rPr>
              <w:t xml:space="preserve"> </w:t>
            </w:r>
            <w:r w:rsidRPr="00CD59CC">
              <w:rPr>
                <w:rFonts w:ascii="Arial" w:hAnsi="Arial" w:cs="Arial"/>
              </w:rPr>
              <w:t>280</w:t>
            </w:r>
          </w:p>
        </w:tc>
      </w:tr>
      <w:tr w:rsidR="001B2C4C" w:rsidRPr="00CD59CC" w14:paraId="18C5A0FB" w14:textId="77777777" w:rsidTr="00E34CF1">
        <w:tc>
          <w:tcPr>
            <w:tcW w:w="1668" w:type="dxa"/>
          </w:tcPr>
          <w:p w14:paraId="028A39E4" w14:textId="77777777" w:rsidR="001B2C4C" w:rsidRPr="00CD59CC" w:rsidRDefault="001B2C4C" w:rsidP="00CD59CC">
            <w:pPr>
              <w:snapToGrid w:val="0"/>
              <w:rPr>
                <w:rFonts w:ascii="Arial" w:hAnsi="Arial" w:cs="Arial"/>
              </w:rPr>
            </w:pPr>
            <w:r w:rsidRPr="00CD59CC">
              <w:rPr>
                <w:rFonts w:ascii="Arial" w:hAnsi="Arial" w:cs="Arial"/>
              </w:rPr>
              <w:t>Slovenian</w:t>
            </w:r>
          </w:p>
        </w:tc>
        <w:tc>
          <w:tcPr>
            <w:tcW w:w="1984" w:type="dxa"/>
          </w:tcPr>
          <w:p w14:paraId="0BDB891E" w14:textId="77777777" w:rsidR="001B2C4C" w:rsidRPr="00CD59CC" w:rsidRDefault="001B2C4C" w:rsidP="00CD59CC">
            <w:pPr>
              <w:snapToGrid w:val="0"/>
              <w:rPr>
                <w:rFonts w:ascii="Arial" w:hAnsi="Arial" w:cs="Arial"/>
              </w:rPr>
            </w:pPr>
            <w:r w:rsidRPr="00CD59CC">
              <w:rPr>
                <w:rFonts w:ascii="Arial" w:hAnsi="Arial" w:cs="Arial"/>
              </w:rPr>
              <w:t>991</w:t>
            </w:r>
          </w:p>
        </w:tc>
        <w:tc>
          <w:tcPr>
            <w:tcW w:w="1559" w:type="dxa"/>
            <w:vAlign w:val="center"/>
          </w:tcPr>
          <w:p w14:paraId="0027FA9A" w14:textId="35B23775" w:rsidR="001B2C4C" w:rsidRPr="00CD59CC" w:rsidRDefault="001B2C4C" w:rsidP="00CD59CC">
            <w:pPr>
              <w:rPr>
                <w:rFonts w:ascii="Arial" w:hAnsi="Arial" w:cs="Arial"/>
              </w:rPr>
            </w:pPr>
            <w:r w:rsidRPr="00CD59CC">
              <w:rPr>
                <w:rFonts w:ascii="Arial" w:hAnsi="Arial" w:cs="Arial"/>
              </w:rPr>
              <w:t>1</w:t>
            </w:r>
            <w:r w:rsidR="007B7640" w:rsidRPr="00CD59CC">
              <w:rPr>
                <w:rFonts w:ascii="Arial" w:hAnsi="Arial" w:cs="Arial"/>
              </w:rPr>
              <w:t xml:space="preserve"> </w:t>
            </w:r>
            <w:r w:rsidRPr="00CD59CC">
              <w:rPr>
                <w:rFonts w:ascii="Arial" w:hAnsi="Arial" w:cs="Arial"/>
              </w:rPr>
              <w:t>025</w:t>
            </w:r>
          </w:p>
        </w:tc>
      </w:tr>
      <w:tr w:rsidR="001B2C4C" w:rsidRPr="00CD59CC" w14:paraId="418936F5" w14:textId="77777777" w:rsidTr="00E34CF1">
        <w:tc>
          <w:tcPr>
            <w:tcW w:w="1668" w:type="dxa"/>
          </w:tcPr>
          <w:p w14:paraId="70BD8CDC" w14:textId="77777777" w:rsidR="001B2C4C" w:rsidRPr="00CD59CC" w:rsidRDefault="001B2C4C" w:rsidP="00CD59CC">
            <w:pPr>
              <w:snapToGrid w:val="0"/>
              <w:rPr>
                <w:rFonts w:ascii="Arial" w:hAnsi="Arial" w:cs="Arial"/>
              </w:rPr>
            </w:pPr>
            <w:r w:rsidRPr="00CD59CC">
              <w:rPr>
                <w:rFonts w:ascii="Arial" w:hAnsi="Arial" w:cs="Arial"/>
              </w:rPr>
              <w:t>Ukrainian</w:t>
            </w:r>
          </w:p>
        </w:tc>
        <w:tc>
          <w:tcPr>
            <w:tcW w:w="1984" w:type="dxa"/>
          </w:tcPr>
          <w:p w14:paraId="32D1C6C5" w14:textId="77777777" w:rsidR="001B2C4C" w:rsidRPr="00CD59CC" w:rsidRDefault="001B2C4C" w:rsidP="00CD59CC">
            <w:pPr>
              <w:snapToGrid w:val="0"/>
              <w:rPr>
                <w:rFonts w:ascii="Arial" w:hAnsi="Arial" w:cs="Arial"/>
              </w:rPr>
            </w:pPr>
            <w:r w:rsidRPr="00CD59CC">
              <w:rPr>
                <w:rFonts w:ascii="Arial" w:hAnsi="Arial" w:cs="Arial"/>
              </w:rPr>
              <w:t>1</w:t>
            </w:r>
            <w:r w:rsidR="007B7640" w:rsidRPr="00CD59CC">
              <w:rPr>
                <w:rFonts w:ascii="Arial" w:hAnsi="Arial" w:cs="Arial"/>
              </w:rPr>
              <w:t xml:space="preserve"> </w:t>
            </w:r>
            <w:r w:rsidRPr="00CD59CC">
              <w:rPr>
                <w:rFonts w:ascii="Arial" w:hAnsi="Arial" w:cs="Arial"/>
              </w:rPr>
              <w:t>084</w:t>
            </w:r>
          </w:p>
        </w:tc>
        <w:tc>
          <w:tcPr>
            <w:tcW w:w="1559" w:type="dxa"/>
            <w:vAlign w:val="center"/>
          </w:tcPr>
          <w:p w14:paraId="34C3405E" w14:textId="110656C1" w:rsidR="001B2C4C" w:rsidRPr="00CD59CC" w:rsidRDefault="001B2C4C" w:rsidP="00CD59CC">
            <w:pPr>
              <w:rPr>
                <w:rFonts w:ascii="Arial" w:hAnsi="Arial" w:cs="Arial"/>
              </w:rPr>
            </w:pPr>
            <w:r w:rsidRPr="00CD59CC">
              <w:rPr>
                <w:rFonts w:ascii="Arial" w:hAnsi="Arial" w:cs="Arial"/>
              </w:rPr>
              <w:t>1</w:t>
            </w:r>
            <w:r w:rsidR="007B7640" w:rsidRPr="00CD59CC">
              <w:rPr>
                <w:rFonts w:ascii="Arial" w:hAnsi="Arial" w:cs="Arial"/>
              </w:rPr>
              <w:t xml:space="preserve"> </w:t>
            </w:r>
            <w:r w:rsidRPr="00CD59CC">
              <w:rPr>
                <w:rFonts w:ascii="Arial" w:hAnsi="Arial" w:cs="Arial"/>
              </w:rPr>
              <w:t>366</w:t>
            </w:r>
          </w:p>
        </w:tc>
      </w:tr>
      <w:tr w:rsidR="001B2C4C" w:rsidRPr="00CD59CC" w14:paraId="72318490" w14:textId="77777777" w:rsidTr="00E34CF1">
        <w:tc>
          <w:tcPr>
            <w:tcW w:w="1668" w:type="dxa"/>
          </w:tcPr>
          <w:p w14:paraId="480E228E" w14:textId="77777777" w:rsidR="001B2C4C" w:rsidRPr="00CD59CC" w:rsidRDefault="001B2C4C" w:rsidP="00CD59CC">
            <w:pPr>
              <w:snapToGrid w:val="0"/>
              <w:rPr>
                <w:rFonts w:ascii="Arial" w:hAnsi="Arial" w:cs="Arial"/>
                <w:b/>
              </w:rPr>
            </w:pPr>
            <w:r w:rsidRPr="00CD59CC">
              <w:rPr>
                <w:rFonts w:ascii="Arial" w:hAnsi="Arial" w:cs="Arial"/>
                <w:b/>
              </w:rPr>
              <w:t>Total</w:t>
            </w:r>
          </w:p>
        </w:tc>
        <w:tc>
          <w:tcPr>
            <w:tcW w:w="1984" w:type="dxa"/>
          </w:tcPr>
          <w:p w14:paraId="61507B59" w14:textId="77777777" w:rsidR="001B2C4C" w:rsidRPr="00CD59CC" w:rsidRDefault="001B2C4C" w:rsidP="00CD59CC">
            <w:pPr>
              <w:snapToGrid w:val="0"/>
              <w:rPr>
                <w:rFonts w:ascii="Arial" w:hAnsi="Arial" w:cs="Arial"/>
                <w:b/>
              </w:rPr>
            </w:pPr>
            <w:r w:rsidRPr="00CD59CC">
              <w:rPr>
                <w:rFonts w:ascii="Arial" w:hAnsi="Arial" w:cs="Arial"/>
                <w:b/>
              </w:rPr>
              <w:t>199</w:t>
            </w:r>
            <w:r w:rsidR="007B7640" w:rsidRPr="00CD59CC">
              <w:rPr>
                <w:rFonts w:ascii="Arial" w:hAnsi="Arial" w:cs="Arial"/>
                <w:b/>
              </w:rPr>
              <w:t xml:space="preserve"> </w:t>
            </w:r>
            <w:r w:rsidRPr="00CD59CC">
              <w:rPr>
                <w:rFonts w:ascii="Arial" w:hAnsi="Arial" w:cs="Arial"/>
                <w:b/>
              </w:rPr>
              <w:t>789</w:t>
            </w:r>
          </w:p>
        </w:tc>
        <w:tc>
          <w:tcPr>
            <w:tcW w:w="1559" w:type="dxa"/>
          </w:tcPr>
          <w:p w14:paraId="6798F666" w14:textId="77777777" w:rsidR="001B2C4C" w:rsidRPr="00CD59CC" w:rsidRDefault="001B2C4C" w:rsidP="00CD59CC">
            <w:pPr>
              <w:snapToGrid w:val="0"/>
              <w:rPr>
                <w:rFonts w:ascii="Arial" w:hAnsi="Arial" w:cs="Arial"/>
                <w:b/>
              </w:rPr>
            </w:pPr>
            <w:r w:rsidRPr="00CD59CC">
              <w:rPr>
                <w:rFonts w:ascii="Arial" w:hAnsi="Arial" w:cs="Arial"/>
                <w:b/>
              </w:rPr>
              <w:t>228</w:t>
            </w:r>
            <w:r w:rsidR="007B7640" w:rsidRPr="00CD59CC">
              <w:rPr>
                <w:rFonts w:ascii="Arial" w:hAnsi="Arial" w:cs="Arial"/>
                <w:b/>
              </w:rPr>
              <w:t xml:space="preserve"> </w:t>
            </w:r>
            <w:r w:rsidRPr="00CD59CC">
              <w:rPr>
                <w:rFonts w:ascii="Arial" w:hAnsi="Arial" w:cs="Arial"/>
                <w:b/>
              </w:rPr>
              <w:t>084</w:t>
            </w:r>
          </w:p>
        </w:tc>
      </w:tr>
    </w:tbl>
    <w:p w14:paraId="70B77C86" w14:textId="77777777" w:rsidR="001B2C4C" w:rsidRPr="00CD59CC" w:rsidRDefault="001B2C4C" w:rsidP="00CD59CC">
      <w:pPr>
        <w:rPr>
          <w:rFonts w:ascii="Arial" w:hAnsi="Arial" w:cs="Arial"/>
          <w:i/>
        </w:rPr>
      </w:pPr>
    </w:p>
    <w:p w14:paraId="4A311664" w14:textId="77777777" w:rsidR="001B2C4C" w:rsidRPr="00CD59CC" w:rsidRDefault="001B2C4C" w:rsidP="00CD59CC">
      <w:pPr>
        <w:rPr>
          <w:rFonts w:ascii="Arial" w:hAnsi="Arial" w:cs="Arial"/>
        </w:rPr>
      </w:pPr>
      <w:r w:rsidRPr="00CD59CC">
        <w:rPr>
          <w:rFonts w:ascii="Arial" w:hAnsi="Arial" w:cs="Arial"/>
          <w:i/>
        </w:rPr>
        <w:t>Disability</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purposes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benefits</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employment:</w:t>
      </w:r>
      <w:r w:rsidR="007B7640" w:rsidRPr="00CD59CC">
        <w:rPr>
          <w:rFonts w:ascii="Arial" w:hAnsi="Arial" w:cs="Arial"/>
          <w:b/>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23</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CXCI</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2011</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Benefits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Altered</w:t>
      </w:r>
      <w:r w:rsidR="007B7640" w:rsidRPr="00CD59CC">
        <w:rPr>
          <w:rFonts w:ascii="Arial" w:hAnsi="Arial" w:cs="Arial"/>
        </w:rPr>
        <w:t xml:space="preserve"> </w:t>
      </w:r>
      <w:r w:rsidRPr="00CD59CC">
        <w:rPr>
          <w:rFonts w:ascii="Arial" w:hAnsi="Arial" w:cs="Arial"/>
        </w:rPr>
        <w:t>Ability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Amendment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obliged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pay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called</w:t>
      </w:r>
      <w:r w:rsidR="007B7640" w:rsidRPr="00CD59CC">
        <w:rPr>
          <w:rFonts w:ascii="Arial" w:hAnsi="Arial" w:cs="Arial"/>
        </w:rPr>
        <w:t xml:space="preserve"> </w:t>
      </w:r>
      <w:r w:rsidRPr="00CD59CC">
        <w:rPr>
          <w:rFonts w:ascii="Arial" w:hAnsi="Arial" w:cs="Arial"/>
        </w:rPr>
        <w:lastRenderedPageBreak/>
        <w:t>“rehabilitation</w:t>
      </w:r>
      <w:r w:rsidR="007B7640" w:rsidRPr="00CD59CC">
        <w:rPr>
          <w:rFonts w:ascii="Arial" w:hAnsi="Arial" w:cs="Arial"/>
        </w:rPr>
        <w:t xml:space="preserve"> </w:t>
      </w:r>
      <w:r w:rsidRPr="00CD59CC">
        <w:rPr>
          <w:rFonts w:ascii="Arial" w:hAnsi="Arial" w:cs="Arial"/>
        </w:rPr>
        <w:t>contribution”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budget</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employees</w:t>
      </w:r>
      <w:r w:rsidR="007B7640" w:rsidRPr="00CD59CC">
        <w:rPr>
          <w:rFonts w:ascii="Arial" w:hAnsi="Arial" w:cs="Arial"/>
        </w:rPr>
        <w:t xml:space="preserve"> </w:t>
      </w:r>
      <w:r w:rsidRPr="00CD59CC">
        <w:rPr>
          <w:rFonts w:ascii="Arial" w:hAnsi="Arial" w:cs="Arial"/>
        </w:rPr>
        <w:t>exceeds</w:t>
      </w:r>
      <w:r w:rsidR="007B7640" w:rsidRPr="00CD59CC">
        <w:rPr>
          <w:rFonts w:ascii="Arial" w:hAnsi="Arial" w:cs="Arial"/>
        </w:rPr>
        <w:t xml:space="preserve"> </w:t>
      </w:r>
      <w:r w:rsidRPr="00CD59CC">
        <w:rPr>
          <w:rFonts w:ascii="Arial" w:hAnsi="Arial" w:cs="Arial"/>
        </w:rPr>
        <w:t>25</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proportion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altered</w:t>
      </w:r>
      <w:r w:rsidR="007B7640" w:rsidRPr="00CD59CC">
        <w:rPr>
          <w:rFonts w:ascii="Arial" w:hAnsi="Arial" w:cs="Arial"/>
        </w:rPr>
        <w:t xml:space="preserve"> </w:t>
      </w:r>
      <w:r w:rsidRPr="00CD59CC">
        <w:rPr>
          <w:rFonts w:ascii="Arial" w:hAnsi="Arial" w:cs="Arial"/>
        </w:rPr>
        <w:t>ability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workforce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below</w:t>
      </w:r>
      <w:r w:rsidR="007B7640" w:rsidRPr="00CD59CC">
        <w:rPr>
          <w:rFonts w:ascii="Arial" w:hAnsi="Arial" w:cs="Arial"/>
        </w:rPr>
        <w:t xml:space="preserve"> </w:t>
      </w:r>
      <w:r w:rsidRPr="00CD59CC">
        <w:rPr>
          <w:rFonts w:ascii="Arial" w:hAnsi="Arial" w:cs="Arial"/>
        </w:rPr>
        <w:t>5</w:t>
      </w:r>
      <w:r w:rsidR="007B7640" w:rsidRPr="00CD59CC">
        <w:rPr>
          <w:rFonts w:ascii="Arial" w:hAnsi="Arial" w:cs="Arial"/>
        </w:rPr>
        <w:t xml:space="preserve"> </w:t>
      </w:r>
      <w:r w:rsidRPr="00CD59CC">
        <w:rPr>
          <w:rFonts w:ascii="Arial" w:hAnsi="Arial" w:cs="Arial"/>
        </w:rPr>
        <w:t>percent.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hand,</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Government</w:t>
      </w:r>
      <w:r w:rsidR="007B7640" w:rsidRPr="00CD59CC">
        <w:rPr>
          <w:rFonts w:ascii="Arial" w:hAnsi="Arial" w:cs="Arial"/>
        </w:rPr>
        <w:t xml:space="preserve"> </w:t>
      </w:r>
      <w:r w:rsidRPr="00CD59CC">
        <w:rPr>
          <w:rFonts w:ascii="Arial" w:hAnsi="Arial" w:cs="Arial"/>
        </w:rPr>
        <w:t>Decree</w:t>
      </w:r>
      <w:r w:rsidR="007B7640" w:rsidRPr="00CD59CC">
        <w:rPr>
          <w:rFonts w:ascii="Arial" w:hAnsi="Arial" w:cs="Arial"/>
        </w:rPr>
        <w:t xml:space="preserve"> </w:t>
      </w:r>
      <w:r w:rsidRPr="00CD59CC">
        <w:rPr>
          <w:rFonts w:ascii="Arial" w:hAnsi="Arial" w:cs="Arial"/>
        </w:rPr>
        <w:t>327/2012</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Accreditation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Employing</w:t>
      </w:r>
      <w:r w:rsidR="007B7640" w:rsidRPr="00CD59CC">
        <w:rPr>
          <w:rFonts w:ascii="Arial" w:hAnsi="Arial" w:cs="Arial"/>
        </w:rPr>
        <w:t xml:space="preserve"> </w:t>
      </w:r>
      <w:r w:rsidRPr="00CD59CC">
        <w:rPr>
          <w:rFonts w:ascii="Arial" w:hAnsi="Arial" w:cs="Arial"/>
        </w:rPr>
        <w:t>Workers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Budgetary</w:t>
      </w:r>
      <w:r w:rsidR="007B7640" w:rsidRPr="00CD59CC">
        <w:rPr>
          <w:rFonts w:ascii="Arial" w:hAnsi="Arial" w:cs="Arial"/>
        </w:rPr>
        <w:t xml:space="preserve"> </w:t>
      </w:r>
      <w:r w:rsidRPr="00CD59CC">
        <w:rPr>
          <w:rFonts w:ascii="Arial" w:hAnsi="Arial" w:cs="Arial"/>
        </w:rPr>
        <w:t>Supports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Workers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entitled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support</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central</w:t>
      </w:r>
      <w:r w:rsidR="007B7640" w:rsidRPr="00CD59CC">
        <w:rPr>
          <w:rFonts w:ascii="Arial" w:hAnsi="Arial" w:cs="Arial"/>
        </w:rPr>
        <w:t xml:space="preserve"> </w:t>
      </w:r>
      <w:r w:rsidRPr="00CD59CC">
        <w:rPr>
          <w:rFonts w:ascii="Arial" w:hAnsi="Arial" w:cs="Arial"/>
        </w:rPr>
        <w:t>budget</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employ</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naturally</w:t>
      </w:r>
      <w:r w:rsidR="007B7640" w:rsidRPr="00CD59CC">
        <w:rPr>
          <w:rFonts w:ascii="Arial" w:hAnsi="Arial" w:cs="Arial"/>
        </w:rPr>
        <w:t xml:space="preserve"> </w:t>
      </w:r>
      <w:r w:rsidRPr="00CD59CC">
        <w:rPr>
          <w:rFonts w:ascii="Arial" w:hAnsi="Arial" w:cs="Arial"/>
        </w:rPr>
        <w:t>requires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record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kept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employees.</w:t>
      </w:r>
      <w:r w:rsidR="007B7640" w:rsidRPr="00CD59CC">
        <w:rPr>
          <w:rFonts w:ascii="Arial" w:hAnsi="Arial" w:cs="Arial"/>
        </w:rPr>
        <w:t xml:space="preserve"> </w:t>
      </w:r>
    </w:p>
    <w:p w14:paraId="5834E1F4" w14:textId="77777777" w:rsidR="001B2C4C" w:rsidRPr="00CD59CC" w:rsidRDefault="001B2C4C" w:rsidP="00CD59CC">
      <w:pPr>
        <w:rPr>
          <w:rFonts w:ascii="Arial" w:hAnsi="Arial" w:cs="Arial"/>
        </w:rPr>
      </w:pPr>
    </w:p>
    <w:p w14:paraId="7FCD2F7E" w14:textId="77777777" w:rsidR="001B2C4C" w:rsidRPr="00CD59CC" w:rsidRDefault="001B2C4C" w:rsidP="00CD59CC">
      <w:pPr>
        <w:rPr>
          <w:rFonts w:ascii="Arial" w:hAnsi="Arial" w:cs="Arial"/>
        </w:rPr>
      </w:pPr>
      <w:r w:rsidRPr="00CD59CC">
        <w:rPr>
          <w:rFonts w:ascii="Arial" w:hAnsi="Arial" w:cs="Arial"/>
          <w:i/>
        </w:rPr>
        <w:t>Data</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age,</w:t>
      </w:r>
      <w:r w:rsidR="007B7640" w:rsidRPr="00CD59CC">
        <w:rPr>
          <w:rFonts w:ascii="Arial" w:hAnsi="Arial" w:cs="Arial"/>
          <w:i/>
        </w:rPr>
        <w:t xml:space="preserve"> </w:t>
      </w:r>
      <w:r w:rsidRPr="00CD59CC">
        <w:rPr>
          <w:rFonts w:ascii="Arial" w:hAnsi="Arial" w:cs="Arial"/>
          <w:i/>
        </w:rPr>
        <w:t>disability,</w:t>
      </w:r>
      <w:r w:rsidR="007B7640" w:rsidRPr="00CD59CC">
        <w:rPr>
          <w:rFonts w:ascii="Arial" w:hAnsi="Arial" w:cs="Arial"/>
          <w:i/>
        </w:rPr>
        <w:t xml:space="preserve"> </w:t>
      </w:r>
      <w:r w:rsidRPr="00CD59CC">
        <w:rPr>
          <w:rFonts w:ascii="Arial" w:hAnsi="Arial" w:cs="Arial"/>
          <w:i/>
        </w:rPr>
        <w:t>ethnic</w:t>
      </w:r>
      <w:r w:rsidR="007B7640" w:rsidRPr="00CD59CC">
        <w:rPr>
          <w:rFonts w:ascii="Arial" w:hAnsi="Arial" w:cs="Arial"/>
          <w:i/>
        </w:rPr>
        <w:t xml:space="preserve"> </w:t>
      </w:r>
      <w:r w:rsidRPr="00CD59CC">
        <w:rPr>
          <w:rFonts w:ascii="Arial" w:hAnsi="Arial" w:cs="Arial"/>
          <w:i/>
        </w:rPr>
        <w:t>origin</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purposes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positive</w:t>
      </w:r>
      <w:r w:rsidR="007B7640" w:rsidRPr="00CD59CC">
        <w:rPr>
          <w:rFonts w:ascii="Arial" w:hAnsi="Arial" w:cs="Arial"/>
          <w:i/>
        </w:rPr>
        <w:t xml:space="preserve"> </w:t>
      </w:r>
      <w:r w:rsidRPr="00CD59CC">
        <w:rPr>
          <w:rFonts w:ascii="Arial" w:hAnsi="Arial" w:cs="Arial"/>
          <w:i/>
        </w:rPr>
        <w:t>action</w:t>
      </w:r>
      <w:r w:rsidR="007B7640" w:rsidRPr="00CD59CC">
        <w:rPr>
          <w:rFonts w:ascii="Arial" w:hAnsi="Arial" w:cs="Arial"/>
          <w:i/>
        </w:rPr>
        <w:t xml:space="preserve"> </w:t>
      </w:r>
      <w:r w:rsidRPr="00CD59CC">
        <w:rPr>
          <w:rFonts w:ascii="Arial" w:hAnsi="Arial" w:cs="Arial"/>
          <w:i/>
        </w:rPr>
        <w:t>at</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workplace:</w:t>
      </w:r>
      <w:r w:rsidR="007B7640" w:rsidRPr="00CD59CC">
        <w:rPr>
          <w:rFonts w:ascii="Arial" w:hAnsi="Arial" w:cs="Arial"/>
          <w:i/>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63</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bodies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companies</w:t>
      </w:r>
      <w:r w:rsidR="007B7640" w:rsidRPr="00CD59CC">
        <w:rPr>
          <w:rFonts w:ascii="Arial" w:hAnsi="Arial" w:cs="Arial"/>
        </w:rPr>
        <w:t xml:space="preserve"> </w:t>
      </w:r>
      <w:r w:rsidRPr="00CD59CC">
        <w:rPr>
          <w:rFonts w:ascii="Arial" w:hAnsi="Arial" w:cs="Arial"/>
        </w:rPr>
        <w:t>whose</w:t>
      </w:r>
      <w:r w:rsidR="007B7640" w:rsidRPr="00CD59CC">
        <w:rPr>
          <w:rFonts w:ascii="Arial" w:hAnsi="Arial" w:cs="Arial"/>
        </w:rPr>
        <w:t xml:space="preserve"> </w:t>
      </w:r>
      <w:r w:rsidRPr="00CD59CC">
        <w:rPr>
          <w:rFonts w:ascii="Arial" w:hAnsi="Arial" w:cs="Arial"/>
        </w:rPr>
        <w:t>majority</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owned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obliged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adopt</w:t>
      </w:r>
      <w:r w:rsidR="007B7640" w:rsidRPr="00CD59CC">
        <w:rPr>
          <w:rFonts w:ascii="Arial" w:hAnsi="Arial" w:cs="Arial"/>
        </w:rPr>
        <w:t xml:space="preserve"> </w:t>
      </w:r>
      <w:r w:rsidRPr="00CD59CC">
        <w:rPr>
          <w:rFonts w:ascii="Arial" w:hAnsi="Arial" w:cs="Arial"/>
        </w:rPr>
        <w:t>so-called</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opportunities</w:t>
      </w:r>
      <w:r w:rsidR="007B7640" w:rsidRPr="00CD59CC">
        <w:rPr>
          <w:rFonts w:ascii="Arial" w:hAnsi="Arial" w:cs="Arial"/>
        </w:rPr>
        <w:t xml:space="preserve"> </w:t>
      </w:r>
      <w:r w:rsidRPr="00CD59CC">
        <w:rPr>
          <w:rFonts w:ascii="Arial" w:hAnsi="Arial" w:cs="Arial"/>
        </w:rPr>
        <w:t>plans"</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employ</w:t>
      </w:r>
      <w:r w:rsidR="007B7640" w:rsidRPr="00CD59CC">
        <w:rPr>
          <w:rFonts w:ascii="Arial" w:hAnsi="Arial" w:cs="Arial"/>
        </w:rPr>
        <w:t xml:space="preserve"> </w:t>
      </w:r>
      <w:r w:rsidRPr="00CD59CC">
        <w:rPr>
          <w:rFonts w:ascii="Arial" w:hAnsi="Arial" w:cs="Arial"/>
        </w:rPr>
        <w:t>more</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50</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obviously</w:t>
      </w:r>
      <w:r w:rsidR="007B7640" w:rsidRPr="00CD59CC">
        <w:rPr>
          <w:rFonts w:ascii="Arial" w:hAnsi="Arial" w:cs="Arial"/>
        </w:rPr>
        <w:t xml:space="preserve"> </w:t>
      </w:r>
      <w:r w:rsidRPr="00CD59CC">
        <w:rPr>
          <w:rFonts w:ascii="Arial" w:hAnsi="Arial" w:cs="Arial"/>
        </w:rPr>
        <w:t>requires</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collection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carried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voluntary</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provision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individuals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line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described</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Act).</w:t>
      </w:r>
    </w:p>
    <w:p w14:paraId="7DA3FD84" w14:textId="77777777" w:rsidR="001B2C4C" w:rsidRPr="00CD59CC" w:rsidRDefault="001B2C4C" w:rsidP="00CD59CC">
      <w:pPr>
        <w:rPr>
          <w:rFonts w:ascii="Arial" w:hAnsi="Arial" w:cs="Arial"/>
        </w:rPr>
      </w:pPr>
    </w:p>
    <w:p w14:paraId="17419DD4" w14:textId="77777777" w:rsidR="001B2C4C" w:rsidRPr="00CD59CC" w:rsidRDefault="001B2C4C" w:rsidP="00CD59CC">
      <w:pPr>
        <w:rPr>
          <w:rFonts w:ascii="Arial" w:hAnsi="Arial" w:cs="Arial"/>
        </w:rPr>
      </w:pPr>
      <w:r w:rsidRPr="00CD59CC">
        <w:rPr>
          <w:rFonts w:ascii="Arial" w:hAnsi="Arial" w:cs="Arial"/>
          <w:i/>
        </w:rPr>
        <w:t>Data</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other</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b/>
        </w:rPr>
        <w:t xml:space="preserve"> </w:t>
      </w:r>
      <w:r w:rsidRPr="00CD59CC">
        <w:rPr>
          <w:rFonts w:ascii="Arial" w:hAnsi="Arial" w:cs="Arial"/>
        </w:rPr>
        <w:t>Apart</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census,</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collected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context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religion.</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collected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hand,</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really</w:t>
      </w:r>
      <w:r w:rsidR="007B7640" w:rsidRPr="00CD59CC">
        <w:rPr>
          <w:rFonts w:ascii="Arial" w:hAnsi="Arial" w:cs="Arial"/>
        </w:rPr>
        <w:t xml:space="preserve"> </w:t>
      </w:r>
      <w:r w:rsidRPr="00CD59CC">
        <w:rPr>
          <w:rFonts w:ascii="Arial" w:hAnsi="Arial" w:cs="Arial"/>
        </w:rPr>
        <w:t>seen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sensitive</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lot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statistics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found</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age-related</w:t>
      </w:r>
      <w:r w:rsidR="007B7640" w:rsidRPr="00CD59CC">
        <w:rPr>
          <w:rFonts w:ascii="Arial" w:hAnsi="Arial" w:cs="Arial"/>
        </w:rPr>
        <w:t xml:space="preserve"> </w:t>
      </w:r>
      <w:r w:rsidRPr="00CD59CC">
        <w:rPr>
          <w:rFonts w:ascii="Arial" w:hAnsi="Arial" w:cs="Arial"/>
        </w:rPr>
        <w:t>issues.</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collected</w:t>
      </w:r>
      <w:r w:rsidR="007B7640" w:rsidRPr="00CD59CC">
        <w:rPr>
          <w:rFonts w:ascii="Arial" w:hAnsi="Arial" w:cs="Arial"/>
        </w:rPr>
        <w:t xml:space="preserve"> </w:t>
      </w:r>
      <w:r w:rsidRPr="00CD59CC">
        <w:rPr>
          <w:rFonts w:ascii="Arial" w:hAnsi="Arial" w:cs="Arial"/>
        </w:rPr>
        <w:t>without</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difficulty.</w:t>
      </w:r>
    </w:p>
    <w:p w14:paraId="4B507EA5" w14:textId="77777777" w:rsidR="001B2C4C" w:rsidRPr="00CD59CC" w:rsidRDefault="001B2C4C" w:rsidP="00CD59CC">
      <w:pPr>
        <w:rPr>
          <w:rFonts w:ascii="Arial" w:hAnsi="Arial" w:cs="Arial"/>
        </w:rPr>
      </w:pPr>
    </w:p>
    <w:p w14:paraId="6A17555B" w14:textId="77777777" w:rsidR="001B2C4C" w:rsidRPr="00CD59CC" w:rsidRDefault="001B2C4C" w:rsidP="00CD59CC">
      <w:pPr>
        <w:rPr>
          <w:rFonts w:ascii="Arial" w:hAnsi="Arial" w:cs="Arial"/>
        </w:rPr>
      </w:pPr>
      <w:r w:rsidRPr="00CD59CC">
        <w:rPr>
          <w:rFonts w:ascii="Arial" w:hAnsi="Arial" w:cs="Arial"/>
          <w:i/>
        </w:rPr>
        <w:t>Recommendations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Minorities</w:t>
      </w:r>
      <w:r w:rsidR="007B7640" w:rsidRPr="00CD59CC">
        <w:rPr>
          <w:rFonts w:ascii="Arial" w:hAnsi="Arial" w:cs="Arial"/>
          <w:i/>
        </w:rPr>
        <w:t xml:space="preserve"> </w:t>
      </w:r>
      <w:r w:rsidRPr="00CD59CC">
        <w:rPr>
          <w:rFonts w:ascii="Arial" w:hAnsi="Arial" w:cs="Arial"/>
          <w:i/>
        </w:rPr>
        <w:t>Ombudsman</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Data</w:t>
      </w:r>
      <w:r w:rsidR="007B7640" w:rsidRPr="00CD59CC">
        <w:rPr>
          <w:rFonts w:ascii="Arial" w:hAnsi="Arial" w:cs="Arial"/>
          <w:i/>
        </w:rPr>
        <w:t xml:space="preserve"> </w:t>
      </w:r>
      <w:r w:rsidRPr="00CD59CC">
        <w:rPr>
          <w:rFonts w:ascii="Arial" w:hAnsi="Arial" w:cs="Arial"/>
          <w:i/>
        </w:rPr>
        <w:t>Protection</w:t>
      </w:r>
      <w:r w:rsidR="007B7640" w:rsidRPr="00CD59CC">
        <w:rPr>
          <w:rFonts w:ascii="Arial" w:hAnsi="Arial" w:cs="Arial"/>
          <w:i/>
        </w:rPr>
        <w:t xml:space="preserve"> </w:t>
      </w:r>
      <w:r w:rsidRPr="00CD59CC">
        <w:rPr>
          <w:rFonts w:ascii="Arial" w:hAnsi="Arial" w:cs="Arial"/>
          <w:i/>
        </w:rPr>
        <w:t>Ombudsman:</w:t>
      </w:r>
      <w:r w:rsidR="007B7640" w:rsidRPr="00CD59CC">
        <w:rPr>
          <w:rFonts w:ascii="Arial" w:hAnsi="Arial" w:cs="Arial"/>
          <w:b/>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November</w:t>
      </w:r>
      <w:r w:rsidR="007B7640" w:rsidRPr="00CD59CC">
        <w:rPr>
          <w:rFonts w:ascii="Arial" w:hAnsi="Arial" w:cs="Arial"/>
        </w:rPr>
        <w:t xml:space="preserve"> </w:t>
      </w:r>
      <w:r w:rsidRPr="00CD59CC">
        <w:rPr>
          <w:rFonts w:ascii="Arial" w:hAnsi="Arial" w:cs="Arial"/>
        </w:rPr>
        <w:t>2009,</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Parliamentary</w:t>
      </w:r>
      <w:r w:rsidR="007B7640" w:rsidRPr="00CD59CC">
        <w:rPr>
          <w:rFonts w:ascii="Arial" w:hAnsi="Arial" w:cs="Arial"/>
        </w:rPr>
        <w:t xml:space="preserve"> </w:t>
      </w:r>
      <w:r w:rsidRPr="00CD59CC">
        <w:rPr>
          <w:rFonts w:ascii="Arial" w:hAnsi="Arial" w:cs="Arial"/>
        </w:rPr>
        <w:t>Commissioner</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Minorities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Parliamentary</w:t>
      </w:r>
      <w:r w:rsidR="007B7640" w:rsidRPr="00CD59CC">
        <w:rPr>
          <w:rFonts w:ascii="Arial" w:hAnsi="Arial" w:cs="Arial"/>
        </w:rPr>
        <w:t xml:space="preserve"> </w:t>
      </w:r>
      <w:r w:rsidRPr="00CD59CC">
        <w:rPr>
          <w:rFonts w:ascii="Arial" w:hAnsi="Arial" w:cs="Arial"/>
        </w:rPr>
        <w:t>Commissioner</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issued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joint</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recommendations</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collection</w:t>
      </w:r>
      <w:r w:rsidR="007B7640" w:rsidRPr="00CD59CC">
        <w:rPr>
          <w:rFonts w:ascii="Arial" w:hAnsi="Arial" w:cs="Arial"/>
        </w:rPr>
        <w:t xml:space="preserve"> </w:t>
      </w:r>
      <w:r w:rsidRPr="00CD59CC">
        <w:rPr>
          <w:rFonts w:ascii="Arial" w:hAnsi="Arial" w:cs="Arial"/>
        </w:rPr>
        <w:t>and/or</w:t>
      </w:r>
      <w:r w:rsidR="007B7640" w:rsidRPr="00CD59CC">
        <w:rPr>
          <w:rFonts w:ascii="Arial" w:hAnsi="Arial" w:cs="Arial"/>
        </w:rPr>
        <w:t xml:space="preserve"> </w:t>
      </w:r>
      <w:r w:rsidRPr="00CD59CC">
        <w:rPr>
          <w:rFonts w:ascii="Arial" w:hAnsi="Arial" w:cs="Arial"/>
        </w:rPr>
        <w:t>registration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contexts.</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identified</w:t>
      </w:r>
      <w:r w:rsidR="007B7640" w:rsidRPr="00CD59CC">
        <w:rPr>
          <w:rFonts w:ascii="Arial" w:hAnsi="Arial" w:cs="Arial"/>
        </w:rPr>
        <w:t xml:space="preserve"> </w:t>
      </w:r>
      <w:r w:rsidRPr="00CD59CC">
        <w:rPr>
          <w:rFonts w:ascii="Arial" w:hAnsi="Arial" w:cs="Arial"/>
        </w:rPr>
        <w:t>four</w:t>
      </w:r>
      <w:r w:rsidR="007B7640" w:rsidRPr="00CD59CC">
        <w:rPr>
          <w:rFonts w:ascii="Arial" w:hAnsi="Arial" w:cs="Arial"/>
        </w:rPr>
        <w:t xml:space="preserve"> </w:t>
      </w:r>
      <w:r w:rsidRPr="00CD59CC">
        <w:rPr>
          <w:rFonts w:ascii="Arial" w:hAnsi="Arial" w:cs="Arial"/>
        </w:rPr>
        <w:t>situations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desirable:</w:t>
      </w:r>
      <w:r w:rsidR="007B7640" w:rsidRPr="00CD59CC">
        <w:rPr>
          <w:rFonts w:ascii="Arial" w:hAnsi="Arial" w:cs="Arial"/>
        </w:rPr>
        <w:t xml:space="preserve"> </w:t>
      </w:r>
      <w:r w:rsidRPr="00CD59CC">
        <w:rPr>
          <w:rFonts w:ascii="Arial" w:hAnsi="Arial" w:cs="Arial"/>
        </w:rPr>
        <w:t>criminal</w:t>
      </w:r>
      <w:r w:rsidR="007B7640" w:rsidRPr="00CD59CC">
        <w:rPr>
          <w:rFonts w:ascii="Arial" w:hAnsi="Arial" w:cs="Arial"/>
        </w:rPr>
        <w:t xml:space="preserve"> </w:t>
      </w:r>
      <w:r w:rsidRPr="00CD59CC">
        <w:rPr>
          <w:rFonts w:ascii="Arial" w:hAnsi="Arial" w:cs="Arial"/>
        </w:rPr>
        <w:t>justice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positive</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hand</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external</w:t>
      </w:r>
      <w:r w:rsidR="007B7640" w:rsidRPr="00CD59CC">
        <w:rPr>
          <w:rFonts w:ascii="Arial" w:hAnsi="Arial" w:cs="Arial"/>
        </w:rPr>
        <w:t xml:space="preserve"> </w:t>
      </w:r>
      <w:r w:rsidRPr="00CD59CC">
        <w:rPr>
          <w:rFonts w:ascii="Arial" w:hAnsi="Arial" w:cs="Arial"/>
        </w:rPr>
        <w:t>perception</w:t>
      </w:r>
      <w:r w:rsidR="007B7640" w:rsidRPr="00CD59CC">
        <w:rPr>
          <w:rFonts w:ascii="Arial" w:hAnsi="Arial" w:cs="Arial"/>
        </w:rPr>
        <w:t xml:space="preserve"> </w:t>
      </w:r>
      <w:r w:rsidRPr="00CD59CC">
        <w:rPr>
          <w:rFonts w:ascii="Arial" w:hAnsi="Arial" w:cs="Arial"/>
        </w:rPr>
        <w:t>should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decisive),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exercise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cultural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participation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representation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minorities,</w:t>
      </w:r>
      <w:r w:rsidR="007B7640" w:rsidRPr="00CD59CC">
        <w:rPr>
          <w:rFonts w:ascii="Arial" w:hAnsi="Arial" w:cs="Arial"/>
        </w:rPr>
        <w:t xml:space="preserve"> </w:t>
      </w:r>
      <w:r w:rsidRPr="00CD59CC">
        <w:rPr>
          <w:rFonts w:ascii="Arial" w:hAnsi="Arial" w:cs="Arial"/>
        </w:rPr>
        <w:t>e.g.</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self-government</w:t>
      </w:r>
      <w:r w:rsidR="007B7640" w:rsidRPr="00CD59CC">
        <w:rPr>
          <w:rFonts w:ascii="Arial" w:hAnsi="Arial" w:cs="Arial"/>
        </w:rPr>
        <w:t xml:space="preserve"> </w:t>
      </w:r>
      <w:r w:rsidRPr="00CD59CC">
        <w:rPr>
          <w:rFonts w:ascii="Arial" w:hAnsi="Arial" w:cs="Arial"/>
        </w:rPr>
        <w:t>elections</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own</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should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decisive).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recommendations</w:t>
      </w:r>
      <w:r w:rsidR="007B7640" w:rsidRPr="00CD59CC">
        <w:rPr>
          <w:rFonts w:ascii="Arial" w:hAnsi="Arial" w:cs="Arial"/>
        </w:rPr>
        <w:t xml:space="preserve"> </w:t>
      </w:r>
      <w:r w:rsidRPr="00CD59CC">
        <w:rPr>
          <w:rFonts w:ascii="Arial" w:hAnsi="Arial" w:cs="Arial"/>
        </w:rPr>
        <w:t>contain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criteria</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authors,</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identified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belonging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perceived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belonging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given</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aim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recommendations,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triggered</w:t>
      </w:r>
      <w:r w:rsidR="007B7640" w:rsidRPr="00CD59CC">
        <w:rPr>
          <w:rFonts w:ascii="Arial" w:hAnsi="Arial" w:cs="Arial"/>
        </w:rPr>
        <w:t xml:space="preserve"> </w:t>
      </w:r>
      <w:r w:rsidRPr="00CD59CC">
        <w:rPr>
          <w:rFonts w:ascii="Arial" w:hAnsi="Arial" w:cs="Arial"/>
        </w:rPr>
        <w:t>heated</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discussion,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put</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end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cannot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measured</w:t>
      </w:r>
      <w:r w:rsidR="007B7640" w:rsidRPr="00CD59CC">
        <w:rPr>
          <w:rFonts w:ascii="Arial" w:hAnsi="Arial" w:cs="Arial"/>
        </w:rPr>
        <w:t xml:space="preserve"> </w:t>
      </w:r>
      <w:r w:rsidRPr="00CD59CC">
        <w:rPr>
          <w:rFonts w:ascii="Arial" w:hAnsi="Arial" w:cs="Arial"/>
        </w:rPr>
        <w:t>due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lack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reliable</w:t>
      </w:r>
      <w:r w:rsidR="007B7640" w:rsidRPr="00CD59CC">
        <w:rPr>
          <w:rFonts w:ascii="Arial" w:hAnsi="Arial" w:cs="Arial"/>
        </w:rPr>
        <w:t xml:space="preserve"> </w:t>
      </w:r>
      <w:r w:rsidRPr="00CD59CC">
        <w:rPr>
          <w:rFonts w:ascii="Arial" w:hAnsi="Arial" w:cs="Arial"/>
        </w:rPr>
        <w:t>data.</w:t>
      </w:r>
      <w:r w:rsidRPr="00CD59CC">
        <w:rPr>
          <w:rStyle w:val="FootnoteReference"/>
          <w:rFonts w:ascii="Arial" w:hAnsi="Arial" w:cs="Arial"/>
        </w:rPr>
        <w:footnoteReference w:id="47"/>
      </w:r>
      <w:r w:rsidR="007B7640" w:rsidRPr="00CD59CC">
        <w:rPr>
          <w:rFonts w:ascii="Arial" w:hAnsi="Arial" w:cs="Arial"/>
        </w:rPr>
        <w:t xml:space="preserve"> </w:t>
      </w:r>
    </w:p>
    <w:p w14:paraId="1C3286F6" w14:textId="77777777" w:rsidR="001B2C4C" w:rsidRPr="00CD59CC" w:rsidRDefault="001B2C4C" w:rsidP="00CD59CC">
      <w:pPr>
        <w:rPr>
          <w:rFonts w:ascii="Arial" w:hAnsi="Arial" w:cs="Arial"/>
          <w:i/>
        </w:rPr>
      </w:pPr>
    </w:p>
    <w:p w14:paraId="59704B5B" w14:textId="77777777" w:rsidR="002B5BCD" w:rsidRPr="00CD59CC" w:rsidRDefault="00B97ED3" w:rsidP="00CD59CC">
      <w:pPr>
        <w:pStyle w:val="Heading2"/>
        <w:rPr>
          <w:rFonts w:cs="Arial"/>
        </w:rPr>
      </w:pPr>
      <w:bookmarkStart w:id="82" w:name="_Toc220221141"/>
      <w:r>
        <w:rPr>
          <w:rFonts w:cs="Arial"/>
        </w:rPr>
        <w:br w:type="page"/>
      </w:r>
      <w:bookmarkStart w:id="83" w:name="_Toc392758712"/>
      <w:bookmarkStart w:id="84" w:name="_Toc329163603"/>
      <w:bookmarkStart w:id="85" w:name="_Toc366846321"/>
      <w:r w:rsidR="002B5BCD" w:rsidRPr="00CD59CC">
        <w:rPr>
          <w:rFonts w:cs="Arial"/>
        </w:rPr>
        <w:lastRenderedPageBreak/>
        <w:t>Harassment</w:t>
      </w:r>
      <w:r w:rsidR="007B7640" w:rsidRPr="00CD59CC">
        <w:rPr>
          <w:rFonts w:cs="Arial"/>
        </w:rPr>
        <w:t xml:space="preserve"> </w:t>
      </w:r>
      <w:r w:rsidR="002B5BCD" w:rsidRPr="00CD59CC">
        <w:rPr>
          <w:rFonts w:cs="Arial"/>
        </w:rPr>
        <w:t>(Article</w:t>
      </w:r>
      <w:r w:rsidR="007B7640" w:rsidRPr="00CD59CC">
        <w:rPr>
          <w:rFonts w:cs="Arial"/>
        </w:rPr>
        <w:t xml:space="preserve"> </w:t>
      </w:r>
      <w:r w:rsidR="002B5BCD" w:rsidRPr="00CD59CC">
        <w:rPr>
          <w:rFonts w:cs="Arial"/>
        </w:rPr>
        <w:t>2(3))</w:t>
      </w:r>
      <w:bookmarkEnd w:id="82"/>
      <w:bookmarkEnd w:id="83"/>
      <w:bookmarkEnd w:id="84"/>
      <w:bookmarkEnd w:id="85"/>
    </w:p>
    <w:p w14:paraId="4407C08B" w14:textId="77777777" w:rsidR="002B5BCD" w:rsidRPr="00CD59CC" w:rsidRDefault="002B5BCD" w:rsidP="00CD59CC">
      <w:pPr>
        <w:ind w:left="360"/>
        <w:rPr>
          <w:rFonts w:ascii="Arial" w:hAnsi="Arial" w:cs="Arial"/>
          <w:b/>
        </w:rPr>
      </w:pPr>
    </w:p>
    <w:p w14:paraId="78727035" w14:textId="77777777" w:rsidR="002B5BCD" w:rsidRPr="00CD59CC" w:rsidRDefault="002B5BCD" w:rsidP="00CD59CC">
      <w:pPr>
        <w:numPr>
          <w:ilvl w:val="0"/>
          <w:numId w:val="8"/>
        </w:numPr>
        <w:ind w:left="567" w:hanging="567"/>
        <w:rPr>
          <w:rFonts w:ascii="Arial" w:hAnsi="Arial" w:cs="Arial"/>
          <w:i/>
        </w:rPr>
      </w:pPr>
      <w:r w:rsidRPr="00CD59CC">
        <w:rPr>
          <w:rFonts w:ascii="Arial" w:hAnsi="Arial" w:cs="Arial"/>
          <w:i/>
        </w:rPr>
        <w:t>How</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harassment</w:t>
      </w:r>
      <w:r w:rsidR="007B7640" w:rsidRPr="00CD59CC">
        <w:rPr>
          <w:rFonts w:ascii="Arial" w:hAnsi="Arial" w:cs="Arial"/>
          <w:i/>
        </w:rPr>
        <w:t xml:space="preserve"> </w:t>
      </w:r>
      <w:r w:rsidRPr="00CD59CC">
        <w:rPr>
          <w:rFonts w:ascii="Arial" w:hAnsi="Arial" w:cs="Arial"/>
          <w:i/>
        </w:rPr>
        <w:t>defined</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Does</w:t>
      </w:r>
      <w:r w:rsidR="007B7640" w:rsidRPr="00CD59CC">
        <w:rPr>
          <w:rFonts w:ascii="Arial" w:hAnsi="Arial" w:cs="Arial"/>
          <w:i/>
        </w:rPr>
        <w:t xml:space="preserve"> </w:t>
      </w:r>
      <w:r w:rsidRPr="00CD59CC">
        <w:rPr>
          <w:rFonts w:ascii="Arial" w:hAnsi="Arial" w:cs="Arial"/>
          <w:i/>
        </w:rPr>
        <w:t>this</w:t>
      </w:r>
      <w:r w:rsidR="007B7640" w:rsidRPr="00CD59CC">
        <w:rPr>
          <w:rFonts w:ascii="Arial" w:hAnsi="Arial" w:cs="Arial"/>
          <w:i/>
        </w:rPr>
        <w:t xml:space="preserve"> </w:t>
      </w:r>
      <w:r w:rsidRPr="00CD59CC">
        <w:rPr>
          <w:rFonts w:ascii="Arial" w:hAnsi="Arial" w:cs="Arial"/>
          <w:i/>
        </w:rPr>
        <w:t>definition</w:t>
      </w:r>
      <w:r w:rsidR="007B7640" w:rsidRPr="00CD59CC">
        <w:rPr>
          <w:rFonts w:ascii="Arial" w:hAnsi="Arial" w:cs="Arial"/>
          <w:i/>
        </w:rPr>
        <w:t xml:space="preserve"> </w:t>
      </w:r>
      <w:r w:rsidRPr="00CD59CC">
        <w:rPr>
          <w:rFonts w:ascii="Arial" w:hAnsi="Arial" w:cs="Arial"/>
          <w:i/>
        </w:rPr>
        <w:t>comply</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those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directives?</w:t>
      </w:r>
      <w:r w:rsidR="007B7640" w:rsidRPr="00CD59CC">
        <w:rPr>
          <w:rFonts w:ascii="Arial" w:hAnsi="Arial" w:cs="Arial"/>
          <w:i/>
        </w:rPr>
        <w:t xml:space="preserve"> </w:t>
      </w:r>
      <w:r w:rsidRPr="00CD59CC">
        <w:rPr>
          <w:rFonts w:ascii="Arial" w:hAnsi="Arial" w:cs="Arial"/>
          <w:i/>
        </w:rPr>
        <w:t>Include</w:t>
      </w:r>
      <w:r w:rsidR="007B7640" w:rsidRPr="00CD59CC">
        <w:rPr>
          <w:rFonts w:ascii="Arial" w:hAnsi="Arial" w:cs="Arial"/>
          <w:i/>
        </w:rPr>
        <w:t xml:space="preserve"> </w:t>
      </w:r>
      <w:r w:rsidRPr="00CD59CC">
        <w:rPr>
          <w:rFonts w:ascii="Arial" w:hAnsi="Arial" w:cs="Arial"/>
          <w:i/>
        </w:rPr>
        <w:t>reference</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criminal</w:t>
      </w:r>
      <w:r w:rsidR="007B7640" w:rsidRPr="00CD59CC">
        <w:rPr>
          <w:rFonts w:ascii="Arial" w:hAnsi="Arial" w:cs="Arial"/>
          <w:i/>
        </w:rPr>
        <w:t xml:space="preserve"> </w:t>
      </w:r>
      <w:r w:rsidRPr="00CD59CC">
        <w:rPr>
          <w:rFonts w:ascii="Arial" w:hAnsi="Arial" w:cs="Arial"/>
          <w:i/>
        </w:rPr>
        <w:t>offences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harassment</w:t>
      </w:r>
      <w:r w:rsidR="007B7640" w:rsidRPr="00CD59CC">
        <w:rPr>
          <w:rFonts w:ascii="Arial" w:hAnsi="Arial" w:cs="Arial"/>
          <w:i/>
        </w:rPr>
        <w:t xml:space="preserve"> </w:t>
      </w:r>
      <w:r w:rsidRPr="00CD59CC">
        <w:rPr>
          <w:rFonts w:ascii="Arial" w:hAnsi="Arial" w:cs="Arial"/>
          <w:i/>
        </w:rPr>
        <w:t>insofar</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these</w:t>
      </w:r>
      <w:r w:rsidR="007B7640" w:rsidRPr="00CD59CC">
        <w:rPr>
          <w:rFonts w:ascii="Arial" w:hAnsi="Arial" w:cs="Arial"/>
          <w:i/>
        </w:rPr>
        <w:t xml:space="preserve"> </w:t>
      </w:r>
      <w:r w:rsidRPr="00CD59CC">
        <w:rPr>
          <w:rFonts w:ascii="Arial" w:hAnsi="Arial" w:cs="Arial"/>
          <w:i/>
        </w:rPr>
        <w:t>could</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used</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tackle</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falling</w:t>
      </w:r>
      <w:r w:rsidR="007B7640" w:rsidRPr="00CD59CC">
        <w:rPr>
          <w:rFonts w:ascii="Arial" w:hAnsi="Arial" w:cs="Arial"/>
          <w:i/>
        </w:rPr>
        <w:t xml:space="preserve"> </w:t>
      </w:r>
      <w:r w:rsidRPr="00CD59CC">
        <w:rPr>
          <w:rFonts w:ascii="Arial" w:hAnsi="Arial" w:cs="Arial"/>
          <w:i/>
        </w:rPr>
        <w:t>within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scope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Directives.</w:t>
      </w:r>
    </w:p>
    <w:p w14:paraId="594787AE" w14:textId="77777777" w:rsidR="002B5BCD" w:rsidRPr="00CD59CC" w:rsidRDefault="002B5BCD" w:rsidP="00BB4E9F">
      <w:pPr>
        <w:ind w:left="567" w:hanging="567"/>
        <w:rPr>
          <w:rFonts w:ascii="Arial" w:hAnsi="Arial" w:cs="Arial"/>
        </w:rPr>
      </w:pPr>
    </w:p>
    <w:p w14:paraId="282D03BE" w14:textId="77777777" w:rsidR="00F91E22" w:rsidRPr="00CD59CC" w:rsidRDefault="00F91E22"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concept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introduced</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10</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Hungary’s</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sexually</w:t>
      </w:r>
      <w:r w:rsidR="007B7640" w:rsidRPr="00CD59CC">
        <w:rPr>
          <w:rFonts w:ascii="Arial" w:hAnsi="Arial" w:cs="Arial"/>
        </w:rPr>
        <w:t xml:space="preserve"> </w:t>
      </w:r>
      <w:r w:rsidRPr="00CD59CC">
        <w:rPr>
          <w:rFonts w:ascii="Arial" w:hAnsi="Arial" w:cs="Arial"/>
        </w:rPr>
        <w:t>charged</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conduct</w:t>
      </w:r>
      <w:r w:rsidR="007B7640" w:rsidRPr="00CD59CC">
        <w:rPr>
          <w:rFonts w:ascii="Arial" w:hAnsi="Arial" w:cs="Arial"/>
        </w:rPr>
        <w:t xml:space="preserve"> </w:t>
      </w:r>
      <w:r w:rsidRPr="00CD59CC">
        <w:rPr>
          <w:rFonts w:ascii="Arial" w:hAnsi="Arial" w:cs="Arial"/>
        </w:rPr>
        <w:t>violating</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dignity</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relevant</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characteristic</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purpose</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effect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creating</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intimidating,</w:t>
      </w:r>
      <w:r w:rsidR="007B7640" w:rsidRPr="00CD59CC">
        <w:rPr>
          <w:rFonts w:ascii="Arial" w:hAnsi="Arial" w:cs="Arial"/>
        </w:rPr>
        <w:t xml:space="preserve"> </w:t>
      </w:r>
      <w:r w:rsidRPr="00CD59CC">
        <w:rPr>
          <w:rFonts w:ascii="Arial" w:hAnsi="Arial" w:cs="Arial"/>
        </w:rPr>
        <w:t>hostile,</w:t>
      </w:r>
      <w:r w:rsidR="007B7640" w:rsidRPr="00CD59CC">
        <w:rPr>
          <w:rFonts w:ascii="Arial" w:hAnsi="Arial" w:cs="Arial"/>
        </w:rPr>
        <w:t xml:space="preserve"> </w:t>
      </w:r>
      <w:r w:rsidRPr="00CD59CC">
        <w:rPr>
          <w:rFonts w:ascii="Arial" w:hAnsi="Arial" w:cs="Arial"/>
        </w:rPr>
        <w:t>degrading,</w:t>
      </w:r>
      <w:r w:rsidR="007B7640" w:rsidRPr="00CD59CC">
        <w:rPr>
          <w:rFonts w:ascii="Arial" w:hAnsi="Arial" w:cs="Arial"/>
        </w:rPr>
        <w:t xml:space="preserve"> </w:t>
      </w:r>
      <w:r w:rsidRPr="00CD59CC">
        <w:rPr>
          <w:rFonts w:ascii="Arial" w:hAnsi="Arial" w:cs="Arial"/>
        </w:rPr>
        <w:t>humiliating</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offensive</w:t>
      </w:r>
      <w:r w:rsidR="007B7640" w:rsidRPr="00CD59CC">
        <w:rPr>
          <w:rFonts w:ascii="Arial" w:hAnsi="Arial" w:cs="Arial"/>
        </w:rPr>
        <w:t xml:space="preserve"> </w:t>
      </w:r>
      <w:r w:rsidRPr="00CD59CC">
        <w:rPr>
          <w:rFonts w:ascii="Arial" w:hAnsi="Arial" w:cs="Arial"/>
        </w:rPr>
        <w:t>environment.”</w:t>
      </w:r>
    </w:p>
    <w:p w14:paraId="61F54838" w14:textId="77777777" w:rsidR="00F91E22" w:rsidRPr="00CD59CC" w:rsidRDefault="00F91E22" w:rsidP="00CD59CC">
      <w:pPr>
        <w:rPr>
          <w:rFonts w:ascii="Arial" w:hAnsi="Arial" w:cs="Arial"/>
        </w:rPr>
      </w:pPr>
    </w:p>
    <w:p w14:paraId="19E06F07" w14:textId="5B316896" w:rsidR="00F91E22" w:rsidRPr="00CD59CC" w:rsidRDefault="00F91E22" w:rsidP="00CD59CC">
      <w:pPr>
        <w:rPr>
          <w:rFonts w:ascii="Arial" w:hAnsi="Arial" w:cs="Arial"/>
        </w:rPr>
      </w:pPr>
      <w:r w:rsidRPr="00CD59CC">
        <w:rPr>
          <w:rFonts w:ascii="Arial" w:hAnsi="Arial" w:cs="Arial"/>
        </w:rPr>
        <w:t>While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falling</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worth</w:t>
      </w:r>
      <w:r w:rsidR="007B7640" w:rsidRPr="00CD59CC">
        <w:rPr>
          <w:rFonts w:ascii="Arial" w:hAnsi="Arial" w:cs="Arial"/>
        </w:rPr>
        <w:t xml:space="preserve"> </w:t>
      </w:r>
      <w:r w:rsidRPr="00CD59CC">
        <w:rPr>
          <w:rFonts w:ascii="Arial" w:hAnsi="Arial" w:cs="Arial"/>
        </w:rPr>
        <w:t>mentioning</w:t>
      </w:r>
      <w:r w:rsidR="007B7640" w:rsidRPr="00CD59CC">
        <w:rPr>
          <w:rFonts w:ascii="Arial" w:hAnsi="Arial" w:cs="Arial"/>
        </w:rPr>
        <w:t xml:space="preserve"> </w:t>
      </w:r>
      <w:r w:rsidRPr="00CD59CC">
        <w:rPr>
          <w:rFonts w:ascii="Arial" w:hAnsi="Arial" w:cs="Arial"/>
        </w:rPr>
        <w:t>briefly</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response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extreme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wing</w:t>
      </w:r>
      <w:r w:rsidR="007B7640" w:rsidRPr="00CD59CC">
        <w:rPr>
          <w:rFonts w:ascii="Arial" w:hAnsi="Arial" w:cs="Arial"/>
        </w:rPr>
        <w:t xml:space="preserve"> </w:t>
      </w:r>
      <w:r w:rsidRPr="00CD59CC">
        <w:rPr>
          <w:rFonts w:ascii="Arial" w:hAnsi="Arial" w:cs="Arial"/>
        </w:rPr>
        <w:t>paramilitary</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“patrolling”</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villages</w:t>
      </w:r>
      <w:r w:rsidR="007B7640" w:rsidRPr="00CD59CC">
        <w:rPr>
          <w:rFonts w:ascii="Arial" w:hAnsi="Arial" w:cs="Arial"/>
        </w:rPr>
        <w:t xml:space="preserve"> </w:t>
      </w:r>
      <w:r w:rsidRPr="00CD59CC">
        <w:rPr>
          <w:rFonts w:ascii="Arial" w:hAnsi="Arial" w:cs="Arial"/>
        </w:rPr>
        <w:t>densely</w:t>
      </w:r>
      <w:r w:rsidR="007B7640" w:rsidRPr="00CD59CC">
        <w:rPr>
          <w:rFonts w:ascii="Arial" w:hAnsi="Arial" w:cs="Arial"/>
        </w:rPr>
        <w:t xml:space="preserve"> </w:t>
      </w:r>
      <w:r w:rsidRPr="00CD59CC">
        <w:rPr>
          <w:rFonts w:ascii="Arial" w:hAnsi="Arial" w:cs="Arial"/>
        </w:rPr>
        <w:t>populated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(allegedly</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purpose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protecting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residents</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“Gypsy</w:t>
      </w:r>
      <w:r w:rsidR="007B7640" w:rsidRPr="00CD59CC">
        <w:rPr>
          <w:rFonts w:ascii="Arial" w:hAnsi="Arial" w:cs="Arial"/>
        </w:rPr>
        <w:t xml:space="preserve"> </w:t>
      </w:r>
      <w:r w:rsidRPr="00CD59CC">
        <w:rPr>
          <w:rFonts w:ascii="Arial" w:hAnsi="Arial" w:cs="Arial"/>
        </w:rPr>
        <w:t>crime”),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provision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inserted</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E80DEC" w:rsidRPr="00CD59CC">
        <w:rPr>
          <w:rFonts w:ascii="Arial" w:hAnsi="Arial" w:cs="Arial"/>
        </w:rPr>
        <w:t>old</w:t>
      </w:r>
      <w:r w:rsidR="007B7640" w:rsidRPr="00CD59CC">
        <w:rPr>
          <w:rFonts w:ascii="Arial" w:hAnsi="Arial" w:cs="Arial"/>
        </w:rPr>
        <w:t xml:space="preserve"> </w:t>
      </w:r>
      <w:r w:rsidR="00E80DEC" w:rsidRPr="00CD59CC">
        <w:rPr>
          <w:rFonts w:ascii="Arial" w:hAnsi="Arial" w:cs="Arial"/>
        </w:rPr>
        <w:t>Penal</w:t>
      </w:r>
      <w:r w:rsidR="007B7640" w:rsidRPr="00CD59CC">
        <w:rPr>
          <w:rFonts w:ascii="Arial" w:hAnsi="Arial" w:cs="Arial"/>
        </w:rPr>
        <w:t xml:space="preserve"> </w:t>
      </w:r>
      <w:r w:rsidR="00E80DEC" w:rsidRPr="00CD59CC">
        <w:rPr>
          <w:rFonts w:ascii="Arial" w:hAnsi="Arial" w:cs="Arial"/>
        </w:rPr>
        <w:t>Code</w:t>
      </w:r>
      <w:r w:rsidR="007B7640" w:rsidRPr="00CD59CC">
        <w:rPr>
          <w:rFonts w:ascii="Arial" w:hAnsi="Arial" w:cs="Arial"/>
        </w:rPr>
        <w:t xml:space="preserve"> </w:t>
      </w:r>
      <w:r w:rsidR="00E80DEC" w:rsidRPr="00CD59CC">
        <w:rPr>
          <w:rFonts w:ascii="Arial" w:hAnsi="Arial" w:cs="Arial"/>
        </w:rPr>
        <w:t>as</w:t>
      </w:r>
      <w:r w:rsidR="007B7640" w:rsidRPr="00CD59CC">
        <w:rPr>
          <w:rFonts w:ascii="Arial" w:hAnsi="Arial" w:cs="Arial"/>
        </w:rPr>
        <w:t xml:space="preserve"> </w:t>
      </w:r>
      <w:r w:rsidR="00E80DEC" w:rsidRPr="00CD59CC">
        <w:rPr>
          <w:rFonts w:ascii="Arial" w:hAnsi="Arial" w:cs="Arial"/>
        </w:rPr>
        <w:t>of</w:t>
      </w:r>
      <w:r w:rsidR="007B7640" w:rsidRPr="00CD59CC">
        <w:rPr>
          <w:rFonts w:ascii="Arial" w:hAnsi="Arial" w:cs="Arial"/>
        </w:rPr>
        <w:t xml:space="preserve"> </w:t>
      </w:r>
      <w:r w:rsidR="00E80DEC" w:rsidRPr="00CD59CC">
        <w:rPr>
          <w:rFonts w:ascii="Arial" w:hAnsi="Arial" w:cs="Arial"/>
        </w:rPr>
        <w:t>7</w:t>
      </w:r>
      <w:r w:rsidR="007B7640" w:rsidRPr="00CD59CC">
        <w:rPr>
          <w:rFonts w:ascii="Arial" w:hAnsi="Arial" w:cs="Arial"/>
        </w:rPr>
        <w:t xml:space="preserve"> </w:t>
      </w:r>
      <w:r w:rsidR="00E80DEC" w:rsidRPr="00CD59CC">
        <w:rPr>
          <w:rFonts w:ascii="Arial" w:hAnsi="Arial" w:cs="Arial"/>
        </w:rPr>
        <w:t>May</w:t>
      </w:r>
      <w:r w:rsidR="007B7640" w:rsidRPr="00CD59CC">
        <w:rPr>
          <w:rFonts w:ascii="Arial" w:hAnsi="Arial" w:cs="Arial"/>
        </w:rPr>
        <w:t xml:space="preserve"> </w:t>
      </w:r>
      <w:r w:rsidR="00E80DEC" w:rsidRPr="00CD59CC">
        <w:rPr>
          <w:rFonts w:ascii="Arial" w:hAnsi="Arial" w:cs="Arial"/>
        </w:rPr>
        <w:t>2011.</w:t>
      </w:r>
      <w:r w:rsidR="007B7640" w:rsidRPr="00CD59CC">
        <w:rPr>
          <w:rFonts w:ascii="Arial" w:hAnsi="Arial" w:cs="Arial"/>
        </w:rPr>
        <w:t xml:space="preserve"> </w:t>
      </w:r>
      <w:r w:rsidR="00E80DEC" w:rsidRPr="00CD59CC">
        <w:rPr>
          <w:rFonts w:ascii="Arial" w:hAnsi="Arial" w:cs="Arial"/>
        </w:rPr>
        <w:t>The</w:t>
      </w:r>
      <w:r w:rsidR="007B7640" w:rsidRPr="00CD59CC">
        <w:rPr>
          <w:rFonts w:ascii="Arial" w:hAnsi="Arial" w:cs="Arial"/>
        </w:rPr>
        <w:t xml:space="preserve"> </w:t>
      </w:r>
      <w:r w:rsidR="00E80DEC" w:rsidRPr="00CD59CC">
        <w:rPr>
          <w:rFonts w:ascii="Arial" w:hAnsi="Arial" w:cs="Arial"/>
        </w:rPr>
        <w:t>same</w:t>
      </w:r>
      <w:r w:rsidR="007B7640" w:rsidRPr="00CD59CC">
        <w:rPr>
          <w:rFonts w:ascii="Arial" w:hAnsi="Arial" w:cs="Arial"/>
        </w:rPr>
        <w:t xml:space="preserve"> </w:t>
      </w:r>
      <w:r w:rsidR="00E80DEC" w:rsidRPr="00CD59CC">
        <w:rPr>
          <w:rFonts w:ascii="Arial" w:hAnsi="Arial" w:cs="Arial"/>
        </w:rPr>
        <w:t>provision</w:t>
      </w:r>
      <w:r w:rsidR="007B7640" w:rsidRPr="00CD59CC">
        <w:rPr>
          <w:rFonts w:ascii="Arial" w:hAnsi="Arial" w:cs="Arial"/>
        </w:rPr>
        <w:t xml:space="preserve"> </w:t>
      </w:r>
      <w:r w:rsidR="00E80DEC" w:rsidRPr="00CD59CC">
        <w:rPr>
          <w:rFonts w:ascii="Arial" w:hAnsi="Arial" w:cs="Arial"/>
        </w:rPr>
        <w:t>can</w:t>
      </w:r>
      <w:r w:rsidR="007B7640" w:rsidRPr="00CD59CC">
        <w:rPr>
          <w:rFonts w:ascii="Arial" w:hAnsi="Arial" w:cs="Arial"/>
        </w:rPr>
        <w:t xml:space="preserve"> </w:t>
      </w:r>
      <w:r w:rsidR="00E80DEC" w:rsidRPr="00CD59CC">
        <w:rPr>
          <w:rFonts w:ascii="Arial" w:hAnsi="Arial" w:cs="Arial"/>
        </w:rPr>
        <w:t>also</w:t>
      </w:r>
      <w:r w:rsidR="007B7640" w:rsidRPr="00CD59CC">
        <w:rPr>
          <w:rFonts w:ascii="Arial" w:hAnsi="Arial" w:cs="Arial"/>
        </w:rPr>
        <w:t xml:space="preserve"> </w:t>
      </w:r>
      <w:r w:rsidR="00E80DEC" w:rsidRPr="00CD59CC">
        <w:rPr>
          <w:rFonts w:ascii="Arial" w:hAnsi="Arial" w:cs="Arial"/>
        </w:rPr>
        <w:t>be</w:t>
      </w:r>
      <w:r w:rsidR="007B7640" w:rsidRPr="00CD59CC">
        <w:rPr>
          <w:rFonts w:ascii="Arial" w:hAnsi="Arial" w:cs="Arial"/>
        </w:rPr>
        <w:t xml:space="preserve"> </w:t>
      </w:r>
      <w:r w:rsidR="00E80DEC" w:rsidRPr="00CD59CC">
        <w:rPr>
          <w:rFonts w:ascii="Arial" w:hAnsi="Arial" w:cs="Arial"/>
        </w:rPr>
        <w:t>found</w:t>
      </w:r>
      <w:r w:rsidR="007B7640" w:rsidRPr="00CD59CC">
        <w:rPr>
          <w:rFonts w:ascii="Arial" w:hAnsi="Arial" w:cs="Arial"/>
        </w:rPr>
        <w:t xml:space="preserve"> </w:t>
      </w:r>
      <w:r w:rsidR="00E80DEC" w:rsidRPr="00CD59CC">
        <w:rPr>
          <w:rFonts w:ascii="Arial" w:hAnsi="Arial" w:cs="Arial"/>
        </w:rPr>
        <w:t>in</w:t>
      </w:r>
      <w:r w:rsidR="007B7640" w:rsidRPr="00CD59CC">
        <w:rPr>
          <w:rFonts w:ascii="Arial" w:hAnsi="Arial" w:cs="Arial"/>
        </w:rPr>
        <w:t xml:space="preserve"> </w:t>
      </w:r>
      <w:r w:rsidR="00E80DEC" w:rsidRPr="00CD59CC">
        <w:rPr>
          <w:rFonts w:ascii="Arial" w:hAnsi="Arial" w:cs="Arial"/>
        </w:rPr>
        <w:t>the</w:t>
      </w:r>
      <w:r w:rsidR="007B7640" w:rsidRPr="00CD59CC">
        <w:rPr>
          <w:rFonts w:ascii="Arial" w:hAnsi="Arial" w:cs="Arial"/>
        </w:rPr>
        <w:t xml:space="preserve"> </w:t>
      </w:r>
      <w:r w:rsidR="00E80DEC" w:rsidRPr="00CD59CC">
        <w:rPr>
          <w:rFonts w:ascii="Arial" w:hAnsi="Arial" w:cs="Arial"/>
        </w:rPr>
        <w:t>new</w:t>
      </w:r>
      <w:r w:rsidR="007B7640" w:rsidRPr="00CD59CC">
        <w:rPr>
          <w:rFonts w:ascii="Arial" w:hAnsi="Arial" w:cs="Arial"/>
        </w:rPr>
        <w:t xml:space="preserve"> </w:t>
      </w:r>
      <w:r w:rsidR="00E80DEC" w:rsidRPr="00CD59CC">
        <w:rPr>
          <w:rFonts w:ascii="Arial" w:hAnsi="Arial" w:cs="Arial"/>
        </w:rPr>
        <w:t>Penal</w:t>
      </w:r>
      <w:r w:rsidR="007B7640" w:rsidRPr="00CD59CC">
        <w:rPr>
          <w:rFonts w:ascii="Arial" w:hAnsi="Arial" w:cs="Arial"/>
        </w:rPr>
        <w:t xml:space="preserve"> </w:t>
      </w:r>
      <w:r w:rsidR="00E80DEC" w:rsidRPr="00CD59CC">
        <w:rPr>
          <w:rFonts w:ascii="Arial" w:hAnsi="Arial" w:cs="Arial"/>
        </w:rPr>
        <w:t>Code</w:t>
      </w:r>
      <w:r w:rsidR="007B7640" w:rsidRPr="00CD59CC">
        <w:rPr>
          <w:rFonts w:ascii="Arial" w:hAnsi="Arial" w:cs="Arial"/>
        </w:rPr>
        <w:t xml:space="preserve"> </w:t>
      </w:r>
      <w:r w:rsidR="00E80DEC" w:rsidRPr="00CD59CC">
        <w:rPr>
          <w:rFonts w:ascii="Arial" w:hAnsi="Arial" w:cs="Arial"/>
        </w:rPr>
        <w:t>(Act</w:t>
      </w:r>
      <w:r w:rsidR="007B7640" w:rsidRPr="00CD59CC">
        <w:rPr>
          <w:rFonts w:ascii="Arial" w:hAnsi="Arial" w:cs="Arial"/>
        </w:rPr>
        <w:t xml:space="preserve"> </w:t>
      </w:r>
      <w:r w:rsidR="00E80DEC" w:rsidRPr="00CD59CC">
        <w:rPr>
          <w:rFonts w:ascii="Arial" w:hAnsi="Arial" w:cs="Arial"/>
        </w:rPr>
        <w:t>C</w:t>
      </w:r>
      <w:r w:rsidR="007B7640" w:rsidRPr="00CD59CC">
        <w:rPr>
          <w:rFonts w:ascii="Arial" w:hAnsi="Arial" w:cs="Arial"/>
        </w:rPr>
        <w:t xml:space="preserve"> </w:t>
      </w:r>
      <w:r w:rsidR="00E80DEC" w:rsidRPr="00CD59CC">
        <w:rPr>
          <w:rFonts w:ascii="Arial" w:hAnsi="Arial" w:cs="Arial"/>
        </w:rPr>
        <w:t>of</w:t>
      </w:r>
      <w:r w:rsidR="007B7640" w:rsidRPr="00CD59CC">
        <w:rPr>
          <w:rFonts w:ascii="Arial" w:hAnsi="Arial" w:cs="Arial"/>
        </w:rPr>
        <w:t xml:space="preserve"> </w:t>
      </w:r>
      <w:r w:rsidR="00E80DEC" w:rsidRPr="00CD59CC">
        <w:rPr>
          <w:rFonts w:ascii="Arial" w:hAnsi="Arial" w:cs="Arial"/>
        </w:rPr>
        <w:t>2012),</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00E80DEC" w:rsidRPr="00CD59CC">
        <w:rPr>
          <w:rFonts w:ascii="Arial" w:hAnsi="Arial" w:cs="Arial"/>
        </w:rPr>
        <w:t>216</w:t>
      </w:r>
      <w:r w:rsidR="007B7640" w:rsidRPr="00CD59CC">
        <w:rPr>
          <w:rFonts w:ascii="Arial" w:hAnsi="Arial" w:cs="Arial"/>
        </w:rPr>
        <w:t xml:space="preserve"> </w:t>
      </w:r>
      <w:r w:rsidR="00E80DEC" w:rsidRPr="00CD59CC">
        <w:rPr>
          <w:rFonts w:ascii="Arial" w:hAnsi="Arial" w:cs="Arial"/>
        </w:rPr>
        <w:t>(1)</w:t>
      </w:r>
      <w:r w:rsidR="007B7640" w:rsidRPr="00CD59CC">
        <w:rPr>
          <w:rFonts w:ascii="Arial" w:hAnsi="Arial" w:cs="Arial"/>
        </w:rPr>
        <w:t xml:space="preserve"> </w:t>
      </w:r>
      <w:r w:rsidR="00E80DEC" w:rsidRPr="00CD59CC">
        <w:rPr>
          <w:rFonts w:ascii="Arial" w:hAnsi="Arial" w:cs="Arial"/>
        </w:rPr>
        <w:t>of</w:t>
      </w:r>
      <w:r w:rsidR="007B7640" w:rsidRPr="00CD59CC">
        <w:rPr>
          <w:rFonts w:ascii="Arial" w:hAnsi="Arial" w:cs="Arial"/>
        </w:rPr>
        <w:t xml:space="preserve"> </w:t>
      </w:r>
      <w:r w:rsidR="00E80DEC" w:rsidRPr="00CD59CC">
        <w:rPr>
          <w:rFonts w:ascii="Arial" w:hAnsi="Arial" w:cs="Arial"/>
        </w:rPr>
        <w:t>which</w:t>
      </w:r>
      <w:r w:rsidR="007B7640" w:rsidRPr="00CD59CC">
        <w:rPr>
          <w:rFonts w:ascii="Arial" w:hAnsi="Arial" w:cs="Arial"/>
        </w:rPr>
        <w:t xml:space="preserve"> </w:t>
      </w:r>
      <w:r w:rsidR="00E80DEC" w:rsidRPr="00CD59CC">
        <w:rPr>
          <w:rFonts w:ascii="Arial" w:hAnsi="Arial" w:cs="Arial"/>
        </w:rPr>
        <w:t>prescribes</w:t>
      </w:r>
      <w:r w:rsidR="007B7640" w:rsidRPr="00CD59CC">
        <w:rPr>
          <w:rFonts w:ascii="Arial" w:hAnsi="Arial" w:cs="Arial"/>
        </w:rPr>
        <w:t xml:space="preserve"> </w:t>
      </w:r>
      <w:r w:rsidR="00E80DEC"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behaves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flagrantly</w:t>
      </w:r>
      <w:r w:rsidR="007B7640" w:rsidRPr="00CD59CC">
        <w:rPr>
          <w:rFonts w:ascii="Arial" w:hAnsi="Arial" w:cs="Arial"/>
        </w:rPr>
        <w:t xml:space="preserve"> </w:t>
      </w:r>
      <w:r w:rsidRPr="00CD59CC">
        <w:rPr>
          <w:rFonts w:ascii="Arial" w:hAnsi="Arial" w:cs="Arial"/>
        </w:rPr>
        <w:t>anti-social</w:t>
      </w:r>
      <w:r w:rsidR="007B7640" w:rsidRPr="00CD59CC">
        <w:rPr>
          <w:rFonts w:ascii="Arial" w:hAnsi="Arial" w:cs="Arial"/>
        </w:rPr>
        <w:t xml:space="preserve"> </w:t>
      </w:r>
      <w:r w:rsidRPr="00CD59CC">
        <w:rPr>
          <w:rFonts w:ascii="Arial" w:hAnsi="Arial" w:cs="Arial"/>
        </w:rPr>
        <w:t>manner</w:t>
      </w:r>
      <w:r w:rsidR="007B7640" w:rsidRPr="00CD59CC">
        <w:rPr>
          <w:rFonts w:ascii="Arial" w:hAnsi="Arial" w:cs="Arial"/>
        </w:rPr>
        <w:t xml:space="preserve"> </w:t>
      </w:r>
      <w:r w:rsidRPr="00CD59CC">
        <w:rPr>
          <w:rFonts w:ascii="Arial" w:hAnsi="Arial" w:cs="Arial"/>
        </w:rPr>
        <w:t>capable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inciting</w:t>
      </w:r>
      <w:r w:rsidR="007B7640" w:rsidRPr="00CD59CC">
        <w:rPr>
          <w:rFonts w:ascii="Arial" w:hAnsi="Arial" w:cs="Arial"/>
        </w:rPr>
        <w:t xml:space="preserve"> </w:t>
      </w:r>
      <w:r w:rsidRPr="00CD59CC">
        <w:rPr>
          <w:rFonts w:ascii="Arial" w:hAnsi="Arial" w:cs="Arial"/>
        </w:rPr>
        <w:t>fear</w:t>
      </w:r>
      <w:r w:rsidR="007B7640" w:rsidRPr="00CD59CC">
        <w:rPr>
          <w:rFonts w:ascii="Arial" w:hAnsi="Arial" w:cs="Arial"/>
        </w:rPr>
        <w:t xml:space="preserve"> </w:t>
      </w:r>
      <w:r w:rsidRPr="00CD59CC">
        <w:rPr>
          <w:rFonts w:ascii="Arial" w:hAnsi="Arial" w:cs="Arial"/>
        </w:rPr>
        <w:t>vis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vis</w:t>
      </w:r>
      <w:r w:rsidR="007B7640" w:rsidRPr="00CD59CC">
        <w:rPr>
          <w:rFonts w:ascii="Arial" w:hAnsi="Arial" w:cs="Arial"/>
        </w:rPr>
        <w:t xml:space="preserve"> </w:t>
      </w:r>
      <w:r w:rsidRPr="00CD59CC">
        <w:rPr>
          <w:rFonts w:ascii="Arial" w:hAnsi="Arial" w:cs="Arial"/>
        </w:rPr>
        <w:t>another</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due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his/her</w:t>
      </w:r>
      <w:r w:rsidR="007B7640" w:rsidRPr="00CD59CC">
        <w:rPr>
          <w:rFonts w:ascii="Arial" w:hAnsi="Arial" w:cs="Arial"/>
        </w:rPr>
        <w:t xml:space="preserve"> </w:t>
      </w:r>
      <w:r w:rsidRPr="00CD59CC">
        <w:rPr>
          <w:rFonts w:ascii="Arial" w:hAnsi="Arial" w:cs="Arial"/>
        </w:rPr>
        <w:t>real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assumed</w:t>
      </w:r>
      <w:r w:rsidR="007B7640" w:rsidRPr="00CD59CC">
        <w:rPr>
          <w:rFonts w:ascii="Arial" w:hAnsi="Arial" w:cs="Arial"/>
        </w:rPr>
        <w:t xml:space="preserve"> </w:t>
      </w:r>
      <w:r w:rsidRPr="00CD59CC">
        <w:rPr>
          <w:rFonts w:ascii="Arial" w:hAnsi="Arial" w:cs="Arial"/>
        </w:rPr>
        <w:t>affiliation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religious</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society,</w:t>
      </w:r>
      <w:r w:rsidR="007B7640" w:rsidRPr="00CD59CC">
        <w:rPr>
          <w:rFonts w:ascii="Arial" w:hAnsi="Arial" w:cs="Arial"/>
        </w:rPr>
        <w:t xml:space="preserve"> </w:t>
      </w:r>
      <w:r w:rsidRPr="00CD59CC">
        <w:rPr>
          <w:rFonts w:ascii="Arial" w:hAnsi="Arial" w:cs="Arial"/>
        </w:rPr>
        <w:t>commits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criminal</w:t>
      </w:r>
      <w:r w:rsidR="007B7640" w:rsidRPr="00CD59CC">
        <w:rPr>
          <w:rFonts w:ascii="Arial" w:hAnsi="Arial" w:cs="Arial"/>
        </w:rPr>
        <w:t xml:space="preserve"> </w:t>
      </w:r>
      <w:r w:rsidRPr="00CD59CC">
        <w:rPr>
          <w:rFonts w:ascii="Arial" w:hAnsi="Arial" w:cs="Arial"/>
        </w:rPr>
        <w:t>offence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punishable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up</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three</w:t>
      </w:r>
      <w:r w:rsidR="007B7640" w:rsidRPr="00CD59CC">
        <w:rPr>
          <w:rFonts w:ascii="Arial" w:hAnsi="Arial" w:cs="Arial"/>
        </w:rPr>
        <w:t xml:space="preserve"> </w:t>
      </w:r>
      <w:r w:rsidRPr="00CD59CC">
        <w:rPr>
          <w:rFonts w:ascii="Arial" w:hAnsi="Arial" w:cs="Arial"/>
        </w:rPr>
        <w:t>years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imprisonment.</w:t>
      </w:r>
    </w:p>
    <w:p w14:paraId="52101B7C" w14:textId="77777777" w:rsidR="00E80DEC" w:rsidRPr="00CD59CC" w:rsidRDefault="00E80DEC" w:rsidP="00CD59CC">
      <w:pPr>
        <w:ind w:left="567" w:hanging="567"/>
        <w:rPr>
          <w:rFonts w:ascii="Arial" w:hAnsi="Arial" w:cs="Arial"/>
        </w:rPr>
      </w:pPr>
    </w:p>
    <w:p w14:paraId="4EFB49E0" w14:textId="77777777" w:rsidR="002B5BCD" w:rsidRPr="00CD59CC" w:rsidRDefault="002B5BCD" w:rsidP="00CD59CC">
      <w:pPr>
        <w:numPr>
          <w:ilvl w:val="0"/>
          <w:numId w:val="8"/>
        </w:numPr>
        <w:ind w:left="567" w:hanging="567"/>
        <w:rPr>
          <w:rFonts w:ascii="Arial" w:hAnsi="Arial" w:cs="Arial"/>
          <w:i/>
        </w:rPr>
      </w:pPr>
      <w:r w:rsidRPr="00CD59CC">
        <w:rPr>
          <w:rFonts w:ascii="Arial" w:hAnsi="Arial" w:cs="Arial"/>
          <w:i/>
        </w:rPr>
        <w:t>Is</w:t>
      </w:r>
      <w:r w:rsidR="007B7640" w:rsidRPr="00CD59CC">
        <w:rPr>
          <w:rFonts w:ascii="Arial" w:hAnsi="Arial" w:cs="Arial"/>
          <w:i/>
        </w:rPr>
        <w:t xml:space="preserve"> </w:t>
      </w:r>
      <w:r w:rsidRPr="00CD59CC">
        <w:rPr>
          <w:rFonts w:ascii="Arial" w:hAnsi="Arial" w:cs="Arial"/>
          <w:i/>
        </w:rPr>
        <w:t>harassment</w:t>
      </w:r>
      <w:r w:rsidR="007B7640" w:rsidRPr="00CD59CC">
        <w:rPr>
          <w:rFonts w:ascii="Arial" w:hAnsi="Arial" w:cs="Arial"/>
          <w:i/>
        </w:rPr>
        <w:t xml:space="preserve"> </w:t>
      </w:r>
      <w:r w:rsidRPr="00CD59CC">
        <w:rPr>
          <w:rFonts w:ascii="Arial" w:hAnsi="Arial" w:cs="Arial"/>
          <w:i/>
        </w:rPr>
        <w:t>prohibited</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form</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p>
    <w:p w14:paraId="194DEA72" w14:textId="77777777" w:rsidR="002B5BCD" w:rsidRPr="00CD59CC" w:rsidRDefault="002B5BCD" w:rsidP="00CD59CC">
      <w:pPr>
        <w:ind w:left="567" w:hanging="567"/>
        <w:rPr>
          <w:rFonts w:ascii="Arial" w:hAnsi="Arial" w:cs="Arial"/>
        </w:rPr>
      </w:pPr>
    </w:p>
    <w:p w14:paraId="5D27E99C" w14:textId="77777777" w:rsidR="00F91E22" w:rsidRPr="00CD59CC" w:rsidRDefault="00F91E22"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7</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enumerates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behaviours</w:t>
      </w:r>
      <w:r w:rsidR="007B7640" w:rsidRPr="00CD59CC">
        <w:rPr>
          <w:rFonts w:ascii="Arial" w:hAnsi="Arial" w:cs="Arial"/>
        </w:rPr>
        <w:t xml:space="preserve"> </w:t>
      </w:r>
      <w:r w:rsidRPr="00CD59CC">
        <w:rPr>
          <w:rFonts w:ascii="Arial" w:hAnsi="Arial" w:cs="Arial"/>
        </w:rPr>
        <w:t>violating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victimisation;</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enumerated</w:t>
      </w:r>
      <w:r w:rsidR="007B7640" w:rsidRPr="00CD59CC">
        <w:rPr>
          <w:rFonts w:ascii="Arial" w:hAnsi="Arial" w:cs="Arial"/>
        </w:rPr>
        <w:t xml:space="preserve"> </w:t>
      </w:r>
      <w:r w:rsidRPr="00CD59CC">
        <w:rPr>
          <w:rFonts w:ascii="Arial" w:hAnsi="Arial" w:cs="Arial"/>
        </w:rPr>
        <w:t>behaviours.</w:t>
      </w:r>
      <w:r w:rsidR="007B7640" w:rsidRPr="00CD59CC">
        <w:rPr>
          <w:rFonts w:ascii="Arial" w:hAnsi="Arial" w:cs="Arial"/>
        </w:rPr>
        <w:t xml:space="preserve"> </w:t>
      </w:r>
      <w:r w:rsidRPr="00CD59CC">
        <w:rPr>
          <w:rFonts w:ascii="Arial" w:hAnsi="Arial" w:cs="Arial"/>
        </w:rPr>
        <w:t>Thus,</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prohibited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form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p>
    <w:p w14:paraId="5F39E97A" w14:textId="77777777" w:rsidR="00F91E22" w:rsidRPr="00CD59CC" w:rsidRDefault="00F91E22" w:rsidP="00CD59CC">
      <w:pPr>
        <w:ind w:left="567" w:hanging="567"/>
        <w:rPr>
          <w:rFonts w:ascii="Arial" w:hAnsi="Arial" w:cs="Arial"/>
        </w:rPr>
      </w:pPr>
    </w:p>
    <w:p w14:paraId="4BBEC510" w14:textId="77777777" w:rsidR="002B5BCD" w:rsidRPr="00CD59CC" w:rsidRDefault="002B5BCD" w:rsidP="00CD59CC">
      <w:pPr>
        <w:numPr>
          <w:ilvl w:val="0"/>
          <w:numId w:val="8"/>
        </w:numPr>
        <w:ind w:left="567" w:hanging="567"/>
        <w:rPr>
          <w:rFonts w:ascii="Arial" w:hAnsi="Arial" w:cs="Arial"/>
          <w:i/>
        </w:rPr>
      </w:pPr>
      <w:r w:rsidRPr="00CD59CC">
        <w:rPr>
          <w:rFonts w:ascii="Arial" w:hAnsi="Arial" w:cs="Arial"/>
          <w:i/>
        </w:rPr>
        <w:t>Are</w:t>
      </w:r>
      <w:r w:rsidR="007B7640" w:rsidRPr="00CD59CC">
        <w:rPr>
          <w:rFonts w:ascii="Arial" w:hAnsi="Arial" w:cs="Arial"/>
          <w:i/>
        </w:rPr>
        <w:t xml:space="preserve"> </w:t>
      </w:r>
      <w:r w:rsidRPr="00CD59CC">
        <w:rPr>
          <w:rFonts w:ascii="Arial" w:hAnsi="Arial" w:cs="Arial"/>
          <w:i/>
        </w:rPr>
        <w:t>there</w:t>
      </w:r>
      <w:r w:rsidR="007B7640" w:rsidRPr="00CD59CC">
        <w:rPr>
          <w:rFonts w:ascii="Arial" w:hAnsi="Arial" w:cs="Arial"/>
          <w:i/>
        </w:rPr>
        <w:t xml:space="preserve"> </w:t>
      </w:r>
      <w:r w:rsidRPr="00CD59CC">
        <w:rPr>
          <w:rFonts w:ascii="Arial" w:hAnsi="Arial" w:cs="Arial"/>
          <w:i/>
        </w:rPr>
        <w:t>any</w:t>
      </w:r>
      <w:r w:rsidR="007B7640" w:rsidRPr="00CD59CC">
        <w:rPr>
          <w:rFonts w:ascii="Arial" w:hAnsi="Arial" w:cs="Arial"/>
          <w:i/>
        </w:rPr>
        <w:t xml:space="preserve"> </w:t>
      </w:r>
      <w:r w:rsidRPr="00CD59CC">
        <w:rPr>
          <w:rFonts w:ascii="Arial" w:hAnsi="Arial" w:cs="Arial"/>
          <w:i/>
        </w:rPr>
        <w:t>additional</w:t>
      </w:r>
      <w:r w:rsidR="007B7640" w:rsidRPr="00CD59CC">
        <w:rPr>
          <w:rFonts w:ascii="Arial" w:hAnsi="Arial" w:cs="Arial"/>
          <w:i/>
        </w:rPr>
        <w:t xml:space="preserve"> </w:t>
      </w:r>
      <w:r w:rsidRPr="00CD59CC">
        <w:rPr>
          <w:rFonts w:ascii="Arial" w:hAnsi="Arial" w:cs="Arial"/>
          <w:i/>
        </w:rPr>
        <w:t>sources</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concept</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harassment</w:t>
      </w:r>
      <w:r w:rsidR="007B7640" w:rsidRPr="00CD59CC">
        <w:rPr>
          <w:rFonts w:ascii="Arial" w:hAnsi="Arial" w:cs="Arial"/>
          <w:i/>
        </w:rPr>
        <w:t xml:space="preserve"> </w:t>
      </w:r>
      <w:r w:rsidRPr="00CD59CC">
        <w:rPr>
          <w:rFonts w:ascii="Arial" w:hAnsi="Arial" w:cs="Arial"/>
          <w:i/>
        </w:rPr>
        <w:t>(e.g.</w:t>
      </w:r>
      <w:r w:rsidR="007B7640" w:rsidRPr="00CD59CC">
        <w:rPr>
          <w:rFonts w:ascii="Arial" w:hAnsi="Arial" w:cs="Arial"/>
          <w:i/>
        </w:rPr>
        <w:t xml:space="preserve"> </w:t>
      </w:r>
      <w:r w:rsidRPr="00CD59CC">
        <w:rPr>
          <w:rFonts w:ascii="Arial" w:hAnsi="Arial" w:cs="Arial"/>
          <w:i/>
        </w:rPr>
        <w:t>an</w:t>
      </w:r>
      <w:r w:rsidR="007B7640" w:rsidRPr="00CD59CC">
        <w:rPr>
          <w:rFonts w:ascii="Arial" w:hAnsi="Arial" w:cs="Arial"/>
          <w:i/>
        </w:rPr>
        <w:t xml:space="preserve"> </w:t>
      </w:r>
      <w:r w:rsidRPr="00CD59CC">
        <w:rPr>
          <w:rFonts w:ascii="Arial" w:hAnsi="Arial" w:cs="Arial"/>
          <w:i/>
        </w:rPr>
        <w:t>official</w:t>
      </w:r>
      <w:r w:rsidR="007B7640" w:rsidRPr="00CD59CC">
        <w:rPr>
          <w:rFonts w:ascii="Arial" w:hAnsi="Arial" w:cs="Arial"/>
          <w:i/>
        </w:rPr>
        <w:t xml:space="preserve"> </w:t>
      </w:r>
      <w:r w:rsidRPr="00CD59CC">
        <w:rPr>
          <w:rFonts w:ascii="Arial" w:hAnsi="Arial" w:cs="Arial"/>
          <w:i/>
        </w:rPr>
        <w:t>Code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Practice)?</w:t>
      </w:r>
    </w:p>
    <w:p w14:paraId="709AC52F" w14:textId="77777777" w:rsidR="002B5BCD" w:rsidRPr="00CD59CC" w:rsidRDefault="002B5BCD" w:rsidP="00BB4E9F">
      <w:pPr>
        <w:pStyle w:val="ListParagraph"/>
        <w:rPr>
          <w:rFonts w:ascii="Arial" w:hAnsi="Arial" w:cs="Arial"/>
          <w:i/>
        </w:rPr>
      </w:pPr>
    </w:p>
    <w:p w14:paraId="7C8B9C20" w14:textId="77777777" w:rsidR="00F91E22" w:rsidRPr="00CD59CC" w:rsidRDefault="00F91E22" w:rsidP="00CD59CC">
      <w:pPr>
        <w:rPr>
          <w:rFonts w:ascii="Arial" w:hAnsi="Arial" w:cs="Arial"/>
        </w:rPr>
      </w:pPr>
      <w:r w:rsidRPr="00CD59CC">
        <w:rPr>
          <w:rFonts w:ascii="Arial" w:hAnsi="Arial" w:cs="Arial"/>
        </w:rPr>
        <w:t>No</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official</w:t>
      </w:r>
      <w:r w:rsidR="007B7640" w:rsidRPr="00CD59CC">
        <w:rPr>
          <w:rFonts w:ascii="Arial" w:hAnsi="Arial" w:cs="Arial"/>
        </w:rPr>
        <w:t xml:space="preserve"> </w:t>
      </w:r>
      <w:r w:rsidRPr="00CD59CC">
        <w:rPr>
          <w:rFonts w:ascii="Arial" w:hAnsi="Arial" w:cs="Arial"/>
        </w:rPr>
        <w:t>codes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practice</w:t>
      </w:r>
      <w:r w:rsidR="007B7640" w:rsidRPr="00CD59CC">
        <w:rPr>
          <w:rFonts w:ascii="Arial" w:hAnsi="Arial" w:cs="Arial"/>
        </w:rPr>
        <w:t xml:space="preserve"> </w:t>
      </w:r>
      <w:r w:rsidRPr="00CD59CC">
        <w:rPr>
          <w:rFonts w:ascii="Arial" w:hAnsi="Arial" w:cs="Arial"/>
        </w:rPr>
        <w:t>exist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Hungary.</w:t>
      </w:r>
    </w:p>
    <w:p w14:paraId="12F161CD" w14:textId="77777777" w:rsidR="00F91E22" w:rsidRPr="00CD59CC" w:rsidRDefault="00F91E22" w:rsidP="00BB4E9F">
      <w:pPr>
        <w:pStyle w:val="ListParagraph"/>
        <w:rPr>
          <w:rFonts w:ascii="Arial" w:hAnsi="Arial" w:cs="Arial"/>
          <w:i/>
        </w:rPr>
      </w:pPr>
    </w:p>
    <w:p w14:paraId="5141B7C9" w14:textId="65CAE311" w:rsidR="002B5BCD" w:rsidRPr="00CD59CC" w:rsidRDefault="002B5BCD" w:rsidP="00CD59CC">
      <w:pPr>
        <w:numPr>
          <w:ilvl w:val="0"/>
          <w:numId w:val="8"/>
        </w:numPr>
        <w:ind w:left="567" w:hanging="567"/>
        <w:rPr>
          <w:rFonts w:ascii="Arial" w:hAnsi="Arial" w:cs="Arial"/>
          <w:i/>
        </w:rPr>
      </w:pPr>
      <w:r w:rsidRPr="00CD59CC">
        <w:rPr>
          <w:rFonts w:ascii="Arial" w:hAnsi="Arial" w:cs="Arial"/>
          <w:i/>
        </w:rPr>
        <w:t>What</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scope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liability</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Specifically,</w:t>
      </w:r>
      <w:r w:rsidR="007B7640" w:rsidRPr="00CD59CC">
        <w:rPr>
          <w:rFonts w:ascii="Arial" w:hAnsi="Arial" w:cs="Arial"/>
          <w:i/>
        </w:rPr>
        <w:t xml:space="preserve"> </w:t>
      </w:r>
      <w:r w:rsidRPr="00CD59CC">
        <w:rPr>
          <w:rFonts w:ascii="Arial" w:hAnsi="Arial" w:cs="Arial"/>
          <w:i/>
        </w:rPr>
        <w:t>can</w:t>
      </w:r>
      <w:r w:rsidR="007B7640" w:rsidRPr="00CD59CC">
        <w:rPr>
          <w:rFonts w:ascii="Arial" w:hAnsi="Arial" w:cs="Arial"/>
          <w:i/>
        </w:rPr>
        <w:t xml:space="preserve"> </w:t>
      </w:r>
      <w:r w:rsidRPr="00CD59CC">
        <w:rPr>
          <w:rFonts w:ascii="Arial" w:hAnsi="Arial" w:cs="Arial"/>
          <w:i/>
        </w:rPr>
        <w:t>employers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00852908" w:rsidRPr="00CD59CC">
        <w:rPr>
          <w:rFonts w:ascii="Arial" w:hAnsi="Arial" w:cs="Arial"/>
          <w:i/>
        </w:rPr>
        <w:t>service</w:t>
      </w:r>
      <w:r w:rsidR="007B7640" w:rsidRPr="00CD59CC">
        <w:rPr>
          <w:rFonts w:ascii="Arial" w:hAnsi="Arial" w:cs="Arial"/>
          <w:i/>
        </w:rPr>
        <w:t xml:space="preserve"> </w:t>
      </w:r>
      <w:r w:rsidR="00852908" w:rsidRPr="00CD59CC">
        <w:rPr>
          <w:rFonts w:ascii="Arial" w:hAnsi="Arial" w:cs="Arial"/>
          <w:i/>
        </w:rPr>
        <w:t>providers</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case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racial</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ethnic</w:t>
      </w:r>
      <w:r w:rsidR="007B7640" w:rsidRPr="00CD59CC">
        <w:rPr>
          <w:rFonts w:ascii="Arial" w:hAnsi="Arial" w:cs="Arial"/>
          <w:i/>
        </w:rPr>
        <w:t xml:space="preserve"> </w:t>
      </w:r>
      <w:r w:rsidRPr="00CD59CC">
        <w:rPr>
          <w:rFonts w:ascii="Arial" w:hAnsi="Arial" w:cs="Arial"/>
          <w:i/>
        </w:rPr>
        <w:t>origin,</w:t>
      </w:r>
      <w:r w:rsidR="007B7640" w:rsidRPr="00CD59CC">
        <w:rPr>
          <w:rFonts w:ascii="Arial" w:hAnsi="Arial" w:cs="Arial"/>
          <w:i/>
        </w:rPr>
        <w:t xml:space="preserve"> </w:t>
      </w:r>
      <w:r w:rsidRPr="00CD59CC">
        <w:rPr>
          <w:rFonts w:ascii="Arial" w:hAnsi="Arial" w:cs="Arial"/>
          <w:i/>
        </w:rPr>
        <w:t>but</w:t>
      </w:r>
      <w:r w:rsidR="007B7640" w:rsidRPr="00CD59CC">
        <w:rPr>
          <w:rFonts w:ascii="Arial" w:hAnsi="Arial" w:cs="Arial"/>
          <w:i/>
        </w:rPr>
        <w:t xml:space="preserve"> </w:t>
      </w:r>
      <w:r w:rsidRPr="00CD59CC">
        <w:rPr>
          <w:rFonts w:ascii="Arial" w:hAnsi="Arial" w:cs="Arial"/>
          <w:i/>
        </w:rPr>
        <w:t>please</w:t>
      </w:r>
      <w:r w:rsidR="007B7640" w:rsidRPr="00CD59CC">
        <w:rPr>
          <w:rFonts w:ascii="Arial" w:hAnsi="Arial" w:cs="Arial"/>
          <w:i/>
        </w:rPr>
        <w:t xml:space="preserve"> </w:t>
      </w:r>
      <w:r w:rsidRPr="00CD59CC">
        <w:rPr>
          <w:rFonts w:ascii="Arial" w:hAnsi="Arial" w:cs="Arial"/>
          <w:i/>
        </w:rPr>
        <w:t>also</w:t>
      </w:r>
      <w:r w:rsidR="007B7640" w:rsidRPr="00CD59CC">
        <w:rPr>
          <w:rFonts w:ascii="Arial" w:hAnsi="Arial" w:cs="Arial"/>
          <w:i/>
        </w:rPr>
        <w:t xml:space="preserve"> </w:t>
      </w:r>
      <w:r w:rsidRPr="00CD59CC">
        <w:rPr>
          <w:rFonts w:ascii="Arial" w:hAnsi="Arial" w:cs="Arial"/>
          <w:i/>
        </w:rPr>
        <w:t>look</w:t>
      </w:r>
      <w:r w:rsidR="007B7640" w:rsidRPr="00CD59CC">
        <w:rPr>
          <w:rFonts w:ascii="Arial" w:hAnsi="Arial" w:cs="Arial"/>
          <w:i/>
        </w:rPr>
        <w:t xml:space="preserve"> </w:t>
      </w:r>
      <w:r w:rsidRPr="00CD59CC">
        <w:rPr>
          <w:rFonts w:ascii="Arial" w:hAnsi="Arial" w:cs="Arial"/>
          <w:i/>
        </w:rPr>
        <w:t>at</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other</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e.g.</w:t>
      </w:r>
      <w:r w:rsidR="007B7640" w:rsidRPr="00CD59CC">
        <w:rPr>
          <w:rFonts w:ascii="Arial" w:hAnsi="Arial" w:cs="Arial"/>
          <w:i/>
        </w:rPr>
        <w:t xml:space="preserve"> </w:t>
      </w:r>
      <w:r w:rsidRPr="00CD59CC">
        <w:rPr>
          <w:rFonts w:ascii="Arial" w:hAnsi="Arial" w:cs="Arial"/>
          <w:i/>
        </w:rPr>
        <w:t>landlords,</w:t>
      </w:r>
      <w:r w:rsidR="007B7640" w:rsidRPr="00CD59CC">
        <w:rPr>
          <w:rFonts w:ascii="Arial" w:hAnsi="Arial" w:cs="Arial"/>
          <w:i/>
        </w:rPr>
        <w:t xml:space="preserve"> </w:t>
      </w:r>
      <w:r w:rsidRPr="00CD59CC">
        <w:rPr>
          <w:rFonts w:ascii="Arial" w:hAnsi="Arial" w:cs="Arial"/>
          <w:i/>
        </w:rPr>
        <w:t>schools,</w:t>
      </w:r>
      <w:r w:rsidR="007B7640" w:rsidRPr="00CD59CC">
        <w:rPr>
          <w:rFonts w:ascii="Arial" w:hAnsi="Arial" w:cs="Arial"/>
          <w:i/>
        </w:rPr>
        <w:t xml:space="preserve"> </w:t>
      </w:r>
      <w:r w:rsidRPr="00CD59CC">
        <w:rPr>
          <w:rFonts w:ascii="Arial" w:hAnsi="Arial" w:cs="Arial"/>
          <w:i/>
        </w:rPr>
        <w:t>hospitals</w:t>
      </w:r>
      <w:r w:rsidR="00F43211" w:rsidRPr="00CD59CC">
        <w:rPr>
          <w:rFonts w:ascii="Arial" w:hAnsi="Arial" w:cs="Arial"/>
          <w:i/>
        </w:rPr>
        <w:t>,</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held</w:t>
      </w:r>
      <w:r w:rsidR="007B7640" w:rsidRPr="00CD59CC">
        <w:rPr>
          <w:rFonts w:ascii="Arial" w:hAnsi="Arial" w:cs="Arial"/>
          <w:i/>
        </w:rPr>
        <w:t xml:space="preserve"> </w:t>
      </w:r>
      <w:r w:rsidRPr="00CD59CC">
        <w:rPr>
          <w:rFonts w:ascii="Arial" w:hAnsi="Arial" w:cs="Arial"/>
          <w:i/>
        </w:rPr>
        <w:t>liable</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actions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employees?</w:t>
      </w:r>
      <w:r w:rsidR="007B7640" w:rsidRPr="00CD59CC">
        <w:rPr>
          <w:rFonts w:ascii="Arial" w:hAnsi="Arial" w:cs="Arial"/>
          <w:i/>
        </w:rPr>
        <w:t xml:space="preserve"> </w:t>
      </w:r>
      <w:r w:rsidRPr="00CD59CC">
        <w:rPr>
          <w:rFonts w:ascii="Arial" w:hAnsi="Arial" w:cs="Arial"/>
          <w:i/>
        </w:rPr>
        <w:t>Can</w:t>
      </w:r>
      <w:r w:rsidR="007B7640" w:rsidRPr="00CD59CC">
        <w:rPr>
          <w:rFonts w:ascii="Arial" w:hAnsi="Arial" w:cs="Arial"/>
          <w:i/>
        </w:rPr>
        <w:t xml:space="preserve"> </w:t>
      </w:r>
      <w:r w:rsidRPr="00CD59CC">
        <w:rPr>
          <w:rFonts w:ascii="Arial" w:hAnsi="Arial" w:cs="Arial"/>
          <w:i/>
        </w:rPr>
        <w:t>they</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held</w:t>
      </w:r>
      <w:r w:rsidR="007B7640" w:rsidRPr="00CD59CC">
        <w:rPr>
          <w:rFonts w:ascii="Arial" w:hAnsi="Arial" w:cs="Arial"/>
          <w:i/>
        </w:rPr>
        <w:t xml:space="preserve"> </w:t>
      </w:r>
      <w:r w:rsidRPr="00CD59CC">
        <w:rPr>
          <w:rFonts w:ascii="Arial" w:hAnsi="Arial" w:cs="Arial"/>
          <w:i/>
        </w:rPr>
        <w:t>liable</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actions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third</w:t>
      </w:r>
      <w:r w:rsidR="007B7640" w:rsidRPr="00CD59CC">
        <w:rPr>
          <w:rFonts w:ascii="Arial" w:hAnsi="Arial" w:cs="Arial"/>
          <w:i/>
        </w:rPr>
        <w:t xml:space="preserve"> </w:t>
      </w:r>
      <w:r w:rsidRPr="00CD59CC">
        <w:rPr>
          <w:rFonts w:ascii="Arial" w:hAnsi="Arial" w:cs="Arial"/>
          <w:i/>
        </w:rPr>
        <w:t>parties</w:t>
      </w:r>
      <w:r w:rsidR="007B7640" w:rsidRPr="00CD59CC">
        <w:rPr>
          <w:rFonts w:ascii="Arial" w:hAnsi="Arial" w:cs="Arial"/>
          <w:i/>
        </w:rPr>
        <w:t xml:space="preserve"> </w:t>
      </w:r>
      <w:r w:rsidRPr="00CD59CC">
        <w:rPr>
          <w:rFonts w:ascii="Arial" w:hAnsi="Arial" w:cs="Arial"/>
          <w:i/>
        </w:rPr>
        <w:t>(e.g.</w:t>
      </w:r>
      <w:r w:rsidR="007B7640" w:rsidRPr="00CD59CC">
        <w:rPr>
          <w:rFonts w:ascii="Arial" w:hAnsi="Arial" w:cs="Arial"/>
          <w:i/>
        </w:rPr>
        <w:t xml:space="preserve"> </w:t>
      </w:r>
      <w:r w:rsidRPr="00CD59CC">
        <w:rPr>
          <w:rFonts w:ascii="Arial" w:hAnsi="Arial" w:cs="Arial"/>
          <w:i/>
        </w:rPr>
        <w:t>tenants,</w:t>
      </w:r>
      <w:r w:rsidR="007B7640" w:rsidRPr="00CD59CC">
        <w:rPr>
          <w:rFonts w:ascii="Arial" w:hAnsi="Arial" w:cs="Arial"/>
          <w:i/>
        </w:rPr>
        <w:t xml:space="preserve"> </w:t>
      </w:r>
      <w:r w:rsidRPr="00CD59CC">
        <w:rPr>
          <w:rFonts w:ascii="Arial" w:hAnsi="Arial" w:cs="Arial"/>
          <w:i/>
        </w:rPr>
        <w:t>clients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customers)?</w:t>
      </w:r>
      <w:r w:rsidR="007B7640" w:rsidRPr="00CD59CC">
        <w:rPr>
          <w:rFonts w:ascii="Arial" w:hAnsi="Arial" w:cs="Arial"/>
          <w:i/>
        </w:rPr>
        <w:t xml:space="preserve"> </w:t>
      </w:r>
      <w:r w:rsidRPr="00CD59CC">
        <w:rPr>
          <w:rFonts w:ascii="Arial" w:hAnsi="Arial" w:cs="Arial"/>
          <w:i/>
        </w:rPr>
        <w:t>Can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individual</w:t>
      </w:r>
      <w:r w:rsidR="007B7640" w:rsidRPr="00CD59CC">
        <w:rPr>
          <w:rFonts w:ascii="Arial" w:hAnsi="Arial" w:cs="Arial"/>
          <w:i/>
        </w:rPr>
        <w:t xml:space="preserve"> </w:t>
      </w:r>
      <w:r w:rsidRPr="00CD59CC">
        <w:rPr>
          <w:rFonts w:ascii="Arial" w:hAnsi="Arial" w:cs="Arial"/>
          <w:i/>
        </w:rPr>
        <w:t>harasser</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discriminator</w:t>
      </w:r>
      <w:r w:rsidR="007B7640" w:rsidRPr="00CD59CC">
        <w:rPr>
          <w:rFonts w:ascii="Arial" w:hAnsi="Arial" w:cs="Arial"/>
          <w:i/>
        </w:rPr>
        <w:t xml:space="preserve"> </w:t>
      </w:r>
      <w:r w:rsidRPr="00CD59CC">
        <w:rPr>
          <w:rFonts w:ascii="Arial" w:hAnsi="Arial" w:cs="Arial"/>
          <w:i/>
        </w:rPr>
        <w:t>(e.g.</w:t>
      </w:r>
      <w:r w:rsidR="007B7640" w:rsidRPr="00CD59CC">
        <w:rPr>
          <w:rFonts w:ascii="Arial" w:hAnsi="Arial" w:cs="Arial"/>
          <w:i/>
        </w:rPr>
        <w:t xml:space="preserve"> </w:t>
      </w:r>
      <w:r w:rsidRPr="00CD59CC">
        <w:rPr>
          <w:rFonts w:ascii="Arial" w:hAnsi="Arial" w:cs="Arial"/>
          <w:i/>
        </w:rPr>
        <w:t>co-worker</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client)</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held</w:t>
      </w:r>
      <w:r w:rsidR="007B7640" w:rsidRPr="00CD59CC">
        <w:rPr>
          <w:rFonts w:ascii="Arial" w:hAnsi="Arial" w:cs="Arial"/>
          <w:i/>
        </w:rPr>
        <w:t xml:space="preserve"> </w:t>
      </w:r>
      <w:r w:rsidRPr="00CD59CC">
        <w:rPr>
          <w:rFonts w:ascii="Arial" w:hAnsi="Arial" w:cs="Arial"/>
          <w:i/>
        </w:rPr>
        <w:t>liable?</w:t>
      </w:r>
      <w:r w:rsidR="007B7640" w:rsidRPr="00CD59CC">
        <w:rPr>
          <w:rFonts w:ascii="Arial" w:hAnsi="Arial" w:cs="Arial"/>
          <w:i/>
        </w:rPr>
        <w:t xml:space="preserve"> </w:t>
      </w:r>
      <w:r w:rsidRPr="00CD59CC">
        <w:rPr>
          <w:rFonts w:ascii="Arial" w:hAnsi="Arial" w:cs="Arial"/>
          <w:i/>
        </w:rPr>
        <w:t>Can</w:t>
      </w:r>
      <w:r w:rsidR="007B7640" w:rsidRPr="00CD59CC">
        <w:rPr>
          <w:rFonts w:ascii="Arial" w:hAnsi="Arial" w:cs="Arial"/>
          <w:i/>
        </w:rPr>
        <w:t xml:space="preserve"> </w:t>
      </w:r>
      <w:r w:rsidRPr="00CD59CC">
        <w:rPr>
          <w:rFonts w:ascii="Arial" w:hAnsi="Arial" w:cs="Arial"/>
          <w:i/>
        </w:rPr>
        <w:t>trade</w:t>
      </w:r>
      <w:r w:rsidR="007B7640" w:rsidRPr="00CD59CC">
        <w:rPr>
          <w:rFonts w:ascii="Arial" w:hAnsi="Arial" w:cs="Arial"/>
          <w:i/>
        </w:rPr>
        <w:t xml:space="preserve"> </w:t>
      </w:r>
      <w:r w:rsidRPr="00CD59CC">
        <w:rPr>
          <w:rFonts w:ascii="Arial" w:hAnsi="Arial" w:cs="Arial"/>
          <w:i/>
        </w:rPr>
        <w:t>unions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other</w:t>
      </w:r>
      <w:r w:rsidR="007B7640" w:rsidRPr="00CD59CC">
        <w:rPr>
          <w:rFonts w:ascii="Arial" w:hAnsi="Arial" w:cs="Arial"/>
          <w:i/>
        </w:rPr>
        <w:t xml:space="preserve"> </w:t>
      </w:r>
      <w:r w:rsidRPr="00CD59CC">
        <w:rPr>
          <w:rFonts w:ascii="Arial" w:hAnsi="Arial" w:cs="Arial"/>
          <w:i/>
        </w:rPr>
        <w:t>trade/professional</w:t>
      </w:r>
      <w:r w:rsidR="007B7640" w:rsidRPr="00CD59CC">
        <w:rPr>
          <w:rFonts w:ascii="Arial" w:hAnsi="Arial" w:cs="Arial"/>
          <w:i/>
        </w:rPr>
        <w:t xml:space="preserve"> </w:t>
      </w:r>
      <w:r w:rsidRPr="00CD59CC">
        <w:rPr>
          <w:rFonts w:ascii="Arial" w:hAnsi="Arial" w:cs="Arial"/>
          <w:i/>
        </w:rPr>
        <w:t>associations</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held</w:t>
      </w:r>
      <w:r w:rsidR="007B7640" w:rsidRPr="00CD59CC">
        <w:rPr>
          <w:rFonts w:ascii="Arial" w:hAnsi="Arial" w:cs="Arial"/>
          <w:i/>
        </w:rPr>
        <w:t xml:space="preserve"> </w:t>
      </w:r>
      <w:r w:rsidRPr="00CD59CC">
        <w:rPr>
          <w:rFonts w:ascii="Arial" w:hAnsi="Arial" w:cs="Arial"/>
          <w:i/>
        </w:rPr>
        <w:t>liable</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actions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their</w:t>
      </w:r>
      <w:r w:rsidR="007B7640" w:rsidRPr="00CD59CC">
        <w:rPr>
          <w:rFonts w:ascii="Arial" w:hAnsi="Arial" w:cs="Arial"/>
          <w:i/>
        </w:rPr>
        <w:t xml:space="preserve"> </w:t>
      </w:r>
      <w:r w:rsidRPr="00CD59CC">
        <w:rPr>
          <w:rFonts w:ascii="Arial" w:hAnsi="Arial" w:cs="Arial"/>
          <w:i/>
        </w:rPr>
        <w:t>members?</w:t>
      </w:r>
    </w:p>
    <w:p w14:paraId="61346A57" w14:textId="77777777" w:rsidR="002B5BCD" w:rsidRPr="00CD59CC" w:rsidRDefault="002B5BCD" w:rsidP="00CD59CC">
      <w:pPr>
        <w:rPr>
          <w:rFonts w:ascii="Arial" w:hAnsi="Arial" w:cs="Arial"/>
        </w:rPr>
      </w:pPr>
    </w:p>
    <w:p w14:paraId="32E08105" w14:textId="50DF983F" w:rsidR="00F91E22" w:rsidRPr="00CD59CC" w:rsidRDefault="00F91E22" w:rsidP="00CD59CC">
      <w:pPr>
        <w:rPr>
          <w:rFonts w:ascii="Arial" w:hAnsi="Arial" w:cs="Arial"/>
        </w:rPr>
      </w:pPr>
      <w:r w:rsidRPr="00CD59CC">
        <w:rPr>
          <w:rFonts w:ascii="Arial" w:hAnsi="Arial" w:cs="Arial"/>
        </w:rPr>
        <w:lastRenderedPageBreak/>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348</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workers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held</w:t>
      </w:r>
      <w:r w:rsidR="007B7640" w:rsidRPr="00CD59CC">
        <w:rPr>
          <w:rFonts w:ascii="Arial" w:hAnsi="Arial" w:cs="Arial"/>
        </w:rPr>
        <w:t xml:space="preserve"> </w:t>
      </w:r>
      <w:r w:rsidRPr="00CD59CC">
        <w:rPr>
          <w:rFonts w:ascii="Arial" w:hAnsi="Arial" w:cs="Arial"/>
        </w:rPr>
        <w:t>liable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caused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employees.</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sought</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given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him/her</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another</w:t>
      </w:r>
      <w:r w:rsidR="007B7640" w:rsidRPr="00CD59CC">
        <w:rPr>
          <w:rFonts w:ascii="Arial" w:hAnsi="Arial" w:cs="Arial"/>
        </w:rPr>
        <w:t xml:space="preserve"> </w:t>
      </w:r>
      <w:r w:rsidRPr="00CD59CC">
        <w:rPr>
          <w:rFonts w:ascii="Arial" w:hAnsi="Arial" w:cs="Arial"/>
        </w:rPr>
        <w:t>superior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employee.</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preferential</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victim,</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need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consider</w:t>
      </w:r>
      <w:r w:rsidR="007B7640" w:rsidRPr="00CD59CC">
        <w:rPr>
          <w:rFonts w:ascii="Arial" w:hAnsi="Arial" w:cs="Arial"/>
        </w:rPr>
        <w:t xml:space="preserve"> </w:t>
      </w:r>
      <w:r w:rsidRPr="00CD59CC">
        <w:rPr>
          <w:rFonts w:ascii="Arial" w:hAnsi="Arial" w:cs="Arial"/>
        </w:rPr>
        <w:t>whether</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employee</w:t>
      </w:r>
      <w:r w:rsidR="007B7640" w:rsidRPr="00CD59CC">
        <w:rPr>
          <w:rFonts w:ascii="Arial" w:hAnsi="Arial" w:cs="Arial"/>
        </w:rPr>
        <w:t xml:space="preserve"> </w:t>
      </w:r>
      <w:r w:rsidRPr="00CD59CC">
        <w:rPr>
          <w:rFonts w:ascii="Arial" w:hAnsi="Arial" w:cs="Arial"/>
        </w:rPr>
        <w:t>acted</w:t>
      </w:r>
      <w:r w:rsidR="007B7640" w:rsidRPr="00CD59CC">
        <w:rPr>
          <w:rFonts w:ascii="Arial" w:hAnsi="Arial" w:cs="Arial"/>
        </w:rPr>
        <w:t xml:space="preserve"> </w:t>
      </w:r>
      <w:r w:rsidRPr="00CD59CC">
        <w:rPr>
          <w:rFonts w:ascii="Arial" w:hAnsi="Arial" w:cs="Arial"/>
        </w:rPr>
        <w:t>upon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his/her</w:t>
      </w:r>
      <w:r w:rsidR="007B7640" w:rsidRPr="00CD59CC">
        <w:rPr>
          <w:rFonts w:ascii="Arial" w:hAnsi="Arial" w:cs="Arial"/>
        </w:rPr>
        <w:t xml:space="preserve"> </w:t>
      </w:r>
      <w:r w:rsidRPr="00CD59CC">
        <w:rPr>
          <w:rFonts w:ascii="Arial" w:hAnsi="Arial" w:cs="Arial"/>
        </w:rPr>
        <w:t>own</w:t>
      </w:r>
      <w:r w:rsidR="007B7640" w:rsidRPr="00CD59CC">
        <w:rPr>
          <w:rFonts w:ascii="Arial" w:hAnsi="Arial" w:cs="Arial"/>
        </w:rPr>
        <w:t xml:space="preserve"> </w:t>
      </w:r>
      <w:r w:rsidRPr="00CD59CC">
        <w:rPr>
          <w:rFonts w:ascii="Arial" w:hAnsi="Arial" w:cs="Arial"/>
        </w:rPr>
        <w:t>initiative.</w:t>
      </w:r>
    </w:p>
    <w:p w14:paraId="69C2687E" w14:textId="77777777" w:rsidR="00F91E22" w:rsidRPr="00CD59CC" w:rsidRDefault="00F91E22" w:rsidP="00CD59CC">
      <w:pPr>
        <w:rPr>
          <w:rFonts w:ascii="Arial" w:hAnsi="Arial" w:cs="Arial"/>
        </w:rPr>
      </w:pPr>
    </w:p>
    <w:p w14:paraId="622F9525" w14:textId="77777777" w:rsidR="00F91E22" w:rsidRPr="00CD59CC" w:rsidRDefault="00F91E22" w:rsidP="00CD59CC">
      <w:pPr>
        <w:rPr>
          <w:rFonts w:ascii="Arial" w:hAnsi="Arial" w:cs="Arial"/>
        </w:rPr>
      </w:pPr>
      <w:r w:rsidRPr="00CD59CC">
        <w:rPr>
          <w:rFonts w:ascii="Arial" w:hAnsi="Arial" w:cs="Arial"/>
        </w:rPr>
        <w:t>Service</w:t>
      </w:r>
      <w:r w:rsidR="007B7640" w:rsidRPr="00CD59CC">
        <w:rPr>
          <w:rFonts w:ascii="Arial" w:hAnsi="Arial" w:cs="Arial"/>
        </w:rPr>
        <w:t xml:space="preserve"> </w:t>
      </w:r>
      <w:r w:rsidRPr="00CD59CC">
        <w:rPr>
          <w:rFonts w:ascii="Arial" w:hAnsi="Arial" w:cs="Arial"/>
        </w:rPr>
        <w:t>providers</w:t>
      </w:r>
      <w:r w:rsidR="007B7640" w:rsidRPr="00CD59CC">
        <w:rPr>
          <w:rFonts w:ascii="Arial" w:hAnsi="Arial" w:cs="Arial"/>
        </w:rPr>
        <w:t xml:space="preserve"> </w:t>
      </w:r>
      <w:r w:rsidRPr="00CD59CC">
        <w:rPr>
          <w:rFonts w:ascii="Arial" w:hAnsi="Arial" w:cs="Arial"/>
        </w:rPr>
        <w:t>cannot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held</w:t>
      </w:r>
      <w:r w:rsidR="007B7640" w:rsidRPr="00CD59CC">
        <w:rPr>
          <w:rFonts w:ascii="Arial" w:hAnsi="Arial" w:cs="Arial"/>
        </w:rPr>
        <w:t xml:space="preserve"> </w:t>
      </w:r>
      <w:r w:rsidRPr="00CD59CC">
        <w:rPr>
          <w:rFonts w:ascii="Arial" w:hAnsi="Arial" w:cs="Arial"/>
        </w:rPr>
        <w:t>liable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actions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third</w:t>
      </w:r>
      <w:r w:rsidR="007B7640" w:rsidRPr="00CD59CC">
        <w:rPr>
          <w:rFonts w:ascii="Arial" w:hAnsi="Arial" w:cs="Arial"/>
        </w:rPr>
        <w:t xml:space="preserve"> </w:t>
      </w:r>
      <w:r w:rsidRPr="00CD59CC">
        <w:rPr>
          <w:rFonts w:ascii="Arial" w:hAnsi="Arial" w:cs="Arial"/>
        </w:rPr>
        <w:t>parties.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fail</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pursuant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express</w:t>
      </w:r>
      <w:r w:rsidR="007B7640" w:rsidRPr="00CD59CC">
        <w:rPr>
          <w:rFonts w:ascii="Arial" w:hAnsi="Arial" w:cs="Arial"/>
        </w:rPr>
        <w:t xml:space="preserve"> </w:t>
      </w:r>
      <w:r w:rsidRPr="00CD59CC">
        <w:rPr>
          <w:rFonts w:ascii="Arial" w:hAnsi="Arial" w:cs="Arial"/>
        </w:rPr>
        <w:t>complaint</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tenant,</w:t>
      </w:r>
      <w:r w:rsidR="007B7640" w:rsidRPr="00CD59CC">
        <w:rPr>
          <w:rFonts w:ascii="Arial" w:hAnsi="Arial" w:cs="Arial"/>
        </w:rPr>
        <w:t xml:space="preserve"> </w:t>
      </w:r>
      <w:r w:rsidRPr="00CD59CC">
        <w:rPr>
          <w:rFonts w:ascii="Arial" w:hAnsi="Arial" w:cs="Arial"/>
        </w:rPr>
        <w:t>client</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customer</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failure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severe</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might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engaged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discriminators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own</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p>
    <w:p w14:paraId="56799172" w14:textId="77777777" w:rsidR="00F91E22" w:rsidRPr="00CD59CC" w:rsidRDefault="00F91E22" w:rsidP="00CD59CC">
      <w:pPr>
        <w:rPr>
          <w:rFonts w:ascii="Arial" w:hAnsi="Arial" w:cs="Arial"/>
        </w:rPr>
      </w:pPr>
    </w:p>
    <w:p w14:paraId="10CD9690" w14:textId="77777777" w:rsidR="00F91E22" w:rsidRPr="00CD59CC" w:rsidRDefault="00F91E22" w:rsidP="00CD59CC">
      <w:pPr>
        <w:rPr>
          <w:rFonts w:ascii="Arial" w:hAnsi="Arial" w:cs="Arial"/>
        </w:rPr>
      </w:pPr>
      <w:r w:rsidRPr="00CD59CC">
        <w:rPr>
          <w:rFonts w:ascii="Arial" w:hAnsi="Arial" w:cs="Arial"/>
        </w:rPr>
        <w:t>Individual</w:t>
      </w:r>
      <w:r w:rsidR="007B7640" w:rsidRPr="00CD59CC">
        <w:rPr>
          <w:rFonts w:ascii="Arial" w:hAnsi="Arial" w:cs="Arial"/>
        </w:rPr>
        <w:t xml:space="preserve"> </w:t>
      </w:r>
      <w:r w:rsidRPr="00CD59CC">
        <w:rPr>
          <w:rFonts w:ascii="Arial" w:hAnsi="Arial" w:cs="Arial"/>
        </w:rPr>
        <w:t>harassers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certainly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held</w:t>
      </w:r>
      <w:r w:rsidR="007B7640" w:rsidRPr="00CD59CC">
        <w:rPr>
          <w:rFonts w:ascii="Arial" w:hAnsi="Arial" w:cs="Arial"/>
        </w:rPr>
        <w:t xml:space="preserve"> </w:t>
      </w:r>
      <w:r w:rsidRPr="00CD59CC">
        <w:rPr>
          <w:rFonts w:ascii="Arial" w:hAnsi="Arial" w:cs="Arial"/>
        </w:rPr>
        <w:t>liable.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field</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worth</w:t>
      </w:r>
      <w:r w:rsidR="007B7640" w:rsidRPr="00CD59CC">
        <w:rPr>
          <w:rFonts w:ascii="Arial" w:hAnsi="Arial" w:cs="Arial"/>
        </w:rPr>
        <w:t xml:space="preserve"> </w:t>
      </w:r>
      <w:r w:rsidRPr="00CD59CC">
        <w:rPr>
          <w:rFonts w:ascii="Arial" w:hAnsi="Arial" w:cs="Arial"/>
        </w:rPr>
        <w:t>noting</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co-workers</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sued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breaching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harassed,</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held</w:t>
      </w:r>
      <w:r w:rsidR="007B7640" w:rsidRPr="00CD59CC">
        <w:rPr>
          <w:rFonts w:ascii="Arial" w:hAnsi="Arial" w:cs="Arial"/>
        </w:rPr>
        <w:t xml:space="preserve"> </w:t>
      </w:r>
      <w:r w:rsidRPr="00CD59CC">
        <w:rPr>
          <w:rFonts w:ascii="Arial" w:hAnsi="Arial" w:cs="Arial"/>
        </w:rPr>
        <w:t>liable</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place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disciplinary</w:t>
      </w:r>
      <w:r w:rsidR="007B7640" w:rsidRPr="00CD59CC">
        <w:rPr>
          <w:rFonts w:ascii="Arial" w:hAnsi="Arial" w:cs="Arial"/>
        </w:rPr>
        <w:t xml:space="preserve"> </w:t>
      </w:r>
      <w:r w:rsidRPr="00CD59CC">
        <w:rPr>
          <w:rFonts w:ascii="Arial" w:hAnsi="Arial" w:cs="Arial"/>
        </w:rPr>
        <w:t>proceedings.</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t>co-workers</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fall</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liability</w:t>
      </w:r>
      <w:r w:rsidR="007B7640" w:rsidRPr="00CD59CC">
        <w:rPr>
          <w:rFonts w:ascii="Arial" w:hAnsi="Arial" w:cs="Arial"/>
        </w:rPr>
        <w:t xml:space="preserve"> </w:t>
      </w:r>
      <w:r w:rsidRPr="00CD59CC">
        <w:rPr>
          <w:rFonts w:ascii="Arial" w:hAnsi="Arial" w:cs="Arial"/>
        </w:rPr>
        <w:t>will</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provision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Code’s</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ban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inherent</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(including</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dignity).</w:t>
      </w:r>
      <w:r w:rsidR="007B7640" w:rsidRPr="00CD59CC">
        <w:rPr>
          <w:rFonts w:ascii="Arial" w:hAnsi="Arial" w:cs="Arial"/>
        </w:rPr>
        <w:t xml:space="preserve"> </w:t>
      </w:r>
    </w:p>
    <w:p w14:paraId="3A15C51D" w14:textId="77777777" w:rsidR="00F91E22" w:rsidRPr="00CD59CC" w:rsidRDefault="00F91E22" w:rsidP="00CD59CC">
      <w:pPr>
        <w:rPr>
          <w:rFonts w:ascii="Arial" w:hAnsi="Arial" w:cs="Arial"/>
        </w:rPr>
      </w:pPr>
    </w:p>
    <w:p w14:paraId="7037C937" w14:textId="77777777" w:rsidR="00F91E22" w:rsidRPr="00CD59CC" w:rsidRDefault="00F91E22" w:rsidP="00CD59CC">
      <w:pPr>
        <w:rPr>
          <w:rFonts w:ascii="Arial" w:hAnsi="Arial" w:cs="Arial"/>
        </w:rPr>
      </w:pPr>
      <w:r w:rsidRPr="00CD59CC">
        <w:rPr>
          <w:rFonts w:ascii="Arial" w:hAnsi="Arial" w:cs="Arial"/>
        </w:rPr>
        <w:t>Trade</w:t>
      </w:r>
      <w:r w:rsidR="007B7640" w:rsidRPr="00CD59CC">
        <w:rPr>
          <w:rFonts w:ascii="Arial" w:hAnsi="Arial" w:cs="Arial"/>
        </w:rPr>
        <w:t xml:space="preserve"> </w:t>
      </w:r>
      <w:r w:rsidRPr="00CD59CC">
        <w:rPr>
          <w:rFonts w:ascii="Arial" w:hAnsi="Arial" w:cs="Arial"/>
        </w:rPr>
        <w:t>unions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professional</w:t>
      </w:r>
      <w:r w:rsidR="007B7640" w:rsidRPr="00CD59CC">
        <w:rPr>
          <w:rFonts w:ascii="Arial" w:hAnsi="Arial" w:cs="Arial"/>
        </w:rPr>
        <w:t xml:space="preserve"> </w:t>
      </w:r>
      <w:r w:rsidRPr="00CD59CC">
        <w:rPr>
          <w:rFonts w:ascii="Arial" w:hAnsi="Arial" w:cs="Arial"/>
        </w:rPr>
        <w:t>organisations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held</w:t>
      </w:r>
      <w:r w:rsidR="007B7640" w:rsidRPr="00CD59CC">
        <w:rPr>
          <w:rFonts w:ascii="Arial" w:hAnsi="Arial" w:cs="Arial"/>
        </w:rPr>
        <w:t xml:space="preserve"> </w:t>
      </w:r>
      <w:r w:rsidRPr="00CD59CC">
        <w:rPr>
          <w:rFonts w:ascii="Arial" w:hAnsi="Arial" w:cs="Arial"/>
        </w:rPr>
        <w:t>liable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actions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members</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pursuant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contract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commission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union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professional</w:t>
      </w:r>
      <w:r w:rsidR="007B7640" w:rsidRPr="00CD59CC">
        <w:rPr>
          <w:rFonts w:ascii="Arial" w:hAnsi="Arial" w:cs="Arial"/>
        </w:rPr>
        <w:t xml:space="preserve"> </w:t>
      </w:r>
      <w:r w:rsidRPr="00CD59CC">
        <w:rPr>
          <w:rFonts w:ascii="Arial" w:hAnsi="Arial" w:cs="Arial"/>
        </w:rPr>
        <w:t>organisation.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liability</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350</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liability</w:t>
      </w:r>
      <w:r w:rsidR="007B7640" w:rsidRPr="00CD59CC">
        <w:rPr>
          <w:rFonts w:ascii="Arial" w:hAnsi="Arial" w:cs="Arial"/>
        </w:rPr>
        <w:t xml:space="preserve"> </w:t>
      </w:r>
      <w:r w:rsidRPr="00CD59CC">
        <w:rPr>
          <w:rFonts w:ascii="Arial" w:hAnsi="Arial" w:cs="Arial"/>
        </w:rPr>
        <w:t>flows</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actions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representatives</w:t>
      </w:r>
      <w:r w:rsidR="007B7640" w:rsidRPr="00CD59CC">
        <w:rPr>
          <w:rFonts w:ascii="Arial" w:hAnsi="Arial" w:cs="Arial"/>
        </w:rPr>
        <w:t xml:space="preserve"> </w:t>
      </w:r>
      <w:r w:rsidRPr="00CD59CC">
        <w:rPr>
          <w:rFonts w:ascii="Arial" w:hAnsi="Arial" w:cs="Arial"/>
        </w:rPr>
        <w:t>appointed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p>
    <w:p w14:paraId="272F4176" w14:textId="77777777" w:rsidR="002B5BCD" w:rsidRPr="00CD59CC" w:rsidRDefault="002B5BCD" w:rsidP="00CD59CC">
      <w:pPr>
        <w:rPr>
          <w:rFonts w:ascii="Arial" w:hAnsi="Arial" w:cs="Arial"/>
        </w:rPr>
      </w:pPr>
    </w:p>
    <w:p w14:paraId="5AEF16B8" w14:textId="2CE08C65" w:rsidR="002B5BCD" w:rsidRPr="00CD59CC" w:rsidRDefault="002B5BCD" w:rsidP="00CD59CC">
      <w:pPr>
        <w:pStyle w:val="Heading2"/>
        <w:rPr>
          <w:rFonts w:cs="Arial"/>
        </w:rPr>
      </w:pPr>
      <w:bookmarkStart w:id="86" w:name="_Toc220221142"/>
      <w:bookmarkStart w:id="87" w:name="_Toc392758713"/>
      <w:bookmarkStart w:id="88" w:name="_Toc366846322"/>
      <w:r w:rsidRPr="00CD59CC">
        <w:rPr>
          <w:rFonts w:cs="Arial"/>
        </w:rPr>
        <w:t>Instructions</w:t>
      </w:r>
      <w:r w:rsidR="007B7640" w:rsidRPr="00CD59CC">
        <w:rPr>
          <w:rFonts w:cs="Arial"/>
        </w:rPr>
        <w:t xml:space="preserve"> </w:t>
      </w:r>
      <w:r w:rsidRPr="00CD59CC">
        <w:rPr>
          <w:rFonts w:cs="Arial"/>
        </w:rPr>
        <w:t>to</w:t>
      </w:r>
      <w:r w:rsidR="007B7640" w:rsidRPr="00CD59CC">
        <w:rPr>
          <w:rFonts w:cs="Arial"/>
        </w:rPr>
        <w:t xml:space="preserve"> </w:t>
      </w:r>
      <w:r w:rsidRPr="00CD59CC">
        <w:rPr>
          <w:rFonts w:cs="Arial"/>
        </w:rPr>
        <w:t>discriminate</w:t>
      </w:r>
      <w:r w:rsidR="007B7640" w:rsidRPr="00CD59CC">
        <w:rPr>
          <w:rFonts w:cs="Arial"/>
        </w:rPr>
        <w:t xml:space="preserve"> </w:t>
      </w:r>
      <w:r w:rsidRPr="00CD59CC">
        <w:rPr>
          <w:rFonts w:cs="Arial"/>
        </w:rPr>
        <w:t>(Article</w:t>
      </w:r>
      <w:r w:rsidR="007B7640" w:rsidRPr="00CD59CC">
        <w:rPr>
          <w:rFonts w:cs="Arial"/>
        </w:rPr>
        <w:t xml:space="preserve"> </w:t>
      </w:r>
      <w:r w:rsidRPr="00CD59CC">
        <w:rPr>
          <w:rFonts w:cs="Arial"/>
        </w:rPr>
        <w:t>2(4))</w:t>
      </w:r>
      <w:bookmarkEnd w:id="86"/>
      <w:bookmarkEnd w:id="87"/>
      <w:bookmarkEnd w:id="88"/>
    </w:p>
    <w:p w14:paraId="21477C4B" w14:textId="77777777" w:rsidR="002B5BCD" w:rsidRPr="00CD59CC" w:rsidRDefault="002B5BCD" w:rsidP="00CD59CC">
      <w:pPr>
        <w:rPr>
          <w:rFonts w:ascii="Arial" w:hAnsi="Arial" w:cs="Arial"/>
        </w:rPr>
      </w:pPr>
    </w:p>
    <w:p w14:paraId="4E780EDB" w14:textId="77777777" w:rsidR="002B5BCD" w:rsidRPr="00CD59CC" w:rsidRDefault="002B5BCD" w:rsidP="00CD59CC">
      <w:pPr>
        <w:pStyle w:val="ListParagraph"/>
        <w:numPr>
          <w:ilvl w:val="0"/>
          <w:numId w:val="27"/>
        </w:numPr>
        <w:tabs>
          <w:tab w:val="left" w:pos="567"/>
        </w:tabs>
        <w:ind w:left="567" w:hanging="567"/>
        <w:contextualSpacing/>
        <w:rPr>
          <w:rFonts w:ascii="Arial" w:hAnsi="Arial" w:cs="Arial"/>
        </w:rPr>
      </w:pP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(including</w:t>
      </w:r>
      <w:r w:rsidR="007B7640" w:rsidRPr="00CD59CC">
        <w:rPr>
          <w:rFonts w:ascii="Arial" w:hAnsi="Arial" w:cs="Arial"/>
          <w:i/>
        </w:rPr>
        <w:t xml:space="preserve"> </w:t>
      </w:r>
      <w:r w:rsidRPr="00CD59CC">
        <w:rPr>
          <w:rFonts w:ascii="Arial" w:hAnsi="Arial" w:cs="Arial"/>
          <w:i/>
        </w:rPr>
        <w:t>case</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prohibit</w:t>
      </w:r>
      <w:r w:rsidR="007B7640" w:rsidRPr="00CD59CC">
        <w:rPr>
          <w:rFonts w:ascii="Arial" w:hAnsi="Arial" w:cs="Arial"/>
          <w:i/>
        </w:rPr>
        <w:t xml:space="preserve"> </w:t>
      </w:r>
      <w:r w:rsidRPr="00CD59CC">
        <w:rPr>
          <w:rFonts w:ascii="Arial" w:hAnsi="Arial" w:cs="Arial"/>
          <w:i/>
        </w:rPr>
        <w:t>instructions</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discriminate?</w:t>
      </w:r>
      <w:r w:rsidR="007B7640" w:rsidRPr="00CD59CC">
        <w:rPr>
          <w:rFonts w:ascii="Arial" w:hAnsi="Arial" w:cs="Arial"/>
          <w:i/>
        </w:rPr>
        <w:t xml:space="preserve"> </w:t>
      </w:r>
      <w:r w:rsidRPr="00CD59CC">
        <w:rPr>
          <w:rFonts w:ascii="Arial" w:hAnsi="Arial" w:cs="Arial"/>
          <w:i/>
        </w:rPr>
        <w:t>If</w:t>
      </w:r>
      <w:r w:rsidR="007B7640" w:rsidRPr="00CD59CC">
        <w:rPr>
          <w:rFonts w:ascii="Arial" w:hAnsi="Arial" w:cs="Arial"/>
          <w:i/>
        </w:rPr>
        <w:t xml:space="preserve"> </w:t>
      </w:r>
      <w:r w:rsidRPr="00CD59CC">
        <w:rPr>
          <w:rFonts w:ascii="Arial" w:hAnsi="Arial" w:cs="Arial"/>
          <w:i/>
        </w:rPr>
        <w:t>yes,</w:t>
      </w:r>
      <w:r w:rsidR="007B7640" w:rsidRPr="00CD59CC">
        <w:rPr>
          <w:rFonts w:ascii="Arial" w:hAnsi="Arial" w:cs="Arial"/>
          <w:i/>
        </w:rPr>
        <w:t xml:space="preserve"> </w:t>
      </w:r>
      <w:r w:rsidRPr="00CD59CC">
        <w:rPr>
          <w:rFonts w:ascii="Arial" w:hAnsi="Arial" w:cs="Arial"/>
          <w:i/>
        </w:rPr>
        <w:t>does</w:t>
      </w:r>
      <w:r w:rsidR="007B7640" w:rsidRPr="00CD59CC">
        <w:rPr>
          <w:rFonts w:ascii="Arial" w:hAnsi="Arial" w:cs="Arial"/>
          <w:i/>
        </w:rPr>
        <w:t xml:space="preserve"> </w:t>
      </w:r>
      <w:r w:rsidRPr="00CD59CC">
        <w:rPr>
          <w:rFonts w:ascii="Arial" w:hAnsi="Arial" w:cs="Arial"/>
          <w:i/>
        </w:rPr>
        <w:t>it</w:t>
      </w:r>
      <w:r w:rsidR="007B7640" w:rsidRPr="00CD59CC">
        <w:rPr>
          <w:rFonts w:ascii="Arial" w:hAnsi="Arial" w:cs="Arial"/>
          <w:i/>
        </w:rPr>
        <w:t xml:space="preserve"> </w:t>
      </w:r>
      <w:r w:rsidRPr="00CD59CC">
        <w:rPr>
          <w:rFonts w:ascii="Arial" w:hAnsi="Arial" w:cs="Arial"/>
          <w:i/>
        </w:rPr>
        <w:t>contain</w:t>
      </w:r>
      <w:r w:rsidR="007B7640" w:rsidRPr="00CD59CC">
        <w:rPr>
          <w:rFonts w:ascii="Arial" w:hAnsi="Arial" w:cs="Arial"/>
          <w:i/>
        </w:rPr>
        <w:t xml:space="preserve"> </w:t>
      </w:r>
      <w:r w:rsidRPr="00CD59CC">
        <w:rPr>
          <w:rFonts w:ascii="Arial" w:hAnsi="Arial" w:cs="Arial"/>
          <w:i/>
        </w:rPr>
        <w:t>any</w:t>
      </w:r>
      <w:r w:rsidR="007B7640" w:rsidRPr="00CD59CC">
        <w:rPr>
          <w:rFonts w:ascii="Arial" w:hAnsi="Arial" w:cs="Arial"/>
          <w:i/>
        </w:rPr>
        <w:t xml:space="preserve"> </w:t>
      </w:r>
      <w:r w:rsidRPr="00CD59CC">
        <w:rPr>
          <w:rFonts w:ascii="Arial" w:hAnsi="Arial" w:cs="Arial"/>
          <w:i/>
        </w:rPr>
        <w:t>specific</w:t>
      </w:r>
      <w:r w:rsidR="007B7640" w:rsidRPr="00CD59CC">
        <w:rPr>
          <w:rFonts w:ascii="Arial" w:hAnsi="Arial" w:cs="Arial"/>
          <w:i/>
        </w:rPr>
        <w:t xml:space="preserve"> </w:t>
      </w:r>
      <w:r w:rsidRPr="00CD59CC">
        <w:rPr>
          <w:rFonts w:ascii="Arial" w:hAnsi="Arial" w:cs="Arial"/>
          <w:i/>
        </w:rPr>
        <w:t>provisions</w:t>
      </w:r>
      <w:r w:rsidR="007B7640" w:rsidRPr="00CD59CC">
        <w:rPr>
          <w:rFonts w:ascii="Arial" w:hAnsi="Arial" w:cs="Arial"/>
          <w:i/>
        </w:rPr>
        <w:t xml:space="preserve"> </w:t>
      </w:r>
      <w:r w:rsidRPr="00CD59CC">
        <w:rPr>
          <w:rFonts w:ascii="Arial" w:hAnsi="Arial" w:cs="Arial"/>
          <w:i/>
        </w:rPr>
        <w:t>regarding</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liability</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legal</w:t>
      </w:r>
      <w:r w:rsidR="007B7640" w:rsidRPr="00CD59CC">
        <w:rPr>
          <w:rFonts w:ascii="Arial" w:hAnsi="Arial" w:cs="Arial"/>
          <w:i/>
        </w:rPr>
        <w:t xml:space="preserve"> </w:t>
      </w:r>
      <w:r w:rsidRPr="00CD59CC">
        <w:rPr>
          <w:rFonts w:ascii="Arial" w:hAnsi="Arial" w:cs="Arial"/>
          <w:i/>
        </w:rPr>
        <w:t>persons</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such</w:t>
      </w:r>
      <w:r w:rsidR="007B7640" w:rsidRPr="00CD59CC">
        <w:rPr>
          <w:rFonts w:ascii="Arial" w:hAnsi="Arial" w:cs="Arial"/>
          <w:i/>
        </w:rPr>
        <w:t xml:space="preserve"> </w:t>
      </w:r>
      <w:r w:rsidRPr="00CD59CC">
        <w:rPr>
          <w:rFonts w:ascii="Arial" w:hAnsi="Arial" w:cs="Arial"/>
          <w:i/>
        </w:rPr>
        <w:t>actions?</w:t>
      </w:r>
    </w:p>
    <w:p w14:paraId="6EDEB794" w14:textId="77777777" w:rsidR="00710E8C" w:rsidRPr="00CD59CC" w:rsidRDefault="00710E8C" w:rsidP="00CD59CC">
      <w:pPr>
        <w:pStyle w:val="ListParagraph"/>
        <w:tabs>
          <w:tab w:val="left" w:pos="567"/>
        </w:tabs>
        <w:ind w:left="0"/>
        <w:contextualSpacing/>
        <w:rPr>
          <w:rFonts w:ascii="Arial" w:hAnsi="Arial" w:cs="Arial"/>
        </w:rPr>
      </w:pPr>
    </w:p>
    <w:p w14:paraId="7135A8AA" w14:textId="77777777" w:rsidR="00E80DEC" w:rsidRPr="00CD59CC" w:rsidRDefault="00E80DEC"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7</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specifies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discriminate</w:t>
      </w:r>
      <w:r w:rsidR="007B7640" w:rsidRPr="00CD59CC">
        <w:rPr>
          <w:rFonts w:ascii="Arial" w:hAnsi="Arial" w:cs="Arial"/>
        </w:rPr>
        <w:t xml:space="preserve"> </w:t>
      </w:r>
      <w:r w:rsidRPr="00CD59CC">
        <w:rPr>
          <w:rFonts w:ascii="Arial" w:hAnsi="Arial" w:cs="Arial"/>
        </w:rPr>
        <w:t>(including</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harass,</w:t>
      </w:r>
      <w:r w:rsidR="007B7640" w:rsidRPr="00CD59CC">
        <w:rPr>
          <w:rFonts w:ascii="Arial" w:hAnsi="Arial" w:cs="Arial"/>
        </w:rPr>
        <w:t xml:space="preserve"> </w:t>
      </w:r>
      <w:r w:rsidRPr="00CD59CC">
        <w:rPr>
          <w:rFonts w:ascii="Arial" w:hAnsi="Arial" w:cs="Arial"/>
        </w:rPr>
        <w:t>segregate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victimise)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p>
    <w:p w14:paraId="3294845C" w14:textId="77777777" w:rsidR="00E80DEC" w:rsidRPr="00CD59CC" w:rsidRDefault="00E80DEC" w:rsidP="00CD59CC">
      <w:pPr>
        <w:rPr>
          <w:rFonts w:ascii="Arial" w:hAnsi="Arial" w:cs="Arial"/>
        </w:rPr>
      </w:pPr>
    </w:p>
    <w:p w14:paraId="06A687FB" w14:textId="77777777" w:rsidR="00E80DEC" w:rsidRPr="00CD59CC" w:rsidRDefault="00E80DEC" w:rsidP="00CD59CC">
      <w:pPr>
        <w:rPr>
          <w:rFonts w:ascii="Arial" w:hAnsi="Arial" w:cs="Arial"/>
        </w:rPr>
      </w:pPr>
      <w:r w:rsidRPr="00CD59CC">
        <w:rPr>
          <w:rFonts w:ascii="Arial" w:hAnsi="Arial" w:cs="Arial"/>
        </w:rPr>
        <w:t>Given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discriminate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form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sanctions</w:t>
      </w:r>
      <w:r w:rsidR="007B7640" w:rsidRPr="00CD59CC">
        <w:rPr>
          <w:rFonts w:ascii="Arial" w:hAnsi="Arial" w:cs="Arial"/>
        </w:rPr>
        <w:t xml:space="preserve"> </w:t>
      </w:r>
      <w:r w:rsidRPr="00CD59CC">
        <w:rPr>
          <w:rFonts w:ascii="Arial" w:hAnsi="Arial" w:cs="Arial"/>
        </w:rPr>
        <w:t>available</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more</w:t>
      </w:r>
      <w:r w:rsidR="007B7640" w:rsidRPr="00CD59CC">
        <w:rPr>
          <w:rFonts w:ascii="Arial" w:hAnsi="Arial" w:cs="Arial"/>
        </w:rPr>
        <w:t xml:space="preserve"> </w:t>
      </w:r>
      <w:r w:rsidRPr="00CD59CC">
        <w:rPr>
          <w:rFonts w:ascii="Arial" w:hAnsi="Arial" w:cs="Arial"/>
        </w:rPr>
        <w:t>common</w:t>
      </w:r>
      <w:r w:rsidR="007B7640" w:rsidRPr="00CD59CC">
        <w:rPr>
          <w:rFonts w:ascii="Arial" w:hAnsi="Arial" w:cs="Arial"/>
        </w:rPr>
        <w:t xml:space="preserve"> </w:t>
      </w:r>
      <w:r w:rsidRPr="00CD59CC">
        <w:rPr>
          <w:rFonts w:ascii="Arial" w:hAnsi="Arial" w:cs="Arial"/>
        </w:rPr>
        <w:t>forms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sought</w:t>
      </w:r>
      <w:r w:rsidR="007B7640" w:rsidRPr="00CD59CC">
        <w:rPr>
          <w:rFonts w:ascii="Arial" w:hAnsi="Arial" w:cs="Arial"/>
        </w:rPr>
        <w:t xml:space="preserve"> </w:t>
      </w:r>
      <w:r w:rsidRPr="00CD59CC">
        <w:rPr>
          <w:rFonts w:ascii="Arial" w:hAnsi="Arial" w:cs="Arial"/>
        </w:rPr>
        <w:t>here</w:t>
      </w:r>
      <w:r w:rsidR="007B7640" w:rsidRPr="00CD59CC">
        <w:rPr>
          <w:rFonts w:ascii="Arial" w:hAnsi="Arial" w:cs="Arial"/>
        </w:rPr>
        <w:t xml:space="preserve"> </w:t>
      </w:r>
      <w:r w:rsidRPr="00CD59CC">
        <w:rPr>
          <w:rFonts w:ascii="Arial" w:hAnsi="Arial" w:cs="Arial"/>
        </w:rPr>
        <w:t>too.</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giving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known,</w:t>
      </w:r>
      <w:r w:rsidR="007B7640" w:rsidRPr="00CD59CC">
        <w:rPr>
          <w:rFonts w:ascii="Arial" w:hAnsi="Arial" w:cs="Arial"/>
        </w:rPr>
        <w:t xml:space="preserve"> </w:t>
      </w:r>
      <w:r w:rsidRPr="00CD59CC">
        <w:rPr>
          <w:rFonts w:ascii="Arial" w:hAnsi="Arial" w:cs="Arial"/>
        </w:rPr>
        <w:t>then</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sanctions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sanctions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power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impose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hand</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latter</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instructions</w:t>
      </w:r>
      <w:r w:rsidR="007B7640" w:rsidRPr="00CD59CC">
        <w:rPr>
          <w:rFonts w:ascii="Arial" w:hAnsi="Arial" w:cs="Arial"/>
        </w:rPr>
        <w:t xml:space="preserve"> </w:t>
      </w:r>
      <w:r w:rsidRPr="00CD59CC">
        <w:rPr>
          <w:rFonts w:ascii="Arial" w:hAnsi="Arial" w:cs="Arial"/>
        </w:rPr>
        <w:t>come</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someone</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falls</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instructor</w:t>
      </w:r>
      <w:r w:rsidR="007B7640" w:rsidRPr="00CD59CC">
        <w:rPr>
          <w:rFonts w:ascii="Arial" w:hAnsi="Arial" w:cs="Arial"/>
        </w:rPr>
        <w:t xml:space="preserve"> </w:t>
      </w:r>
      <w:r w:rsidRPr="00CD59CC">
        <w:rPr>
          <w:rFonts w:ascii="Arial" w:hAnsi="Arial" w:cs="Arial"/>
        </w:rPr>
        <w:t>remains</w:t>
      </w:r>
      <w:r w:rsidR="007B7640" w:rsidRPr="00CD59CC">
        <w:rPr>
          <w:rFonts w:ascii="Arial" w:hAnsi="Arial" w:cs="Arial"/>
        </w:rPr>
        <w:t xml:space="preserve"> </w:t>
      </w:r>
      <w:r w:rsidRPr="00CD59CC">
        <w:rPr>
          <w:rFonts w:ascii="Arial" w:hAnsi="Arial" w:cs="Arial"/>
        </w:rPr>
        <w:t>unidentified,</w:t>
      </w:r>
      <w:r w:rsidR="007B7640" w:rsidRPr="00CD59CC">
        <w:rPr>
          <w:rFonts w:ascii="Arial" w:hAnsi="Arial" w:cs="Arial"/>
        </w:rPr>
        <w:t xml:space="preserve"> </w:t>
      </w:r>
      <w:r w:rsidRPr="00CD59CC">
        <w:rPr>
          <w:rFonts w:ascii="Arial" w:hAnsi="Arial" w:cs="Arial"/>
        </w:rPr>
        <w:t>action</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entity.</w:t>
      </w:r>
      <w:r w:rsidR="007B7640" w:rsidRPr="00CD59CC">
        <w:rPr>
          <w:rFonts w:ascii="Arial" w:hAnsi="Arial" w:cs="Arial"/>
        </w:rPr>
        <w:t xml:space="preserve"> </w:t>
      </w:r>
    </w:p>
    <w:p w14:paraId="3DBB5165" w14:textId="77777777" w:rsidR="00E80DEC" w:rsidRPr="00CD59CC" w:rsidRDefault="00E80DEC" w:rsidP="00CD59CC">
      <w:pPr>
        <w:rPr>
          <w:rFonts w:ascii="Arial" w:hAnsi="Arial" w:cs="Arial"/>
        </w:rPr>
      </w:pPr>
    </w:p>
    <w:p w14:paraId="562E65C8" w14:textId="3D76BA8F" w:rsidR="00E80DEC" w:rsidRPr="00CD59CC" w:rsidRDefault="00E80DEC" w:rsidP="00CD59CC">
      <w:pPr>
        <w:rPr>
          <w:rFonts w:ascii="Arial" w:hAnsi="Arial" w:cs="Arial"/>
        </w:rPr>
      </w:pPr>
      <w:r w:rsidRPr="00CD59CC">
        <w:rPr>
          <w:rFonts w:ascii="Arial" w:hAnsi="Arial" w:cs="Arial"/>
        </w:rPr>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described</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00C42748" w:rsidRPr="00CD59CC">
        <w:rPr>
          <w:rFonts w:ascii="Arial" w:hAnsi="Arial" w:cs="Arial"/>
        </w:rPr>
        <w:t>2</w:t>
      </w:r>
      <w:r w:rsidRPr="00CD59CC">
        <w:rPr>
          <w:rFonts w:ascii="Arial" w:hAnsi="Arial" w:cs="Arial"/>
        </w:rPr>
        <w:t>.4.</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348</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workers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held</w:t>
      </w:r>
      <w:r w:rsidR="007B7640" w:rsidRPr="00CD59CC">
        <w:rPr>
          <w:rFonts w:ascii="Arial" w:hAnsi="Arial" w:cs="Arial"/>
        </w:rPr>
        <w:t xml:space="preserve"> </w:t>
      </w:r>
      <w:r w:rsidRPr="00CD59CC">
        <w:rPr>
          <w:rFonts w:ascii="Arial" w:hAnsi="Arial" w:cs="Arial"/>
        </w:rPr>
        <w:t>liable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caused,</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worker</w:t>
      </w:r>
      <w:r w:rsidR="007B7640" w:rsidRPr="00CD59CC">
        <w:rPr>
          <w:rFonts w:ascii="Arial" w:hAnsi="Arial" w:cs="Arial"/>
        </w:rPr>
        <w:t xml:space="preserve"> </w:t>
      </w:r>
      <w:r w:rsidRPr="00CD59CC">
        <w:rPr>
          <w:rFonts w:ascii="Arial" w:hAnsi="Arial" w:cs="Arial"/>
        </w:rPr>
        <w:t>acted</w:t>
      </w:r>
      <w:r w:rsidR="007B7640" w:rsidRPr="00CD59CC">
        <w:rPr>
          <w:rFonts w:ascii="Arial" w:hAnsi="Arial" w:cs="Arial"/>
        </w:rPr>
        <w:t xml:space="preserve"> </w:t>
      </w:r>
      <w:r w:rsidRPr="00CD59CC">
        <w:rPr>
          <w:rFonts w:ascii="Arial" w:hAnsi="Arial" w:cs="Arial"/>
        </w:rPr>
        <w:t>upon</w:t>
      </w:r>
      <w:r w:rsidR="007B7640" w:rsidRPr="00CD59CC">
        <w:rPr>
          <w:rFonts w:ascii="Arial" w:hAnsi="Arial" w:cs="Arial"/>
        </w:rPr>
        <w:t xml:space="preserve"> </w:t>
      </w:r>
      <w:r w:rsidRPr="00CD59CC">
        <w:rPr>
          <w:rFonts w:ascii="Arial" w:hAnsi="Arial" w:cs="Arial"/>
        </w:rPr>
        <w:t>his/her</w:t>
      </w:r>
      <w:r w:rsidR="007B7640" w:rsidRPr="00CD59CC">
        <w:rPr>
          <w:rFonts w:ascii="Arial" w:hAnsi="Arial" w:cs="Arial"/>
        </w:rPr>
        <w:t xml:space="preserve"> </w:t>
      </w:r>
      <w:r w:rsidRPr="00CD59CC">
        <w:rPr>
          <w:rFonts w:ascii="Arial" w:hAnsi="Arial" w:cs="Arial"/>
        </w:rPr>
        <w:t>own</w:t>
      </w:r>
      <w:r w:rsidR="007B7640" w:rsidRPr="00CD59CC">
        <w:rPr>
          <w:rFonts w:ascii="Arial" w:hAnsi="Arial" w:cs="Arial"/>
        </w:rPr>
        <w:t xml:space="preserve"> </w:t>
      </w:r>
      <w:r w:rsidRPr="00CD59CC">
        <w:rPr>
          <w:rFonts w:ascii="Arial" w:hAnsi="Arial" w:cs="Arial"/>
        </w:rPr>
        <w:t>initiative.</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mean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actual</w:t>
      </w:r>
      <w:r w:rsidR="007B7640" w:rsidRPr="00CD59CC">
        <w:rPr>
          <w:rFonts w:ascii="Arial" w:hAnsi="Arial" w:cs="Arial"/>
        </w:rPr>
        <w:t xml:space="preserve"> </w:t>
      </w:r>
      <w:r w:rsidRPr="00CD59CC">
        <w:rPr>
          <w:rFonts w:ascii="Arial" w:hAnsi="Arial" w:cs="Arial"/>
        </w:rPr>
        <w:t>superior</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gave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exercising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employing</w:t>
      </w:r>
      <w:r w:rsidR="007B7640" w:rsidRPr="00CD59CC">
        <w:rPr>
          <w:rFonts w:ascii="Arial" w:hAnsi="Arial" w:cs="Arial"/>
        </w:rPr>
        <w:t xml:space="preserve"> </w:t>
      </w:r>
      <w:r w:rsidRPr="00CD59CC">
        <w:rPr>
          <w:rFonts w:ascii="Arial" w:hAnsi="Arial" w:cs="Arial"/>
        </w:rPr>
        <w:t>entity.</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liability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exists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law.</w:t>
      </w:r>
    </w:p>
    <w:p w14:paraId="1EE62220" w14:textId="77777777" w:rsidR="00E80DEC" w:rsidRPr="00CD59CC" w:rsidRDefault="00E80DEC" w:rsidP="00CD59CC">
      <w:pPr>
        <w:rPr>
          <w:rFonts w:ascii="Arial" w:hAnsi="Arial" w:cs="Arial"/>
        </w:rPr>
      </w:pPr>
      <w:r w:rsidRPr="00CD59CC">
        <w:rPr>
          <w:rFonts w:ascii="Arial" w:hAnsi="Arial" w:cs="Arial"/>
        </w:rPr>
        <w:lastRenderedPageBreak/>
        <w:t>What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rather</w:t>
      </w:r>
      <w:r w:rsidR="007B7640" w:rsidRPr="00CD59CC">
        <w:rPr>
          <w:rFonts w:ascii="Arial" w:hAnsi="Arial" w:cs="Arial"/>
        </w:rPr>
        <w:t xml:space="preserve"> </w:t>
      </w:r>
      <w:r w:rsidRPr="00CD59CC">
        <w:rPr>
          <w:rFonts w:ascii="Arial" w:hAnsi="Arial" w:cs="Arial"/>
        </w:rPr>
        <w:t>problematic</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seeking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establish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liability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sanction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individual</w:t>
      </w:r>
      <w:r w:rsidR="007B7640" w:rsidRPr="00CD59CC">
        <w:rPr>
          <w:rFonts w:ascii="Arial" w:hAnsi="Arial" w:cs="Arial"/>
        </w:rPr>
        <w:t xml:space="preserve"> </w:t>
      </w:r>
      <w:r w:rsidRPr="00CD59CC">
        <w:rPr>
          <w:rFonts w:ascii="Arial" w:hAnsi="Arial" w:cs="Arial"/>
        </w:rPr>
        <w:t>superior</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instructs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discriminate,</w:t>
      </w:r>
      <w:r w:rsidR="007B7640" w:rsidRPr="00CD59CC">
        <w:rPr>
          <w:rFonts w:ascii="Arial" w:hAnsi="Arial" w:cs="Arial"/>
        </w:rPr>
        <w:t xml:space="preserve"> </w:t>
      </w:r>
      <w:r w:rsidRPr="00CD59CC">
        <w:rPr>
          <w:rFonts w:ascii="Arial" w:hAnsi="Arial" w:cs="Arial"/>
        </w:rPr>
        <w:t>although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obligation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abide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instructions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found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relations</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forms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employment.</w:t>
      </w:r>
      <w:r w:rsidRPr="00CD59CC">
        <w:rPr>
          <w:rStyle w:val="FootnoteReference"/>
          <w:rFonts w:ascii="Arial" w:hAnsi="Arial" w:cs="Arial"/>
        </w:rPr>
        <w:footnoteReference w:id="48"/>
      </w:r>
      <w:r w:rsidR="007B7640" w:rsidRPr="00CD59CC">
        <w:rPr>
          <w:rFonts w:ascii="Arial" w:hAnsi="Arial" w:cs="Arial"/>
        </w:rPr>
        <w:t xml:space="preserve"> </w:t>
      </w:r>
    </w:p>
    <w:p w14:paraId="7DB7E11D" w14:textId="77777777" w:rsidR="00E80DEC" w:rsidRPr="00CD59CC" w:rsidRDefault="00E80DEC" w:rsidP="00CD59CC">
      <w:pPr>
        <w:rPr>
          <w:rFonts w:ascii="Arial" w:hAnsi="Arial" w:cs="Arial"/>
        </w:rPr>
      </w:pPr>
    </w:p>
    <w:p w14:paraId="12441E48" w14:textId="77777777" w:rsidR="00E80DEC" w:rsidRDefault="00E80DEC" w:rsidP="00CD59CC">
      <w:pPr>
        <w:rPr>
          <w:rFonts w:ascii="Arial" w:hAnsi="Arial" w:cs="Arial"/>
        </w:rPr>
      </w:pPr>
      <w:r w:rsidRPr="00CD59CC">
        <w:rPr>
          <w:rFonts w:ascii="Arial" w:hAnsi="Arial" w:cs="Arial"/>
        </w:rPr>
        <w:t>Taking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analogy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relating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police</w:t>
      </w:r>
      <w:r w:rsidR="007B7640" w:rsidRPr="00CD59CC">
        <w:rPr>
          <w:rFonts w:ascii="Arial" w:hAnsi="Arial" w:cs="Arial"/>
        </w:rPr>
        <w:t xml:space="preserve"> </w:t>
      </w:r>
      <w:r w:rsidRPr="00CD59CC">
        <w:rPr>
          <w:rFonts w:ascii="Arial" w:hAnsi="Arial" w:cs="Arial"/>
        </w:rPr>
        <w:t>ill-treatment</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misconduct,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argued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especially</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authorities,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police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pay</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necessarily</w:t>
      </w:r>
      <w:r w:rsidR="007B7640" w:rsidRPr="00CD59CC">
        <w:rPr>
          <w:rFonts w:ascii="Arial" w:hAnsi="Arial" w:cs="Arial"/>
        </w:rPr>
        <w:t xml:space="preserve"> </w:t>
      </w:r>
      <w:r w:rsidRPr="00CD59CC">
        <w:rPr>
          <w:rFonts w:ascii="Arial" w:hAnsi="Arial" w:cs="Arial"/>
        </w:rPr>
        <w:t>make</w:t>
      </w:r>
      <w:r w:rsidR="007B7640" w:rsidRPr="00CD59CC">
        <w:rPr>
          <w:rFonts w:ascii="Arial" w:hAnsi="Arial" w:cs="Arial"/>
        </w:rPr>
        <w:t xml:space="preserve"> </w:t>
      </w:r>
      <w:r w:rsidRPr="00CD59CC">
        <w:rPr>
          <w:rFonts w:ascii="Arial" w:hAnsi="Arial" w:cs="Arial"/>
        </w:rPr>
        <w:t>sure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employee</w:t>
      </w:r>
      <w:r w:rsidR="007B7640" w:rsidRPr="00CD59CC">
        <w:rPr>
          <w:rFonts w:ascii="Arial" w:hAnsi="Arial" w:cs="Arial"/>
        </w:rPr>
        <w:t xml:space="preserve"> </w:t>
      </w:r>
      <w:r w:rsidRPr="00CD59CC">
        <w:rPr>
          <w:rFonts w:ascii="Arial" w:hAnsi="Arial" w:cs="Arial"/>
        </w:rPr>
        <w:t>giving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held</w:t>
      </w:r>
      <w:r w:rsidR="007B7640" w:rsidRPr="00CD59CC">
        <w:rPr>
          <w:rFonts w:ascii="Arial" w:hAnsi="Arial" w:cs="Arial"/>
        </w:rPr>
        <w:t xml:space="preserve"> </w:t>
      </w:r>
      <w:r w:rsidRPr="00CD59CC">
        <w:rPr>
          <w:rFonts w:ascii="Arial" w:hAnsi="Arial" w:cs="Arial"/>
        </w:rPr>
        <w:t>liable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his/her</w:t>
      </w:r>
      <w:r w:rsidR="007B7640" w:rsidRPr="00CD59CC">
        <w:rPr>
          <w:rFonts w:ascii="Arial" w:hAnsi="Arial" w:cs="Arial"/>
        </w:rPr>
        <w:t xml:space="preserve"> </w:t>
      </w:r>
      <w:r w:rsidRPr="00CD59CC">
        <w:rPr>
          <w:rFonts w:ascii="Arial" w:hAnsi="Arial" w:cs="Arial"/>
        </w:rPr>
        <w:t>conduct.</w:t>
      </w:r>
      <w:r w:rsidR="007B7640" w:rsidRPr="00CD59CC">
        <w:rPr>
          <w:rFonts w:ascii="Arial" w:hAnsi="Arial" w:cs="Arial"/>
        </w:rPr>
        <w:t xml:space="preserve"> </w:t>
      </w:r>
      <w:r w:rsidRPr="00CD59CC">
        <w:rPr>
          <w:rFonts w:ascii="Arial" w:hAnsi="Arial" w:cs="Arial"/>
        </w:rPr>
        <w:t>Indeed,</w:t>
      </w:r>
      <w:r w:rsidR="007B7640" w:rsidRPr="00CD59CC">
        <w:rPr>
          <w:rFonts w:ascii="Arial" w:hAnsi="Arial" w:cs="Arial"/>
        </w:rPr>
        <w:t xml:space="preserve"> </w:t>
      </w:r>
      <w:r w:rsidRPr="00CD59CC">
        <w:rPr>
          <w:rFonts w:ascii="Arial" w:hAnsi="Arial" w:cs="Arial"/>
        </w:rPr>
        <w:t>victims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little</w:t>
      </w:r>
      <w:r w:rsidR="007B7640" w:rsidRPr="00CD59CC">
        <w:rPr>
          <w:rFonts w:ascii="Arial" w:hAnsi="Arial" w:cs="Arial"/>
        </w:rPr>
        <w:t xml:space="preserve"> </w:t>
      </w:r>
      <w:r w:rsidRPr="00CD59CC">
        <w:rPr>
          <w:rFonts w:ascii="Arial" w:hAnsi="Arial" w:cs="Arial"/>
        </w:rPr>
        <w:t>impact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how</w:t>
      </w:r>
      <w:r w:rsidR="007B7640" w:rsidRPr="00CD59CC">
        <w:rPr>
          <w:rFonts w:ascii="Arial" w:hAnsi="Arial" w:cs="Arial"/>
        </w:rPr>
        <w:t xml:space="preserve"> </w:t>
      </w:r>
      <w:r w:rsidRPr="00CD59CC">
        <w:rPr>
          <w:rFonts w:ascii="Arial" w:hAnsi="Arial" w:cs="Arial"/>
        </w:rPr>
        <w:t>disciplinary</w:t>
      </w:r>
      <w:r w:rsidR="007B7640" w:rsidRPr="00CD59CC">
        <w:rPr>
          <w:rFonts w:ascii="Arial" w:hAnsi="Arial" w:cs="Arial"/>
        </w:rPr>
        <w:t xml:space="preserve"> </w:t>
      </w:r>
      <w:r w:rsidRPr="00CD59CC">
        <w:rPr>
          <w:rFonts w:ascii="Arial" w:hAnsi="Arial" w:cs="Arial"/>
        </w:rPr>
        <w:t>proceedings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conducted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whether</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disciplinary</w:t>
      </w:r>
      <w:r w:rsidR="007B7640" w:rsidRPr="00CD59CC">
        <w:rPr>
          <w:rFonts w:ascii="Arial" w:hAnsi="Arial" w:cs="Arial"/>
        </w:rPr>
        <w:t xml:space="preserve"> </w:t>
      </w:r>
      <w:r w:rsidRPr="00CD59CC">
        <w:rPr>
          <w:rFonts w:ascii="Arial" w:hAnsi="Arial" w:cs="Arial"/>
        </w:rPr>
        <w:t>actions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some</w:t>
      </w:r>
      <w:r w:rsidR="007B7640" w:rsidRPr="00CD59CC">
        <w:rPr>
          <w:rFonts w:ascii="Arial" w:hAnsi="Arial" w:cs="Arial"/>
        </w:rPr>
        <w:t xml:space="preserve"> </w:t>
      </w:r>
      <w:r w:rsidRPr="00CD59CC">
        <w:rPr>
          <w:rFonts w:ascii="Arial" w:hAnsi="Arial" w:cs="Arial"/>
        </w:rPr>
        <w:t>instances</w:t>
      </w:r>
      <w:r w:rsidR="007B7640" w:rsidRPr="00CD59CC">
        <w:rPr>
          <w:rFonts w:ascii="Arial" w:hAnsi="Arial" w:cs="Arial"/>
        </w:rPr>
        <w:t xml:space="preserve"> </w:t>
      </w:r>
      <w:r w:rsidRPr="00CD59CC">
        <w:rPr>
          <w:rFonts w:ascii="Arial" w:hAnsi="Arial" w:cs="Arial"/>
        </w:rPr>
        <w:t>short</w:t>
      </w:r>
      <w:r w:rsidR="007B7640" w:rsidRPr="00CD59CC">
        <w:rPr>
          <w:rFonts w:ascii="Arial" w:hAnsi="Arial" w:cs="Arial"/>
        </w:rPr>
        <w:t xml:space="preserve"> </w:t>
      </w:r>
      <w:r w:rsidRPr="00CD59CC">
        <w:rPr>
          <w:rFonts w:ascii="Arial" w:hAnsi="Arial" w:cs="Arial"/>
        </w:rPr>
        <w:t>deadlines</w:t>
      </w:r>
      <w:r w:rsidR="007B7640" w:rsidRPr="00CD59CC">
        <w:rPr>
          <w:rFonts w:ascii="Arial" w:hAnsi="Arial" w:cs="Arial"/>
        </w:rPr>
        <w:t xml:space="preserve"> </w:t>
      </w:r>
      <w:r w:rsidRPr="00CD59CC">
        <w:rPr>
          <w:rFonts w:ascii="Arial" w:hAnsi="Arial" w:cs="Arial"/>
        </w:rPr>
        <w:t>open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submission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complaints</w:t>
      </w:r>
      <w:r w:rsidR="007B7640" w:rsidRPr="00CD59CC">
        <w:rPr>
          <w:rFonts w:ascii="Arial" w:hAnsi="Arial" w:cs="Arial"/>
        </w:rPr>
        <w:t xml:space="preserve"> </w:t>
      </w:r>
      <w:r w:rsidRPr="00CD59CC">
        <w:rPr>
          <w:rFonts w:ascii="Arial" w:hAnsi="Arial" w:cs="Arial"/>
        </w:rPr>
        <w:t>leading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disciplinary</w:t>
      </w:r>
      <w:r w:rsidR="007B7640" w:rsidRPr="00CD59CC">
        <w:rPr>
          <w:rFonts w:ascii="Arial" w:hAnsi="Arial" w:cs="Arial"/>
        </w:rPr>
        <w:t xml:space="preserve"> </w:t>
      </w:r>
      <w:r w:rsidRPr="00CD59CC">
        <w:rPr>
          <w:rFonts w:ascii="Arial" w:hAnsi="Arial" w:cs="Arial"/>
        </w:rPr>
        <w:t>proceedings</w:t>
      </w:r>
      <w:r w:rsidR="007B7640" w:rsidRPr="00CD59CC">
        <w:rPr>
          <w:rFonts w:ascii="Arial" w:hAnsi="Arial" w:cs="Arial"/>
        </w:rPr>
        <w:t xml:space="preserve"> </w:t>
      </w:r>
      <w:r w:rsidRPr="00CD59CC">
        <w:rPr>
          <w:rFonts w:ascii="Arial" w:hAnsi="Arial" w:cs="Arial"/>
        </w:rPr>
        <w:t>amount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further</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substantial</w:t>
      </w:r>
      <w:r w:rsidR="007B7640" w:rsidRPr="00CD59CC">
        <w:rPr>
          <w:rFonts w:ascii="Arial" w:hAnsi="Arial" w:cs="Arial"/>
        </w:rPr>
        <w:t xml:space="preserve"> </w:t>
      </w:r>
      <w:r w:rsidRPr="00CD59CC">
        <w:rPr>
          <w:rFonts w:ascii="Arial" w:hAnsi="Arial" w:cs="Arial"/>
        </w:rPr>
        <w:t>limitation.</w:t>
      </w:r>
    </w:p>
    <w:p w14:paraId="5A4A76AA" w14:textId="77777777" w:rsidR="00B97ED3" w:rsidRPr="00CD59CC" w:rsidRDefault="00B97ED3" w:rsidP="00CD59CC">
      <w:pPr>
        <w:rPr>
          <w:rFonts w:ascii="Arial" w:hAnsi="Arial" w:cs="Arial"/>
        </w:rPr>
      </w:pPr>
    </w:p>
    <w:p w14:paraId="75B72EAC" w14:textId="77777777" w:rsidR="00E80DEC" w:rsidRPr="00CD59CC" w:rsidRDefault="00E80DEC"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obligations,</w:t>
      </w:r>
      <w:r w:rsidR="007B7640" w:rsidRPr="00CD59CC">
        <w:rPr>
          <w:rFonts w:ascii="Arial" w:hAnsi="Arial" w:cs="Arial"/>
        </w:rPr>
        <w:t xml:space="preserve"> </w:t>
      </w:r>
      <w:r w:rsidRPr="00CD59CC">
        <w:rPr>
          <w:rFonts w:ascii="Arial" w:hAnsi="Arial" w:cs="Arial"/>
        </w:rPr>
        <w:t>contractors,</w:t>
      </w:r>
      <w:r w:rsidR="007B7640" w:rsidRPr="00CD59CC">
        <w:rPr>
          <w:rFonts w:ascii="Arial" w:hAnsi="Arial" w:cs="Arial"/>
        </w:rPr>
        <w:t xml:space="preserve"> </w:t>
      </w:r>
      <w:r w:rsidRPr="00CD59CC">
        <w:rPr>
          <w:rFonts w:ascii="Arial" w:hAnsi="Arial" w:cs="Arial"/>
        </w:rPr>
        <w:t>lawyers</w:t>
      </w:r>
      <w:r w:rsidR="007B7640" w:rsidRPr="00CD59CC">
        <w:rPr>
          <w:rFonts w:ascii="Arial" w:hAnsi="Arial" w:cs="Arial"/>
        </w:rPr>
        <w:t xml:space="preserve"> </w:t>
      </w:r>
      <w:r w:rsidRPr="00CD59CC">
        <w:rPr>
          <w:rFonts w:ascii="Arial" w:hAnsi="Arial" w:cs="Arial"/>
        </w:rPr>
        <w:t>etc.</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pursuant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instructions.</w:t>
      </w:r>
      <w:r w:rsidR="007B7640" w:rsidRPr="00CD59CC">
        <w:rPr>
          <w:rFonts w:ascii="Arial" w:hAnsi="Arial" w:cs="Arial"/>
        </w:rPr>
        <w:t xml:space="preserve"> </w:t>
      </w:r>
    </w:p>
    <w:p w14:paraId="0F86714D" w14:textId="77777777" w:rsidR="00E80DEC" w:rsidRPr="00CD59CC" w:rsidRDefault="00E80DEC" w:rsidP="00CD59CC">
      <w:pPr>
        <w:rPr>
          <w:rFonts w:ascii="Arial" w:hAnsi="Arial" w:cs="Arial"/>
        </w:rPr>
      </w:pPr>
    </w:p>
    <w:p w14:paraId="33B55158" w14:textId="0EDFDED0" w:rsidR="00E80DEC" w:rsidRPr="00CD59CC" w:rsidRDefault="00E80DEC" w:rsidP="00CD59CC">
      <w:pPr>
        <w:rPr>
          <w:rFonts w:ascii="Arial" w:hAnsi="Arial" w:cs="Arial"/>
        </w:rPr>
      </w:pP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392</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contractors</w:t>
      </w:r>
      <w:r w:rsidR="007B7640" w:rsidRPr="00CD59CC">
        <w:rPr>
          <w:rFonts w:ascii="Arial" w:hAnsi="Arial" w:cs="Arial"/>
        </w:rPr>
        <w:t xml:space="preserve"> </w:t>
      </w:r>
      <w:r w:rsidRPr="00CD59CC">
        <w:rPr>
          <w:rFonts w:ascii="Arial" w:hAnsi="Arial" w:cs="Arial"/>
        </w:rPr>
        <w:t>must</w:t>
      </w:r>
      <w:r w:rsidR="007B7640" w:rsidRPr="00CD59CC">
        <w:rPr>
          <w:rFonts w:ascii="Arial" w:hAnsi="Arial" w:cs="Arial"/>
        </w:rPr>
        <w:t xml:space="preserve"> </w:t>
      </w:r>
      <w:r w:rsidRPr="00CD59CC">
        <w:rPr>
          <w:rFonts w:ascii="Arial" w:hAnsi="Arial" w:cs="Arial"/>
        </w:rPr>
        <w:t>comply</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customers.</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(3)</w:t>
      </w:r>
      <w:r w:rsidR="007B7640" w:rsidRPr="00CD59CC">
        <w:rPr>
          <w:rFonts w:ascii="Arial" w:hAnsi="Arial" w:cs="Arial"/>
        </w:rPr>
        <w:t xml:space="preserve"> </w:t>
      </w:r>
      <w:r w:rsidRPr="00CD59CC">
        <w:rPr>
          <w:rFonts w:ascii="Arial" w:hAnsi="Arial" w:cs="Arial"/>
        </w:rPr>
        <w:t>contractors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obligation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warn</w:t>
      </w:r>
      <w:r w:rsidR="007B7640" w:rsidRPr="00CD59CC">
        <w:rPr>
          <w:rFonts w:ascii="Arial" w:hAnsi="Arial" w:cs="Arial"/>
        </w:rPr>
        <w:t xml:space="preserve"> </w:t>
      </w:r>
      <w:r w:rsidRPr="00CD59CC">
        <w:rPr>
          <w:rFonts w:ascii="Arial" w:hAnsi="Arial" w:cs="Arial"/>
        </w:rPr>
        <w:t>customers</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instructions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unreasonable</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unprofessional.</w:t>
      </w:r>
      <w:r w:rsidR="007B7640" w:rsidRPr="00CD59CC">
        <w:rPr>
          <w:rFonts w:ascii="Arial" w:hAnsi="Arial" w:cs="Arial"/>
        </w:rPr>
        <w:t xml:space="preserve"> </w:t>
      </w:r>
      <w:r w:rsidRPr="00CD59CC">
        <w:rPr>
          <w:rFonts w:ascii="Arial" w:hAnsi="Arial" w:cs="Arial"/>
        </w:rPr>
        <w:t>Failing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results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liability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obligation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warning</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shift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liability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govern</w:t>
      </w:r>
      <w:r w:rsidR="007B7640" w:rsidRPr="00CD59CC">
        <w:rPr>
          <w:rFonts w:ascii="Arial" w:hAnsi="Arial" w:cs="Arial"/>
        </w:rPr>
        <w:t xml:space="preserve"> </w:t>
      </w:r>
      <w:r w:rsidRPr="00CD59CC">
        <w:rPr>
          <w:rFonts w:ascii="Arial" w:hAnsi="Arial" w:cs="Arial"/>
        </w:rPr>
        <w:t>commissions</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476).</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contractors</w:t>
      </w:r>
      <w:r w:rsidR="007B7640" w:rsidRPr="00CD59CC">
        <w:rPr>
          <w:rFonts w:ascii="Arial" w:hAnsi="Arial" w:cs="Arial"/>
        </w:rPr>
        <w:t xml:space="preserve"> </w:t>
      </w:r>
      <w:r w:rsidRPr="00CD59CC">
        <w:rPr>
          <w:rFonts w:ascii="Arial" w:hAnsi="Arial" w:cs="Arial"/>
        </w:rPr>
        <w:t>cannot</w:t>
      </w:r>
      <w:r w:rsidR="007B7640" w:rsidRPr="00CD59CC">
        <w:rPr>
          <w:rFonts w:ascii="Arial" w:hAnsi="Arial" w:cs="Arial"/>
        </w:rPr>
        <w:t xml:space="preserve"> </w:t>
      </w:r>
      <w:r w:rsidRPr="00CD59CC">
        <w:rPr>
          <w:rFonts w:ascii="Arial" w:hAnsi="Arial" w:cs="Arial"/>
        </w:rPr>
        <w:t>carry</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instructions,</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lead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avoid</w:t>
      </w:r>
      <w:r w:rsidR="007B7640" w:rsidRPr="00CD59CC">
        <w:rPr>
          <w:rFonts w:ascii="Arial" w:hAnsi="Arial" w:cs="Arial"/>
        </w:rPr>
        <w:t xml:space="preserve"> </w:t>
      </w:r>
      <w:r w:rsidRPr="00CD59CC">
        <w:rPr>
          <w:rFonts w:ascii="Arial" w:hAnsi="Arial" w:cs="Arial"/>
        </w:rPr>
        <w:t>liability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unlawful</w:t>
      </w:r>
      <w:r w:rsidR="007B7640" w:rsidRPr="00CD59CC">
        <w:rPr>
          <w:rFonts w:ascii="Arial" w:hAnsi="Arial" w:cs="Arial"/>
        </w:rPr>
        <w:t xml:space="preserve"> </w:t>
      </w:r>
      <w:r w:rsidRPr="00CD59CC">
        <w:rPr>
          <w:rFonts w:ascii="Arial" w:hAnsi="Arial" w:cs="Arial"/>
        </w:rPr>
        <w:t>instructions</w:t>
      </w:r>
      <w:r w:rsidR="007B7640" w:rsidRPr="00CD59CC">
        <w:rPr>
          <w:rFonts w:ascii="Arial" w:hAnsi="Arial" w:cs="Arial"/>
        </w:rPr>
        <w:t xml:space="preserve"> </w:t>
      </w:r>
      <w:r w:rsidRPr="00CD59CC">
        <w:rPr>
          <w:rFonts w:ascii="Arial" w:hAnsi="Arial" w:cs="Arial"/>
        </w:rPr>
        <w:t>contractors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terminate</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contracts</w:t>
      </w:r>
      <w:r w:rsidR="007B7640" w:rsidRPr="00CD59CC">
        <w:rPr>
          <w:rFonts w:ascii="Arial" w:hAnsi="Arial" w:cs="Arial"/>
        </w:rPr>
        <w:t xml:space="preserve"> </w:t>
      </w:r>
      <w:r w:rsidRPr="00CD59CC">
        <w:rPr>
          <w:rFonts w:ascii="Arial" w:hAnsi="Arial" w:cs="Arial"/>
        </w:rPr>
        <w:t>[Articles</w:t>
      </w:r>
      <w:r w:rsidR="007B7640" w:rsidRPr="00CD59CC">
        <w:rPr>
          <w:rFonts w:ascii="Arial" w:hAnsi="Arial" w:cs="Arial"/>
        </w:rPr>
        <w:t xml:space="preserve"> </w:t>
      </w:r>
      <w:r w:rsidRPr="00CD59CC">
        <w:rPr>
          <w:rFonts w:ascii="Arial" w:hAnsi="Arial" w:cs="Arial"/>
        </w:rPr>
        <w:t>395</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483</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clear</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put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giving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discriminate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more</w:t>
      </w:r>
      <w:r w:rsidR="007B7640" w:rsidRPr="00CD59CC">
        <w:rPr>
          <w:rFonts w:ascii="Arial" w:hAnsi="Arial" w:cs="Arial"/>
        </w:rPr>
        <w:t xml:space="preserve"> </w:t>
      </w:r>
      <w:r w:rsidRPr="00CD59CC">
        <w:rPr>
          <w:rFonts w:ascii="Arial" w:hAnsi="Arial" w:cs="Arial"/>
        </w:rPr>
        <w:t>advantageous</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compared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receiving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comparison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relations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described</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works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detriment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self-employed</w:t>
      </w:r>
      <w:r w:rsidR="007B7640" w:rsidRPr="00CD59CC">
        <w:rPr>
          <w:rFonts w:ascii="Arial" w:hAnsi="Arial" w:cs="Arial"/>
        </w:rPr>
        <w:t xml:space="preserve"> </w:t>
      </w:r>
      <w:r w:rsidRPr="00CD59CC">
        <w:rPr>
          <w:rFonts w:ascii="Arial" w:hAnsi="Arial" w:cs="Arial"/>
        </w:rPr>
        <w:t>persons.</w:t>
      </w:r>
    </w:p>
    <w:p w14:paraId="4DFE638D" w14:textId="77777777" w:rsidR="00E80DEC" w:rsidRPr="00CD59CC" w:rsidRDefault="00E80DEC" w:rsidP="00CD59CC">
      <w:pPr>
        <w:rPr>
          <w:rFonts w:ascii="Arial" w:hAnsi="Arial" w:cs="Arial"/>
        </w:rPr>
      </w:pPr>
    </w:p>
    <w:p w14:paraId="333DF61C" w14:textId="3D738364" w:rsidR="00E80DEC" w:rsidRPr="00CD59CC" w:rsidRDefault="00E80DEC"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criminal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discriminatory</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amounts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criminal</w:t>
      </w:r>
      <w:r w:rsidR="007B7640" w:rsidRPr="00CD59CC">
        <w:rPr>
          <w:rFonts w:ascii="Arial" w:hAnsi="Arial" w:cs="Arial"/>
        </w:rPr>
        <w:t xml:space="preserve"> </w:t>
      </w:r>
      <w:r w:rsidRPr="00CD59CC">
        <w:rPr>
          <w:rFonts w:ascii="Arial" w:hAnsi="Arial" w:cs="Arial"/>
        </w:rPr>
        <w:t>offence,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giving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liable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14</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Criminal</w:t>
      </w:r>
      <w:r w:rsidR="007B7640" w:rsidRPr="00CD59CC">
        <w:rPr>
          <w:rFonts w:ascii="Arial" w:hAnsi="Arial" w:cs="Arial"/>
        </w:rPr>
        <w:t xml:space="preserve"> </w:t>
      </w:r>
      <w:r w:rsidRPr="00CD59CC">
        <w:rPr>
          <w:rFonts w:ascii="Arial" w:hAnsi="Arial" w:cs="Arial"/>
        </w:rPr>
        <w:t>Code.</w:t>
      </w:r>
    </w:p>
    <w:p w14:paraId="6B175A80" w14:textId="77777777" w:rsidR="00E80DEC" w:rsidRPr="00CD59CC" w:rsidRDefault="00E80DEC" w:rsidP="00CD59CC">
      <w:pPr>
        <w:rPr>
          <w:rFonts w:ascii="Arial" w:hAnsi="Arial" w:cs="Arial"/>
        </w:rPr>
      </w:pPr>
    </w:p>
    <w:p w14:paraId="79F7C187" w14:textId="77777777" w:rsidR="00E80DEC" w:rsidRPr="00CD59CC" w:rsidRDefault="00E80DEC" w:rsidP="00CD59CC">
      <w:pPr>
        <w:rPr>
          <w:rFonts w:ascii="Arial" w:hAnsi="Arial" w:cs="Arial"/>
        </w:rPr>
      </w:pPr>
      <w:r w:rsidRPr="00CD59CC">
        <w:rPr>
          <w:rFonts w:ascii="Arial" w:hAnsi="Arial" w:cs="Arial"/>
        </w:rPr>
        <w:t>There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further</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existing</w:t>
      </w:r>
      <w:r w:rsidR="007B7640" w:rsidRPr="00CD59CC">
        <w:rPr>
          <w:rFonts w:ascii="Arial" w:hAnsi="Arial" w:cs="Arial"/>
        </w:rPr>
        <w:t xml:space="preserve"> </w:t>
      </w:r>
      <w:r w:rsidRPr="00CD59CC">
        <w:rPr>
          <w:rFonts w:ascii="Arial" w:hAnsi="Arial" w:cs="Arial"/>
        </w:rPr>
        <w:t>framework</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seems</w:t>
      </w:r>
      <w:r w:rsidR="007B7640" w:rsidRPr="00CD59CC">
        <w:rPr>
          <w:rFonts w:ascii="Arial" w:hAnsi="Arial" w:cs="Arial"/>
        </w:rPr>
        <w:t xml:space="preserve"> </w:t>
      </w:r>
      <w:r w:rsidRPr="00CD59CC">
        <w:rPr>
          <w:rFonts w:ascii="Arial" w:hAnsi="Arial" w:cs="Arial"/>
        </w:rPr>
        <w:t>sufficient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assert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liability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example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171/2007</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engaged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lease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workforce</w:t>
      </w:r>
      <w:r w:rsidR="007B7640" w:rsidRPr="00CD59CC">
        <w:rPr>
          <w:rFonts w:ascii="Arial" w:hAnsi="Arial" w:cs="Arial"/>
        </w:rPr>
        <w:t xml:space="preserve"> </w:t>
      </w:r>
      <w:r w:rsidRPr="00CD59CC">
        <w:rPr>
          <w:rFonts w:ascii="Arial" w:hAnsi="Arial" w:cs="Arial"/>
        </w:rPr>
        <w:t>recruited</w:t>
      </w:r>
      <w:r w:rsidR="007B7640" w:rsidRPr="00CD59CC">
        <w:rPr>
          <w:rFonts w:ascii="Arial" w:hAnsi="Arial" w:cs="Arial"/>
        </w:rPr>
        <w:t xml:space="preserve"> </w:t>
      </w:r>
      <w:r w:rsidRPr="00CD59CC">
        <w:rPr>
          <w:rFonts w:ascii="Arial" w:hAnsi="Arial" w:cs="Arial"/>
        </w:rPr>
        <w:t>workers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job</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Budapest.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three</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complainants</w:t>
      </w:r>
      <w:r w:rsidR="007B7640" w:rsidRPr="00CD59CC">
        <w:rPr>
          <w:rFonts w:ascii="Arial" w:hAnsi="Arial" w:cs="Arial"/>
        </w:rPr>
        <w:t xml:space="preserve"> </w:t>
      </w:r>
      <w:r w:rsidRPr="00CD59CC">
        <w:rPr>
          <w:rFonts w:ascii="Arial" w:hAnsi="Arial" w:cs="Arial"/>
        </w:rPr>
        <w:t>called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appointment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director.</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meeting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director</w:t>
      </w:r>
      <w:r w:rsidR="007B7640" w:rsidRPr="00CD59CC">
        <w:rPr>
          <w:rFonts w:ascii="Arial" w:hAnsi="Arial" w:cs="Arial"/>
        </w:rPr>
        <w:t xml:space="preserve"> </w:t>
      </w:r>
      <w:r w:rsidRPr="00CD59CC">
        <w:rPr>
          <w:rFonts w:ascii="Arial" w:hAnsi="Arial" w:cs="Arial"/>
        </w:rPr>
        <w:t>described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conditions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indicated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should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started</w:t>
      </w:r>
      <w:r w:rsidR="007B7640" w:rsidRPr="00CD59CC">
        <w:rPr>
          <w:rFonts w:ascii="Arial" w:hAnsi="Arial" w:cs="Arial"/>
        </w:rPr>
        <w:t xml:space="preserve"> </w:t>
      </w:r>
      <w:r w:rsidRPr="00CD59CC">
        <w:rPr>
          <w:rFonts w:ascii="Arial" w:hAnsi="Arial" w:cs="Arial"/>
        </w:rPr>
        <w:t>during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week,</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another</w:t>
      </w:r>
      <w:r w:rsidR="007B7640" w:rsidRPr="00CD59CC">
        <w:rPr>
          <w:rFonts w:ascii="Arial" w:hAnsi="Arial" w:cs="Arial"/>
        </w:rPr>
        <w:t xml:space="preserve"> </w:t>
      </w:r>
      <w:r w:rsidRPr="00CD59CC">
        <w:rPr>
          <w:rFonts w:ascii="Arial" w:hAnsi="Arial" w:cs="Arial"/>
        </w:rPr>
        <w:t>7-8</w:t>
      </w:r>
      <w:r w:rsidR="007B7640" w:rsidRPr="00CD59CC">
        <w:rPr>
          <w:rFonts w:ascii="Arial" w:hAnsi="Arial" w:cs="Arial"/>
        </w:rPr>
        <w:t xml:space="preserve"> </w:t>
      </w:r>
      <w:r w:rsidRPr="00CD59CC">
        <w:rPr>
          <w:rFonts w:ascii="Arial" w:hAnsi="Arial" w:cs="Arial"/>
        </w:rPr>
        <w:t>workers</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needed.</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day,</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sent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message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another</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non-Roma</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candidate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non-Roma</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needed,</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workers</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leased</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indicated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want</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workers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sent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job.</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lastRenderedPageBreak/>
        <w:t>discrimination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imposed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fine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HUF</w:t>
      </w:r>
      <w:r w:rsidR="007B7640" w:rsidRPr="00CD59CC">
        <w:rPr>
          <w:rFonts w:ascii="Arial" w:hAnsi="Arial" w:cs="Arial"/>
        </w:rPr>
        <w:t xml:space="preserve"> </w:t>
      </w:r>
      <w:r w:rsidRPr="00CD59CC">
        <w:rPr>
          <w:rFonts w:ascii="Arial" w:hAnsi="Arial" w:cs="Arial"/>
        </w:rPr>
        <w:t>1,000,000</w:t>
      </w:r>
      <w:r w:rsidR="007B7640" w:rsidRPr="00CD59CC">
        <w:rPr>
          <w:rFonts w:ascii="Arial" w:hAnsi="Arial" w:cs="Arial"/>
        </w:rPr>
        <w:t xml:space="preserve"> </w:t>
      </w:r>
      <w:r w:rsidRPr="00CD59CC">
        <w:rPr>
          <w:rFonts w:ascii="Arial" w:hAnsi="Arial" w:cs="Arial"/>
        </w:rPr>
        <w:t>(EUR</w:t>
      </w:r>
      <w:r w:rsidR="007B7640" w:rsidRPr="00CD59CC">
        <w:rPr>
          <w:rFonts w:ascii="Arial" w:hAnsi="Arial" w:cs="Arial"/>
        </w:rPr>
        <w:t xml:space="preserve"> </w:t>
      </w:r>
      <w:r w:rsidRPr="00CD59CC">
        <w:rPr>
          <w:rFonts w:ascii="Arial" w:hAnsi="Arial" w:cs="Arial"/>
        </w:rPr>
        <w:t>3,330)</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companies.</w:t>
      </w:r>
    </w:p>
    <w:p w14:paraId="30C860F0" w14:textId="77777777" w:rsidR="00E80DEC" w:rsidRPr="00CD59CC" w:rsidRDefault="00E80DEC" w:rsidP="00CD59CC">
      <w:pPr>
        <w:pStyle w:val="ListParagraph"/>
        <w:tabs>
          <w:tab w:val="left" w:pos="567"/>
        </w:tabs>
        <w:ind w:left="0"/>
        <w:contextualSpacing/>
        <w:rPr>
          <w:rFonts w:ascii="Arial" w:hAnsi="Arial" w:cs="Arial"/>
        </w:rPr>
      </w:pPr>
    </w:p>
    <w:p w14:paraId="123BABA3" w14:textId="77777777" w:rsidR="002B5BCD" w:rsidRPr="00CD59CC" w:rsidRDefault="002B5BCD" w:rsidP="00CD59CC">
      <w:pPr>
        <w:pStyle w:val="ListParagraph"/>
        <w:numPr>
          <w:ilvl w:val="0"/>
          <w:numId w:val="27"/>
        </w:numPr>
        <w:tabs>
          <w:tab w:val="left" w:pos="567"/>
        </w:tabs>
        <w:ind w:left="567" w:hanging="567"/>
        <w:contextualSpacing/>
        <w:rPr>
          <w:rFonts w:ascii="Arial" w:hAnsi="Arial" w:cs="Arial"/>
          <w:i/>
        </w:rPr>
      </w:pP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go</w:t>
      </w:r>
      <w:r w:rsidR="007B7640" w:rsidRPr="00CD59CC">
        <w:rPr>
          <w:rFonts w:ascii="Arial" w:hAnsi="Arial" w:cs="Arial"/>
          <w:i/>
        </w:rPr>
        <w:t xml:space="preserve"> </w:t>
      </w:r>
      <w:r w:rsidRPr="00CD59CC">
        <w:rPr>
          <w:rFonts w:ascii="Arial" w:hAnsi="Arial" w:cs="Arial"/>
          <w:i/>
        </w:rPr>
        <w:t>beyond</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Directives’</w:t>
      </w:r>
      <w:r w:rsidR="007B7640" w:rsidRPr="00CD59CC">
        <w:rPr>
          <w:rFonts w:ascii="Arial" w:hAnsi="Arial" w:cs="Arial"/>
          <w:i/>
        </w:rPr>
        <w:t xml:space="preserve"> </w:t>
      </w:r>
      <w:r w:rsidRPr="00CD59CC">
        <w:rPr>
          <w:rFonts w:ascii="Arial" w:hAnsi="Arial" w:cs="Arial"/>
          <w:i/>
        </w:rPr>
        <w:t>requirement?</w:t>
      </w:r>
      <w:r w:rsidR="007B7640" w:rsidRPr="00CD59CC">
        <w:rPr>
          <w:rFonts w:ascii="Arial" w:hAnsi="Arial" w:cs="Arial"/>
          <w:i/>
        </w:rPr>
        <w:t xml:space="preserve"> </w:t>
      </w:r>
      <w:r w:rsidRPr="00CD59CC">
        <w:rPr>
          <w:rFonts w:ascii="Arial" w:hAnsi="Arial" w:cs="Arial"/>
          <w:i/>
        </w:rPr>
        <w:t>(e.g.</w:t>
      </w:r>
      <w:r w:rsidR="007B7640" w:rsidRPr="00CD59CC">
        <w:rPr>
          <w:rFonts w:ascii="Arial" w:hAnsi="Arial" w:cs="Arial"/>
          <w:i/>
        </w:rPr>
        <w:t xml:space="preserve"> </w:t>
      </w:r>
      <w:r w:rsidRPr="00CD59CC">
        <w:rPr>
          <w:rFonts w:ascii="Arial" w:hAnsi="Arial" w:cs="Arial"/>
          <w:i/>
        </w:rPr>
        <w:t>including</w:t>
      </w:r>
      <w:r w:rsidR="007B7640" w:rsidRPr="00CD59CC">
        <w:rPr>
          <w:rFonts w:ascii="Arial" w:hAnsi="Arial" w:cs="Arial"/>
          <w:i/>
        </w:rPr>
        <w:t xml:space="preserve"> </w:t>
      </w:r>
      <w:r w:rsidRPr="00CD59CC">
        <w:rPr>
          <w:rFonts w:ascii="Arial" w:hAnsi="Arial" w:cs="Arial"/>
          <w:i/>
        </w:rPr>
        <w:t>incitement)</w:t>
      </w:r>
    </w:p>
    <w:p w14:paraId="16343487" w14:textId="77777777" w:rsidR="002B5BCD" w:rsidRPr="00CD59CC" w:rsidRDefault="002B5BCD" w:rsidP="00CD59CC">
      <w:pPr>
        <w:pStyle w:val="ListParagraph"/>
        <w:tabs>
          <w:tab w:val="left" w:pos="567"/>
        </w:tabs>
        <w:ind w:left="0"/>
        <w:contextualSpacing/>
        <w:rPr>
          <w:rFonts w:ascii="Arial" w:hAnsi="Arial" w:cs="Arial"/>
          <w:i/>
        </w:rPr>
      </w:pPr>
    </w:p>
    <w:p w14:paraId="6BCFEE3D" w14:textId="77777777" w:rsidR="00C42748" w:rsidRPr="00CD59CC" w:rsidRDefault="00C42748" w:rsidP="00CD59CC">
      <w:pPr>
        <w:pStyle w:val="ListParagraph"/>
        <w:tabs>
          <w:tab w:val="left" w:pos="567"/>
        </w:tabs>
        <w:ind w:left="0"/>
        <w:contextualSpacing/>
        <w:rPr>
          <w:rFonts w:ascii="Arial" w:hAnsi="Arial" w:cs="Arial"/>
        </w:rPr>
      </w:pPr>
      <w:r w:rsidRPr="00CD59CC">
        <w:rPr>
          <w:rFonts w:ascii="Arial" w:hAnsi="Arial" w:cs="Arial"/>
        </w:rPr>
        <w:t>Incitement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sanctioned</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reaches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level</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criminality.</w:t>
      </w:r>
      <w:r w:rsidR="007B7640" w:rsidRPr="00CD59CC">
        <w:rPr>
          <w:rFonts w:ascii="Arial" w:hAnsi="Arial" w:cs="Arial"/>
        </w:rPr>
        <w:t xml:space="preserve"> </w:t>
      </w:r>
      <w:r w:rsidRPr="00CD59CC">
        <w:rPr>
          <w:rFonts w:ascii="Arial" w:hAnsi="Arial" w:cs="Arial"/>
        </w:rPr>
        <w:t>Otherwise</w:t>
      </w:r>
      <w:r w:rsidR="007B7640" w:rsidRPr="00CD59CC">
        <w:rPr>
          <w:rFonts w:ascii="Arial" w:hAnsi="Arial" w:cs="Arial"/>
        </w:rPr>
        <w:t xml:space="preserve"> </w:t>
      </w:r>
      <w:r w:rsidRPr="00CD59CC">
        <w:rPr>
          <w:rFonts w:ascii="Arial" w:hAnsi="Arial" w:cs="Arial"/>
        </w:rPr>
        <w:t>incitement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cannot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sanctioned</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law.</w:t>
      </w:r>
    </w:p>
    <w:p w14:paraId="22F39A24" w14:textId="77777777" w:rsidR="00E80DEC" w:rsidRPr="00CD59CC" w:rsidRDefault="00E80DEC" w:rsidP="00CD59CC">
      <w:pPr>
        <w:pStyle w:val="ListParagraph"/>
        <w:tabs>
          <w:tab w:val="left" w:pos="567"/>
        </w:tabs>
        <w:ind w:left="0"/>
        <w:contextualSpacing/>
        <w:rPr>
          <w:rFonts w:ascii="Arial" w:hAnsi="Arial" w:cs="Arial"/>
          <w:i/>
        </w:rPr>
      </w:pPr>
    </w:p>
    <w:p w14:paraId="766D13D8" w14:textId="5503B752" w:rsidR="002B5BCD" w:rsidRPr="00CD59CC" w:rsidRDefault="002B5BCD" w:rsidP="00CD59CC">
      <w:pPr>
        <w:pStyle w:val="ListParagraph"/>
        <w:numPr>
          <w:ilvl w:val="0"/>
          <w:numId w:val="27"/>
        </w:numPr>
        <w:tabs>
          <w:tab w:val="left" w:pos="567"/>
        </w:tabs>
        <w:ind w:left="567" w:hanging="567"/>
        <w:contextualSpacing/>
        <w:rPr>
          <w:rFonts w:ascii="Arial" w:hAnsi="Arial" w:cs="Arial"/>
          <w:i/>
        </w:rPr>
      </w:pPr>
      <w:r w:rsidRPr="00CD59CC">
        <w:rPr>
          <w:rFonts w:ascii="Arial" w:hAnsi="Arial" w:cs="Arial"/>
          <w:i/>
        </w:rPr>
        <w:t>What</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scope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liability</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Specifically,</w:t>
      </w:r>
      <w:r w:rsidR="007B7640" w:rsidRPr="00CD59CC">
        <w:rPr>
          <w:rFonts w:ascii="Arial" w:hAnsi="Arial" w:cs="Arial"/>
          <w:i/>
        </w:rPr>
        <w:t xml:space="preserve"> </w:t>
      </w:r>
      <w:r w:rsidRPr="00CD59CC">
        <w:rPr>
          <w:rFonts w:ascii="Arial" w:hAnsi="Arial" w:cs="Arial"/>
          <w:i/>
        </w:rPr>
        <w:t>can</w:t>
      </w:r>
      <w:r w:rsidR="007B7640" w:rsidRPr="00CD59CC">
        <w:rPr>
          <w:rFonts w:ascii="Arial" w:hAnsi="Arial" w:cs="Arial"/>
          <w:i/>
        </w:rPr>
        <w:t xml:space="preserve"> </w:t>
      </w:r>
      <w:r w:rsidRPr="00CD59CC">
        <w:rPr>
          <w:rFonts w:ascii="Arial" w:hAnsi="Arial" w:cs="Arial"/>
          <w:i/>
        </w:rPr>
        <w:t>employers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00852908" w:rsidRPr="00CD59CC">
        <w:rPr>
          <w:rFonts w:ascii="Arial" w:hAnsi="Arial" w:cs="Arial"/>
          <w:i/>
        </w:rPr>
        <w:t>service</w:t>
      </w:r>
      <w:r w:rsidR="007B7640" w:rsidRPr="00CD59CC">
        <w:rPr>
          <w:rFonts w:ascii="Arial" w:hAnsi="Arial" w:cs="Arial"/>
          <w:i/>
        </w:rPr>
        <w:t xml:space="preserve"> </w:t>
      </w:r>
      <w:r w:rsidR="00852908" w:rsidRPr="00CD59CC">
        <w:rPr>
          <w:rFonts w:ascii="Arial" w:hAnsi="Arial" w:cs="Arial"/>
          <w:i/>
        </w:rPr>
        <w:t>providers</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case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racial</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ethnic</w:t>
      </w:r>
      <w:r w:rsidR="007B7640" w:rsidRPr="00CD59CC">
        <w:rPr>
          <w:rFonts w:ascii="Arial" w:hAnsi="Arial" w:cs="Arial"/>
          <w:i/>
        </w:rPr>
        <w:t xml:space="preserve"> </w:t>
      </w:r>
      <w:r w:rsidRPr="00CD59CC">
        <w:rPr>
          <w:rFonts w:ascii="Arial" w:hAnsi="Arial" w:cs="Arial"/>
          <w:i/>
        </w:rPr>
        <w:t>origin)(e.g.</w:t>
      </w:r>
      <w:r w:rsidR="007B7640" w:rsidRPr="00CD59CC">
        <w:rPr>
          <w:rFonts w:ascii="Arial" w:hAnsi="Arial" w:cs="Arial"/>
          <w:i/>
        </w:rPr>
        <w:t xml:space="preserve"> </w:t>
      </w:r>
      <w:r w:rsidRPr="00CD59CC">
        <w:rPr>
          <w:rFonts w:ascii="Arial" w:hAnsi="Arial" w:cs="Arial"/>
          <w:i/>
        </w:rPr>
        <w:t>landlords,</w:t>
      </w:r>
      <w:r w:rsidR="007B7640" w:rsidRPr="00CD59CC">
        <w:rPr>
          <w:rFonts w:ascii="Arial" w:hAnsi="Arial" w:cs="Arial"/>
          <w:i/>
        </w:rPr>
        <w:t xml:space="preserve"> </w:t>
      </w:r>
      <w:r w:rsidRPr="00CD59CC">
        <w:rPr>
          <w:rFonts w:ascii="Arial" w:hAnsi="Arial" w:cs="Arial"/>
          <w:i/>
        </w:rPr>
        <w:t>schools,</w:t>
      </w:r>
      <w:r w:rsidR="007B7640" w:rsidRPr="00CD59CC">
        <w:rPr>
          <w:rFonts w:ascii="Arial" w:hAnsi="Arial" w:cs="Arial"/>
          <w:i/>
        </w:rPr>
        <w:t xml:space="preserve"> </w:t>
      </w:r>
      <w:r w:rsidRPr="00CD59CC">
        <w:rPr>
          <w:rFonts w:ascii="Arial" w:hAnsi="Arial" w:cs="Arial"/>
          <w:i/>
        </w:rPr>
        <w:t>hospitals)</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held</w:t>
      </w:r>
      <w:r w:rsidR="007B7640" w:rsidRPr="00CD59CC">
        <w:rPr>
          <w:rFonts w:ascii="Arial" w:hAnsi="Arial" w:cs="Arial"/>
          <w:i/>
        </w:rPr>
        <w:t xml:space="preserve"> </w:t>
      </w:r>
      <w:r w:rsidRPr="00CD59CC">
        <w:rPr>
          <w:rFonts w:ascii="Arial" w:hAnsi="Arial" w:cs="Arial"/>
          <w:i/>
        </w:rPr>
        <w:t>liable</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actions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employees</w:t>
      </w:r>
      <w:r w:rsidR="007B7640" w:rsidRPr="00CD59CC">
        <w:rPr>
          <w:rFonts w:ascii="Arial" w:hAnsi="Arial" w:cs="Arial"/>
          <w:i/>
        </w:rPr>
        <w:t xml:space="preserve"> </w:t>
      </w:r>
      <w:r w:rsidR="00E80EE8" w:rsidRPr="00CD59CC">
        <w:rPr>
          <w:rFonts w:ascii="Arial" w:hAnsi="Arial" w:cs="Arial"/>
          <w:i/>
        </w:rPr>
        <w:t>giving</w:t>
      </w:r>
      <w:r w:rsidR="007B7640" w:rsidRPr="00CD59CC">
        <w:rPr>
          <w:rFonts w:ascii="Arial" w:hAnsi="Arial" w:cs="Arial"/>
          <w:i/>
        </w:rPr>
        <w:t xml:space="preserve"> </w:t>
      </w:r>
      <w:r w:rsidR="00E80EE8" w:rsidRPr="00CD59CC">
        <w:rPr>
          <w:rFonts w:ascii="Arial" w:hAnsi="Arial" w:cs="Arial"/>
          <w:i/>
        </w:rPr>
        <w:t>instruction</w:t>
      </w:r>
      <w:r w:rsidR="007B7640" w:rsidRPr="00CD59CC">
        <w:rPr>
          <w:rFonts w:ascii="Arial" w:hAnsi="Arial" w:cs="Arial"/>
          <w:i/>
        </w:rPr>
        <w:t xml:space="preserve"> </w:t>
      </w:r>
      <w:r w:rsidR="00E80EE8" w:rsidRPr="00CD59CC">
        <w:rPr>
          <w:rFonts w:ascii="Arial" w:hAnsi="Arial" w:cs="Arial"/>
          <w:i/>
        </w:rPr>
        <w:t>to</w:t>
      </w:r>
      <w:r w:rsidR="007B7640" w:rsidRPr="00CD59CC">
        <w:rPr>
          <w:rFonts w:ascii="Arial" w:hAnsi="Arial" w:cs="Arial"/>
          <w:i/>
        </w:rPr>
        <w:t xml:space="preserve"> </w:t>
      </w:r>
      <w:r w:rsidR="00E80EE8" w:rsidRPr="00CD59CC">
        <w:rPr>
          <w:rFonts w:ascii="Arial" w:hAnsi="Arial" w:cs="Arial"/>
          <w:i/>
        </w:rPr>
        <w:t>discriminate</w:t>
      </w:r>
      <w:r w:rsidRPr="00CD59CC">
        <w:rPr>
          <w:rFonts w:ascii="Arial" w:hAnsi="Arial" w:cs="Arial"/>
          <w:i/>
        </w:rPr>
        <w:t>?</w:t>
      </w:r>
      <w:r w:rsidR="007B7640" w:rsidRPr="00CD59CC">
        <w:rPr>
          <w:rFonts w:ascii="Arial" w:hAnsi="Arial" w:cs="Arial"/>
          <w:i/>
        </w:rPr>
        <w:t xml:space="preserve"> </w:t>
      </w:r>
      <w:r w:rsidRPr="00CD59CC">
        <w:rPr>
          <w:rFonts w:ascii="Arial" w:hAnsi="Arial" w:cs="Arial"/>
          <w:i/>
        </w:rPr>
        <w:t>Can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individual</w:t>
      </w:r>
      <w:r w:rsidR="007B7640" w:rsidRPr="00CD59CC">
        <w:rPr>
          <w:rFonts w:ascii="Arial" w:hAnsi="Arial" w:cs="Arial"/>
          <w:i/>
        </w:rPr>
        <w:t xml:space="preserve">  </w:t>
      </w:r>
      <w:r w:rsidR="007B2B9E" w:rsidRPr="00CD59CC">
        <w:rPr>
          <w:rFonts w:ascii="Arial" w:hAnsi="Arial" w:cs="Arial"/>
          <w:i/>
        </w:rPr>
        <w:t>who</w:t>
      </w:r>
      <w:r w:rsidR="007B7640" w:rsidRPr="00CD59CC">
        <w:rPr>
          <w:rFonts w:ascii="Arial" w:hAnsi="Arial" w:cs="Arial"/>
          <w:i/>
        </w:rPr>
        <w:t xml:space="preserve"> </w:t>
      </w:r>
      <w:r w:rsidRPr="00CD59CC">
        <w:rPr>
          <w:rFonts w:ascii="Arial" w:hAnsi="Arial" w:cs="Arial"/>
          <w:i/>
        </w:rPr>
        <w:t>discriminat</w:t>
      </w:r>
      <w:r w:rsidR="007B2B9E" w:rsidRPr="00CD59CC">
        <w:rPr>
          <w:rFonts w:ascii="Arial" w:hAnsi="Arial" w:cs="Arial"/>
          <w:i/>
        </w:rPr>
        <w:t>ed</w:t>
      </w:r>
      <w:r w:rsidR="007B7640" w:rsidRPr="00CD59CC">
        <w:rPr>
          <w:rFonts w:ascii="Arial" w:hAnsi="Arial" w:cs="Arial"/>
          <w:i/>
        </w:rPr>
        <w:t xml:space="preserve"> </w:t>
      </w:r>
      <w:r w:rsidR="00E80EE8" w:rsidRPr="00CD59CC">
        <w:rPr>
          <w:rFonts w:ascii="Arial" w:hAnsi="Arial" w:cs="Arial"/>
          <w:i/>
        </w:rPr>
        <w:t>because</w:t>
      </w:r>
      <w:r w:rsidR="007B7640" w:rsidRPr="00CD59CC">
        <w:rPr>
          <w:rFonts w:ascii="Arial" w:hAnsi="Arial" w:cs="Arial"/>
          <w:i/>
        </w:rPr>
        <w:t xml:space="preserve"> </w:t>
      </w:r>
      <w:r w:rsidR="00E80EE8" w:rsidRPr="00CD59CC">
        <w:rPr>
          <w:rFonts w:ascii="Arial" w:hAnsi="Arial" w:cs="Arial"/>
          <w:i/>
        </w:rPr>
        <w:t>s/he</w:t>
      </w:r>
      <w:r w:rsidR="007B7640" w:rsidRPr="00CD59CC">
        <w:rPr>
          <w:rFonts w:ascii="Arial" w:hAnsi="Arial" w:cs="Arial"/>
          <w:i/>
        </w:rPr>
        <w:t xml:space="preserve"> </w:t>
      </w:r>
      <w:r w:rsidR="00E80EE8" w:rsidRPr="00CD59CC">
        <w:rPr>
          <w:rFonts w:ascii="Arial" w:hAnsi="Arial" w:cs="Arial"/>
          <w:i/>
        </w:rPr>
        <w:t>received</w:t>
      </w:r>
      <w:r w:rsidR="007B7640" w:rsidRPr="00CD59CC">
        <w:rPr>
          <w:rFonts w:ascii="Arial" w:hAnsi="Arial" w:cs="Arial"/>
          <w:i/>
        </w:rPr>
        <w:t xml:space="preserve"> </w:t>
      </w:r>
      <w:r w:rsidR="00E80EE8" w:rsidRPr="00CD59CC">
        <w:rPr>
          <w:rFonts w:ascii="Arial" w:hAnsi="Arial" w:cs="Arial"/>
          <w:i/>
        </w:rPr>
        <w:t>such</w:t>
      </w:r>
      <w:r w:rsidR="007B7640" w:rsidRPr="00CD59CC">
        <w:rPr>
          <w:rFonts w:ascii="Arial" w:hAnsi="Arial" w:cs="Arial"/>
          <w:i/>
        </w:rPr>
        <w:t xml:space="preserve"> </w:t>
      </w:r>
      <w:r w:rsidR="00E80EE8" w:rsidRPr="00CD59CC">
        <w:rPr>
          <w:rFonts w:ascii="Arial" w:hAnsi="Arial" w:cs="Arial"/>
          <w:i/>
        </w:rPr>
        <w:t>an</w:t>
      </w:r>
      <w:r w:rsidR="007B7640" w:rsidRPr="00CD59CC">
        <w:rPr>
          <w:rFonts w:ascii="Arial" w:hAnsi="Arial" w:cs="Arial"/>
          <w:i/>
        </w:rPr>
        <w:t xml:space="preserve"> </w:t>
      </w:r>
      <w:r w:rsidR="00E80EE8" w:rsidRPr="00CD59CC">
        <w:rPr>
          <w:rFonts w:ascii="Arial" w:hAnsi="Arial" w:cs="Arial"/>
          <w:i/>
        </w:rPr>
        <w:t>instruction</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held</w:t>
      </w:r>
      <w:r w:rsidR="007B7640" w:rsidRPr="00CD59CC">
        <w:rPr>
          <w:rFonts w:ascii="Arial" w:hAnsi="Arial" w:cs="Arial"/>
          <w:i/>
        </w:rPr>
        <w:t xml:space="preserve"> </w:t>
      </w:r>
      <w:r w:rsidRPr="00CD59CC">
        <w:rPr>
          <w:rFonts w:ascii="Arial" w:hAnsi="Arial" w:cs="Arial"/>
          <w:i/>
        </w:rPr>
        <w:t>liable?</w:t>
      </w:r>
      <w:r w:rsidR="007B7640" w:rsidRPr="00CD59CC">
        <w:rPr>
          <w:rFonts w:ascii="Arial" w:hAnsi="Arial" w:cs="Arial"/>
          <w:i/>
        </w:rPr>
        <w:t xml:space="preserve"> </w:t>
      </w:r>
    </w:p>
    <w:p w14:paraId="519F2B38" w14:textId="77777777" w:rsidR="002B5BCD" w:rsidRPr="00BB4E9F" w:rsidRDefault="002B5BCD" w:rsidP="00BB4E9F">
      <w:pPr>
        <w:rPr>
          <w:rFonts w:ascii="Arial" w:hAnsi="Arial"/>
        </w:rPr>
      </w:pPr>
    </w:p>
    <w:p w14:paraId="6249F6F5" w14:textId="0A9CA2D4" w:rsidR="009B36F9" w:rsidRPr="00CD59CC" w:rsidRDefault="00C42748" w:rsidP="00BB4E9F">
      <w:pPr>
        <w:rPr>
          <w:rFonts w:ascii="Arial" w:hAnsi="Arial" w:cs="Arial"/>
        </w:rPr>
      </w:pPr>
      <w:r w:rsidRPr="00CD59CC">
        <w:rPr>
          <w:rFonts w:ascii="Arial" w:hAnsi="Arial" w:cs="Arial"/>
        </w:rPr>
        <w:t>What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forth</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2.4</w:t>
      </w:r>
      <w:r w:rsidR="007B7640" w:rsidRPr="00CD59CC">
        <w:rPr>
          <w:rFonts w:ascii="Arial" w:hAnsi="Arial" w:cs="Arial"/>
        </w:rPr>
        <w:t xml:space="preserve"> </w:t>
      </w:r>
      <w:r w:rsidRPr="00CD59CC">
        <w:rPr>
          <w:rFonts w:ascii="Arial" w:hAnsi="Arial" w:cs="Arial"/>
        </w:rPr>
        <w:t>(d)</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liability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service</w:t>
      </w:r>
      <w:r w:rsidR="007B7640" w:rsidRPr="00CD59CC">
        <w:rPr>
          <w:rFonts w:ascii="Arial" w:hAnsi="Arial" w:cs="Arial"/>
        </w:rPr>
        <w:t xml:space="preserve"> </w:t>
      </w:r>
      <w:r w:rsidRPr="00CD59CC">
        <w:rPr>
          <w:rFonts w:ascii="Arial" w:hAnsi="Arial" w:cs="Arial"/>
        </w:rPr>
        <w:t>providers,</w:t>
      </w:r>
      <w:r w:rsidR="007B7640" w:rsidRPr="00CD59CC">
        <w:rPr>
          <w:rFonts w:ascii="Arial" w:hAnsi="Arial" w:cs="Arial"/>
        </w:rPr>
        <w:t xml:space="preserve"> </w:t>
      </w:r>
      <w:r w:rsidRPr="00CD59CC">
        <w:rPr>
          <w:rFonts w:ascii="Arial" w:hAnsi="Arial" w:cs="Arial"/>
        </w:rPr>
        <w:t>etc.,</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applies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009B36F9"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discriminate.</w:t>
      </w:r>
      <w:r w:rsidR="007B7640" w:rsidRPr="00CD59CC">
        <w:rPr>
          <w:rFonts w:ascii="Arial" w:hAnsi="Arial" w:cs="Arial"/>
        </w:rPr>
        <w:t xml:space="preserve"> </w:t>
      </w:r>
    </w:p>
    <w:p w14:paraId="4A93F942" w14:textId="77777777" w:rsidR="002B5BCD" w:rsidRPr="00CD59CC" w:rsidRDefault="002B5BCD" w:rsidP="00CD59CC">
      <w:pPr>
        <w:rPr>
          <w:rFonts w:ascii="Arial" w:hAnsi="Arial" w:cs="Arial"/>
          <w:i/>
        </w:rPr>
      </w:pPr>
    </w:p>
    <w:p w14:paraId="29CE342A" w14:textId="361F50EB" w:rsidR="002B5BCD" w:rsidRPr="00CD59CC" w:rsidRDefault="002B5BCD" w:rsidP="00CD59CC">
      <w:pPr>
        <w:pStyle w:val="Heading2"/>
        <w:rPr>
          <w:rFonts w:cs="Arial"/>
        </w:rPr>
      </w:pPr>
      <w:bookmarkStart w:id="89" w:name="_Toc220221143"/>
      <w:bookmarkStart w:id="90" w:name="_Toc392758714"/>
      <w:bookmarkStart w:id="91" w:name="_Toc329163605"/>
      <w:bookmarkStart w:id="92" w:name="_Toc366846323"/>
      <w:r w:rsidRPr="00CD59CC">
        <w:rPr>
          <w:rFonts w:cs="Arial"/>
        </w:rPr>
        <w:t>Reasonable</w:t>
      </w:r>
      <w:r w:rsidR="007B7640" w:rsidRPr="00CD59CC">
        <w:rPr>
          <w:rFonts w:cs="Arial"/>
        </w:rPr>
        <w:t xml:space="preserve"> </w:t>
      </w:r>
      <w:r w:rsidRPr="00CD59CC">
        <w:rPr>
          <w:rFonts w:cs="Arial"/>
        </w:rPr>
        <w:t>accommodation</w:t>
      </w:r>
      <w:r w:rsidR="007B7640" w:rsidRPr="00CD59CC">
        <w:rPr>
          <w:rFonts w:cs="Arial"/>
        </w:rPr>
        <w:t xml:space="preserve"> </w:t>
      </w:r>
      <w:r w:rsidRPr="00CD59CC">
        <w:rPr>
          <w:rFonts w:cs="Arial"/>
        </w:rPr>
        <w:t>duties</w:t>
      </w:r>
      <w:r w:rsidR="007B7640" w:rsidRPr="00CD59CC">
        <w:rPr>
          <w:rFonts w:cs="Arial"/>
        </w:rPr>
        <w:t xml:space="preserve"> </w:t>
      </w:r>
      <w:r w:rsidRPr="00CD59CC">
        <w:rPr>
          <w:rFonts w:cs="Arial"/>
        </w:rPr>
        <w:t>(Article</w:t>
      </w:r>
      <w:r w:rsidR="007B7640" w:rsidRPr="00CD59CC">
        <w:rPr>
          <w:rFonts w:cs="Arial"/>
        </w:rPr>
        <w:t xml:space="preserve"> </w:t>
      </w:r>
      <w:r w:rsidRPr="00CD59CC">
        <w:rPr>
          <w:rFonts w:cs="Arial"/>
        </w:rPr>
        <w:t>2(2)(b)(ii)</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Article</w:t>
      </w:r>
      <w:r w:rsidR="007B7640" w:rsidRPr="00CD59CC">
        <w:rPr>
          <w:rFonts w:cs="Arial"/>
        </w:rPr>
        <w:t xml:space="preserve"> </w:t>
      </w:r>
      <w:r w:rsidRPr="00CD59CC">
        <w:rPr>
          <w:rFonts w:cs="Arial"/>
        </w:rPr>
        <w:t>5</w:t>
      </w:r>
      <w:r w:rsidR="007B7640" w:rsidRPr="00CD59CC">
        <w:rPr>
          <w:rFonts w:cs="Arial"/>
        </w:rPr>
        <w:t xml:space="preserve"> </w:t>
      </w:r>
      <w:r w:rsidRPr="00CD59CC">
        <w:rPr>
          <w:rFonts w:cs="Arial"/>
        </w:rPr>
        <w:t>Directive</w:t>
      </w:r>
      <w:r w:rsidR="007B7640" w:rsidRPr="00CD59CC">
        <w:rPr>
          <w:rFonts w:cs="Arial"/>
        </w:rPr>
        <w:t xml:space="preserve"> </w:t>
      </w:r>
      <w:r w:rsidRPr="00CD59CC">
        <w:rPr>
          <w:rFonts w:cs="Arial"/>
        </w:rPr>
        <w:t>2000/78)</w:t>
      </w:r>
      <w:bookmarkEnd w:id="89"/>
      <w:bookmarkEnd w:id="90"/>
      <w:bookmarkEnd w:id="91"/>
      <w:bookmarkEnd w:id="92"/>
    </w:p>
    <w:p w14:paraId="66B40B45" w14:textId="77777777" w:rsidR="002B5BCD" w:rsidRPr="00CD59CC" w:rsidRDefault="002B5BCD" w:rsidP="00CD59CC">
      <w:pPr>
        <w:rPr>
          <w:rFonts w:ascii="Arial" w:hAnsi="Arial" w:cs="Arial"/>
        </w:rPr>
      </w:pPr>
    </w:p>
    <w:p w14:paraId="24213201" w14:textId="6A702029" w:rsidR="002B5BCD" w:rsidRPr="00CD59CC" w:rsidRDefault="002B5BCD" w:rsidP="00CD59CC">
      <w:pPr>
        <w:pStyle w:val="BodyText"/>
        <w:numPr>
          <w:ilvl w:val="0"/>
          <w:numId w:val="9"/>
        </w:numPr>
        <w:ind w:left="567" w:hanging="567"/>
        <w:rPr>
          <w:rFonts w:ascii="Arial" w:hAnsi="Arial" w:cs="Arial"/>
          <w:lang w:val="en-GB"/>
        </w:rPr>
      </w:pPr>
      <w:r w:rsidRPr="00CD59CC">
        <w:rPr>
          <w:rFonts w:ascii="Arial" w:hAnsi="Arial" w:cs="Arial"/>
          <w:lang w:val="en-GB"/>
        </w:rPr>
        <w:t>How</w:t>
      </w:r>
      <w:r w:rsidR="007B7640" w:rsidRPr="00CD59CC">
        <w:rPr>
          <w:rFonts w:ascii="Arial" w:hAnsi="Arial" w:cs="Arial"/>
          <w:lang w:val="en-GB"/>
        </w:rPr>
        <w:t xml:space="preserve"> </w:t>
      </w:r>
      <w:r w:rsidRPr="00CD59CC">
        <w:rPr>
          <w:rFonts w:ascii="Arial" w:hAnsi="Arial" w:cs="Arial"/>
          <w:lang w:val="en-GB"/>
        </w:rPr>
        <w:t>does</w:t>
      </w:r>
      <w:r w:rsidR="007B7640" w:rsidRPr="00CD59CC">
        <w:rPr>
          <w:rFonts w:ascii="Arial" w:hAnsi="Arial" w:cs="Arial"/>
          <w:lang w:val="en-GB"/>
        </w:rPr>
        <w:t xml:space="preserve"> </w:t>
      </w:r>
      <w:r w:rsidRPr="00CD59CC">
        <w:rPr>
          <w:rFonts w:ascii="Arial" w:hAnsi="Arial" w:cs="Arial"/>
          <w:lang w:val="en-GB"/>
        </w:rPr>
        <w:t>national</w:t>
      </w:r>
      <w:r w:rsidR="007B7640" w:rsidRPr="00CD59CC">
        <w:rPr>
          <w:rFonts w:ascii="Arial" w:hAnsi="Arial" w:cs="Arial"/>
          <w:lang w:val="en-GB"/>
        </w:rPr>
        <w:t xml:space="preserve"> </w:t>
      </w:r>
      <w:r w:rsidRPr="00CD59CC">
        <w:rPr>
          <w:rFonts w:ascii="Arial" w:hAnsi="Arial" w:cs="Arial"/>
          <w:lang w:val="en-GB"/>
        </w:rPr>
        <w:t>law</w:t>
      </w:r>
      <w:r w:rsidR="007B7640" w:rsidRPr="00CD59CC">
        <w:rPr>
          <w:rFonts w:ascii="Arial" w:hAnsi="Arial" w:cs="Arial"/>
          <w:lang w:val="en-GB"/>
        </w:rPr>
        <w:t xml:space="preserve"> </w:t>
      </w:r>
      <w:r w:rsidRPr="00CD59CC">
        <w:rPr>
          <w:rFonts w:ascii="Arial" w:hAnsi="Arial" w:cs="Arial"/>
          <w:lang w:val="en-GB"/>
        </w:rPr>
        <w:t>implement</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duty</w:t>
      </w:r>
      <w:r w:rsidR="007B7640" w:rsidRPr="00CD59CC">
        <w:rPr>
          <w:rFonts w:ascii="Arial" w:hAnsi="Arial" w:cs="Arial"/>
          <w:lang w:val="en-GB"/>
        </w:rPr>
        <w:t xml:space="preserve"> </w:t>
      </w:r>
      <w:r w:rsidRPr="00CD59CC">
        <w:rPr>
          <w:rFonts w:ascii="Arial" w:hAnsi="Arial" w:cs="Arial"/>
          <w:lang w:val="en-GB"/>
        </w:rPr>
        <w:t>to</w:t>
      </w:r>
      <w:r w:rsidR="007B7640" w:rsidRPr="00CD59CC">
        <w:rPr>
          <w:rFonts w:ascii="Arial" w:hAnsi="Arial" w:cs="Arial"/>
          <w:lang w:val="en-GB"/>
        </w:rPr>
        <w:t xml:space="preserve"> </w:t>
      </w:r>
      <w:r w:rsidRPr="00CD59CC">
        <w:rPr>
          <w:rFonts w:ascii="Arial" w:hAnsi="Arial" w:cs="Arial"/>
          <w:lang w:val="en-GB"/>
        </w:rPr>
        <w:t>provide</w:t>
      </w:r>
      <w:r w:rsidR="007B7640" w:rsidRPr="00CD59CC">
        <w:rPr>
          <w:rFonts w:ascii="Arial" w:hAnsi="Arial" w:cs="Arial"/>
          <w:lang w:val="en-GB"/>
        </w:rPr>
        <w:t xml:space="preserve"> </w:t>
      </w:r>
      <w:r w:rsidRPr="00CD59CC">
        <w:rPr>
          <w:rFonts w:ascii="Arial" w:hAnsi="Arial" w:cs="Arial"/>
          <w:lang w:val="en-GB"/>
        </w:rPr>
        <w:t>reasonable</w:t>
      </w:r>
      <w:r w:rsidR="007B7640" w:rsidRPr="00CD59CC">
        <w:rPr>
          <w:rFonts w:ascii="Arial" w:hAnsi="Arial" w:cs="Arial"/>
          <w:lang w:val="en-GB"/>
        </w:rPr>
        <w:t xml:space="preserve"> </w:t>
      </w:r>
      <w:r w:rsidRPr="00CD59CC">
        <w:rPr>
          <w:rFonts w:ascii="Arial" w:hAnsi="Arial" w:cs="Arial"/>
          <w:lang w:val="en-GB"/>
        </w:rPr>
        <w:t>accommodation</w:t>
      </w:r>
      <w:r w:rsidR="007B7640" w:rsidRPr="00CD59CC">
        <w:rPr>
          <w:rFonts w:ascii="Arial" w:hAnsi="Arial" w:cs="Arial"/>
          <w:lang w:val="en-GB"/>
        </w:rPr>
        <w:t xml:space="preserve"> </w:t>
      </w:r>
      <w:r w:rsidRPr="00CD59CC">
        <w:rPr>
          <w:rFonts w:ascii="Arial" w:hAnsi="Arial" w:cs="Arial"/>
          <w:lang w:val="en-GB"/>
        </w:rPr>
        <w:t>for</w:t>
      </w:r>
      <w:r w:rsidR="007B7640" w:rsidRPr="00CD59CC">
        <w:rPr>
          <w:rFonts w:ascii="Arial" w:hAnsi="Arial" w:cs="Arial"/>
          <w:lang w:val="en-GB"/>
        </w:rPr>
        <w:t xml:space="preserve"> </w:t>
      </w:r>
      <w:r w:rsidRPr="00CD59CC">
        <w:rPr>
          <w:rFonts w:ascii="Arial" w:hAnsi="Arial" w:cs="Arial"/>
          <w:lang w:val="en-GB"/>
        </w:rPr>
        <w:t>people</w:t>
      </w:r>
      <w:r w:rsidR="007B7640" w:rsidRPr="00CD59CC">
        <w:rPr>
          <w:rFonts w:ascii="Arial" w:hAnsi="Arial" w:cs="Arial"/>
          <w:lang w:val="en-GB"/>
        </w:rPr>
        <w:t xml:space="preserve"> </w:t>
      </w:r>
      <w:r w:rsidRPr="00CD59CC">
        <w:rPr>
          <w:rFonts w:ascii="Arial" w:hAnsi="Arial" w:cs="Arial"/>
          <w:lang w:val="en-GB"/>
        </w:rPr>
        <w:t>with</w:t>
      </w:r>
      <w:r w:rsidR="007B7640" w:rsidRPr="00CD59CC">
        <w:rPr>
          <w:rFonts w:ascii="Arial" w:hAnsi="Arial" w:cs="Arial"/>
          <w:lang w:val="en-GB"/>
        </w:rPr>
        <w:t xml:space="preserve"> </w:t>
      </w:r>
      <w:r w:rsidRPr="00CD59CC">
        <w:rPr>
          <w:rFonts w:ascii="Arial" w:hAnsi="Arial" w:cs="Arial"/>
          <w:lang w:val="en-GB"/>
        </w:rPr>
        <w:t>disabilities?</w:t>
      </w:r>
      <w:r w:rsidR="007B7640" w:rsidRPr="00CD59CC">
        <w:rPr>
          <w:rFonts w:ascii="Arial" w:hAnsi="Arial" w:cs="Arial"/>
          <w:lang w:val="en-GB"/>
        </w:rPr>
        <w:t xml:space="preserve"> </w:t>
      </w:r>
      <w:r w:rsidRPr="00CD59CC">
        <w:rPr>
          <w:rFonts w:ascii="Arial" w:hAnsi="Arial" w:cs="Arial"/>
          <w:lang w:val="en-GB"/>
        </w:rPr>
        <w:t>In</w:t>
      </w:r>
      <w:r w:rsidR="007B7640" w:rsidRPr="00CD59CC">
        <w:rPr>
          <w:rFonts w:ascii="Arial" w:hAnsi="Arial" w:cs="Arial"/>
          <w:lang w:val="en-GB"/>
        </w:rPr>
        <w:t xml:space="preserve"> </w:t>
      </w:r>
      <w:r w:rsidRPr="00CD59CC">
        <w:rPr>
          <w:rFonts w:ascii="Arial" w:hAnsi="Arial" w:cs="Arial"/>
          <w:lang w:val="en-GB"/>
        </w:rPr>
        <w:t>particular,</w:t>
      </w:r>
      <w:r w:rsidR="007B7640" w:rsidRPr="00CD59CC">
        <w:rPr>
          <w:rFonts w:ascii="Arial" w:hAnsi="Arial" w:cs="Arial"/>
          <w:lang w:val="en-GB"/>
        </w:rPr>
        <w:t xml:space="preserve"> </w:t>
      </w:r>
      <w:r w:rsidRPr="00CD59CC">
        <w:rPr>
          <w:rFonts w:ascii="Arial" w:hAnsi="Arial" w:cs="Arial"/>
          <w:lang w:val="en-GB"/>
        </w:rPr>
        <w:t>specify</w:t>
      </w:r>
      <w:r w:rsidR="007B7640" w:rsidRPr="00CD59CC">
        <w:rPr>
          <w:rFonts w:ascii="Arial" w:hAnsi="Arial" w:cs="Arial"/>
          <w:lang w:val="en-GB"/>
        </w:rPr>
        <w:t xml:space="preserve"> </w:t>
      </w:r>
      <w:r w:rsidRPr="00CD59CC">
        <w:rPr>
          <w:rFonts w:ascii="Arial" w:hAnsi="Arial" w:cs="Arial"/>
          <w:lang w:val="en-GB"/>
        </w:rPr>
        <w:t>when</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duty</w:t>
      </w:r>
      <w:r w:rsidR="007B7640" w:rsidRPr="00CD59CC">
        <w:rPr>
          <w:rFonts w:ascii="Arial" w:hAnsi="Arial" w:cs="Arial"/>
          <w:lang w:val="en-GB"/>
        </w:rPr>
        <w:t xml:space="preserve"> </w:t>
      </w:r>
      <w:r w:rsidRPr="00CD59CC">
        <w:rPr>
          <w:rFonts w:ascii="Arial" w:hAnsi="Arial" w:cs="Arial"/>
          <w:lang w:val="en-GB"/>
        </w:rPr>
        <w:t>applies,</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criteria</w:t>
      </w:r>
      <w:r w:rsidR="007B7640" w:rsidRPr="00CD59CC">
        <w:rPr>
          <w:rFonts w:ascii="Arial" w:hAnsi="Arial" w:cs="Arial"/>
          <w:lang w:val="en-GB"/>
        </w:rPr>
        <w:t xml:space="preserve"> </w:t>
      </w:r>
      <w:r w:rsidRPr="00CD59CC">
        <w:rPr>
          <w:rFonts w:ascii="Arial" w:hAnsi="Arial" w:cs="Arial"/>
          <w:lang w:val="en-GB"/>
        </w:rPr>
        <w:t>for</w:t>
      </w:r>
      <w:r w:rsidR="007B7640" w:rsidRPr="00CD59CC">
        <w:rPr>
          <w:rFonts w:ascii="Arial" w:hAnsi="Arial" w:cs="Arial"/>
          <w:lang w:val="en-GB"/>
        </w:rPr>
        <w:t xml:space="preserve"> </w:t>
      </w:r>
      <w:r w:rsidRPr="00CD59CC">
        <w:rPr>
          <w:rFonts w:ascii="Arial" w:hAnsi="Arial" w:cs="Arial"/>
          <w:lang w:val="en-GB"/>
        </w:rPr>
        <w:t>assessing</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extent</w:t>
      </w:r>
      <w:r w:rsidR="007B7640" w:rsidRPr="00CD59CC">
        <w:rPr>
          <w:rFonts w:ascii="Arial" w:hAnsi="Arial" w:cs="Arial"/>
          <w:lang w:val="en-GB"/>
        </w:rPr>
        <w:t xml:space="preserve"> </w:t>
      </w:r>
      <w:r w:rsidRPr="00CD59CC">
        <w:rPr>
          <w:rFonts w:ascii="Arial" w:hAnsi="Arial" w:cs="Arial"/>
          <w:lang w:val="en-GB"/>
        </w:rPr>
        <w:t>of</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duty</w:t>
      </w:r>
      <w:r w:rsidR="007B7640" w:rsidRPr="00CD59CC">
        <w:rPr>
          <w:rFonts w:ascii="Arial" w:hAnsi="Arial" w:cs="Arial"/>
          <w:lang w:val="en-GB"/>
        </w:rPr>
        <w:t xml:space="preserve"> </w:t>
      </w:r>
      <w:r w:rsidRPr="00CD59CC">
        <w:rPr>
          <w:rFonts w:ascii="Arial" w:hAnsi="Arial" w:cs="Arial"/>
          <w:lang w:val="en-GB"/>
        </w:rPr>
        <w:t>and</w:t>
      </w:r>
      <w:r w:rsidR="007B7640" w:rsidRPr="00CD59CC">
        <w:rPr>
          <w:rFonts w:ascii="Arial" w:hAnsi="Arial" w:cs="Arial"/>
          <w:lang w:val="en-GB"/>
        </w:rPr>
        <w:t xml:space="preserve"> </w:t>
      </w:r>
      <w:r w:rsidRPr="00CD59CC">
        <w:rPr>
          <w:rFonts w:ascii="Arial" w:hAnsi="Arial" w:cs="Arial"/>
          <w:lang w:val="en-GB"/>
        </w:rPr>
        <w:t>any</w:t>
      </w:r>
      <w:r w:rsidR="007B7640" w:rsidRPr="00CD59CC">
        <w:rPr>
          <w:rFonts w:ascii="Arial" w:hAnsi="Arial" w:cs="Arial"/>
          <w:lang w:val="en-GB"/>
        </w:rPr>
        <w:t xml:space="preserve"> </w:t>
      </w:r>
      <w:r w:rsidRPr="00CD59CC">
        <w:rPr>
          <w:rFonts w:ascii="Arial" w:hAnsi="Arial" w:cs="Arial"/>
          <w:lang w:val="en-GB"/>
        </w:rPr>
        <w:t>definition</w:t>
      </w:r>
      <w:r w:rsidR="007B7640" w:rsidRPr="00CD59CC">
        <w:rPr>
          <w:rFonts w:ascii="Arial" w:hAnsi="Arial" w:cs="Arial"/>
          <w:lang w:val="en-GB"/>
        </w:rPr>
        <w:t xml:space="preserve"> </w:t>
      </w:r>
      <w:r w:rsidRPr="00CD59CC">
        <w:rPr>
          <w:rFonts w:ascii="Arial" w:hAnsi="Arial" w:cs="Arial"/>
          <w:lang w:val="en-GB"/>
        </w:rPr>
        <w:t>of</w:t>
      </w:r>
      <w:r w:rsidR="007B7640" w:rsidRPr="00CD59CC">
        <w:rPr>
          <w:rFonts w:ascii="Arial" w:hAnsi="Arial" w:cs="Arial"/>
          <w:lang w:val="en-GB"/>
        </w:rPr>
        <w:t xml:space="preserve"> </w:t>
      </w:r>
      <w:r w:rsidRPr="00CD59CC">
        <w:rPr>
          <w:rFonts w:ascii="Arial" w:hAnsi="Arial" w:cs="Arial"/>
          <w:lang w:val="en-GB"/>
        </w:rPr>
        <w:t>‘reasonable’.</w:t>
      </w:r>
      <w:r w:rsidR="007B7640" w:rsidRPr="00CD59CC">
        <w:rPr>
          <w:rFonts w:ascii="Arial" w:hAnsi="Arial" w:cs="Arial"/>
          <w:lang w:val="en-GB"/>
        </w:rPr>
        <w:t xml:space="preserve"> </w:t>
      </w:r>
      <w:r w:rsidRPr="00CD59CC">
        <w:rPr>
          <w:rFonts w:ascii="Arial" w:hAnsi="Arial" w:cs="Arial"/>
          <w:lang w:val="en-GB"/>
        </w:rPr>
        <w:t>For</w:t>
      </w:r>
      <w:r w:rsidR="007B7640" w:rsidRPr="00CD59CC">
        <w:rPr>
          <w:rFonts w:ascii="Arial" w:hAnsi="Arial" w:cs="Arial"/>
          <w:lang w:val="en-GB"/>
        </w:rPr>
        <w:t xml:space="preserve"> </w:t>
      </w:r>
      <w:r w:rsidRPr="00CD59CC">
        <w:rPr>
          <w:rFonts w:ascii="Arial" w:hAnsi="Arial" w:cs="Arial"/>
          <w:lang w:val="en-GB"/>
        </w:rPr>
        <w:t>example,</w:t>
      </w:r>
      <w:r w:rsidR="007B7640" w:rsidRPr="00CD59CC">
        <w:rPr>
          <w:rFonts w:ascii="Arial" w:hAnsi="Arial" w:cs="Arial"/>
          <w:b/>
          <w:lang w:val="en-GB"/>
        </w:rPr>
        <w:t xml:space="preserve"> </w:t>
      </w:r>
      <w:r w:rsidRPr="00CD59CC">
        <w:rPr>
          <w:rFonts w:ascii="Arial" w:hAnsi="Arial" w:cs="Arial"/>
          <w:lang w:val="en-GB"/>
        </w:rPr>
        <w:t>does</w:t>
      </w:r>
      <w:r w:rsidR="007B7640" w:rsidRPr="00CD59CC">
        <w:rPr>
          <w:rFonts w:ascii="Arial" w:hAnsi="Arial" w:cs="Arial"/>
          <w:lang w:val="en-GB"/>
        </w:rPr>
        <w:t xml:space="preserve"> </w:t>
      </w:r>
      <w:r w:rsidRPr="00CD59CC">
        <w:rPr>
          <w:rFonts w:ascii="Arial" w:hAnsi="Arial" w:cs="Arial"/>
          <w:lang w:val="en-GB"/>
        </w:rPr>
        <w:t>national</w:t>
      </w:r>
      <w:r w:rsidR="007B7640" w:rsidRPr="00CD59CC">
        <w:rPr>
          <w:rFonts w:ascii="Arial" w:hAnsi="Arial" w:cs="Arial"/>
          <w:lang w:val="en-GB"/>
        </w:rPr>
        <w:t xml:space="preserve"> </w:t>
      </w:r>
      <w:r w:rsidRPr="00CD59CC">
        <w:rPr>
          <w:rFonts w:ascii="Arial" w:hAnsi="Arial" w:cs="Arial"/>
          <w:lang w:val="en-GB"/>
        </w:rPr>
        <w:t>law</w:t>
      </w:r>
      <w:r w:rsidR="007B7640" w:rsidRPr="00CD59CC">
        <w:rPr>
          <w:rFonts w:ascii="Arial" w:hAnsi="Arial" w:cs="Arial"/>
          <w:lang w:val="en-GB"/>
        </w:rPr>
        <w:t xml:space="preserve"> </w:t>
      </w:r>
      <w:r w:rsidRPr="00CD59CC">
        <w:rPr>
          <w:rFonts w:ascii="Arial" w:hAnsi="Arial" w:cs="Arial"/>
          <w:lang w:val="en-GB"/>
        </w:rPr>
        <w:t>define</w:t>
      </w:r>
      <w:r w:rsidR="007B7640" w:rsidRPr="00CD59CC">
        <w:rPr>
          <w:rFonts w:ascii="Arial" w:hAnsi="Arial" w:cs="Arial"/>
          <w:lang w:val="en-GB"/>
        </w:rPr>
        <w:t xml:space="preserve"> </w:t>
      </w:r>
      <w:r w:rsidRPr="00CD59CC">
        <w:rPr>
          <w:rFonts w:ascii="Arial" w:hAnsi="Arial" w:cs="Arial"/>
          <w:lang w:val="en-GB"/>
        </w:rPr>
        <w:t>what</w:t>
      </w:r>
      <w:r w:rsidR="007B7640" w:rsidRPr="00CD59CC">
        <w:rPr>
          <w:rFonts w:ascii="Arial" w:hAnsi="Arial" w:cs="Arial"/>
          <w:lang w:val="en-GB"/>
        </w:rPr>
        <w:t xml:space="preserve"> </w:t>
      </w:r>
      <w:r w:rsidRPr="00CD59CC">
        <w:rPr>
          <w:rFonts w:ascii="Arial" w:hAnsi="Arial" w:cs="Arial"/>
          <w:lang w:val="en-GB"/>
        </w:rPr>
        <w:t>would</w:t>
      </w:r>
      <w:r w:rsidR="007B7640" w:rsidRPr="00CD59CC">
        <w:rPr>
          <w:rFonts w:ascii="Arial" w:hAnsi="Arial" w:cs="Arial"/>
          <w:lang w:val="en-GB"/>
        </w:rPr>
        <w:t xml:space="preserve"> </w:t>
      </w:r>
      <w:r w:rsidRPr="00CD59CC">
        <w:rPr>
          <w:rFonts w:ascii="Arial" w:hAnsi="Arial" w:cs="Arial"/>
          <w:lang w:val="en-GB"/>
        </w:rPr>
        <w:t>be</w:t>
      </w:r>
      <w:r w:rsidR="007B7640" w:rsidRPr="00CD59CC">
        <w:rPr>
          <w:rFonts w:ascii="Arial" w:hAnsi="Arial" w:cs="Arial"/>
          <w:lang w:val="en-GB"/>
        </w:rPr>
        <w:t xml:space="preserve"> </w:t>
      </w:r>
      <w:r w:rsidRPr="00CD59CC">
        <w:rPr>
          <w:rFonts w:ascii="Arial" w:hAnsi="Arial" w:cs="Arial"/>
          <w:lang w:val="en-GB"/>
        </w:rPr>
        <w:t>a</w:t>
      </w:r>
      <w:r w:rsidR="007B7640" w:rsidRPr="00CD59CC">
        <w:rPr>
          <w:rFonts w:ascii="Arial" w:hAnsi="Arial" w:cs="Arial"/>
          <w:lang w:val="en-GB"/>
        </w:rPr>
        <w:t xml:space="preserve"> </w:t>
      </w:r>
      <w:r w:rsidRPr="00CD59CC">
        <w:rPr>
          <w:rFonts w:ascii="Arial" w:hAnsi="Arial" w:cs="Arial"/>
          <w:lang w:val="en-GB"/>
        </w:rPr>
        <w:t>"disproportionate</w:t>
      </w:r>
      <w:r w:rsidR="007B7640" w:rsidRPr="00CD59CC">
        <w:rPr>
          <w:rFonts w:ascii="Arial" w:hAnsi="Arial" w:cs="Arial"/>
          <w:lang w:val="en-GB"/>
        </w:rPr>
        <w:t xml:space="preserve"> </w:t>
      </w:r>
      <w:r w:rsidRPr="00CD59CC">
        <w:rPr>
          <w:rFonts w:ascii="Arial" w:hAnsi="Arial" w:cs="Arial"/>
          <w:lang w:val="en-GB"/>
        </w:rPr>
        <w:t>burden"</w:t>
      </w:r>
      <w:r w:rsidR="007B7640" w:rsidRPr="00CD59CC">
        <w:rPr>
          <w:rFonts w:ascii="Arial" w:hAnsi="Arial" w:cs="Arial"/>
          <w:lang w:val="en-GB"/>
        </w:rPr>
        <w:t xml:space="preserve"> </w:t>
      </w:r>
      <w:r w:rsidRPr="00CD59CC">
        <w:rPr>
          <w:rFonts w:ascii="Arial" w:hAnsi="Arial" w:cs="Arial"/>
          <w:lang w:val="en-GB"/>
        </w:rPr>
        <w:t>for</w:t>
      </w:r>
      <w:r w:rsidR="007B7640" w:rsidRPr="00CD59CC">
        <w:rPr>
          <w:rFonts w:ascii="Arial" w:hAnsi="Arial" w:cs="Arial"/>
          <w:lang w:val="en-GB"/>
        </w:rPr>
        <w:t xml:space="preserve"> </w:t>
      </w:r>
      <w:r w:rsidRPr="00CD59CC">
        <w:rPr>
          <w:rFonts w:ascii="Arial" w:hAnsi="Arial" w:cs="Arial"/>
          <w:lang w:val="en-GB"/>
        </w:rPr>
        <w:t>employers</w:t>
      </w:r>
      <w:r w:rsidR="00E80EE8" w:rsidRPr="00CD59CC">
        <w:rPr>
          <w:rFonts w:ascii="Arial" w:hAnsi="Arial" w:cs="Arial"/>
          <w:lang w:val="en-GB"/>
        </w:rPr>
        <w:t>?</w:t>
      </w:r>
      <w:r w:rsidR="007B7640" w:rsidRPr="00CD59CC">
        <w:rPr>
          <w:rFonts w:ascii="Arial" w:hAnsi="Arial" w:cs="Arial"/>
          <w:lang w:val="en-GB"/>
        </w:rPr>
        <w:t xml:space="preserve"> </w:t>
      </w:r>
      <w:r w:rsidR="00E80EE8" w:rsidRPr="00CD59CC">
        <w:rPr>
          <w:rFonts w:ascii="Arial" w:hAnsi="Arial" w:cs="Arial"/>
          <w:lang w:val="en-GB"/>
        </w:rPr>
        <w:t>I</w:t>
      </w:r>
      <w:r w:rsidRPr="00CD59CC">
        <w:rPr>
          <w:rFonts w:ascii="Arial" w:hAnsi="Arial" w:cs="Arial"/>
          <w:lang w:val="en-GB"/>
        </w:rPr>
        <w:t>s</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availability</w:t>
      </w:r>
      <w:r w:rsidR="007B7640" w:rsidRPr="00CD59CC">
        <w:rPr>
          <w:rFonts w:ascii="Arial" w:hAnsi="Arial" w:cs="Arial"/>
          <w:lang w:val="en-GB"/>
        </w:rPr>
        <w:t xml:space="preserve"> </w:t>
      </w:r>
      <w:r w:rsidRPr="00CD59CC">
        <w:rPr>
          <w:rFonts w:ascii="Arial" w:hAnsi="Arial" w:cs="Arial"/>
          <w:lang w:val="en-GB"/>
        </w:rPr>
        <w:t>of</w:t>
      </w:r>
      <w:r w:rsidR="007B7640" w:rsidRPr="00CD59CC">
        <w:rPr>
          <w:rFonts w:ascii="Arial" w:hAnsi="Arial" w:cs="Arial"/>
          <w:lang w:val="en-GB"/>
        </w:rPr>
        <w:t xml:space="preserve"> </w:t>
      </w:r>
      <w:r w:rsidRPr="00CD59CC">
        <w:rPr>
          <w:rFonts w:ascii="Arial" w:hAnsi="Arial" w:cs="Arial"/>
          <w:lang w:val="en-GB"/>
        </w:rPr>
        <w:t>financial</w:t>
      </w:r>
      <w:r w:rsidR="007B7640" w:rsidRPr="00CD59CC">
        <w:rPr>
          <w:rFonts w:ascii="Arial" w:hAnsi="Arial" w:cs="Arial"/>
          <w:lang w:val="en-GB"/>
        </w:rPr>
        <w:t xml:space="preserve"> </w:t>
      </w:r>
      <w:r w:rsidRPr="00CD59CC">
        <w:rPr>
          <w:rFonts w:ascii="Arial" w:hAnsi="Arial" w:cs="Arial"/>
          <w:lang w:val="en-GB"/>
        </w:rPr>
        <w:t>assistance</w:t>
      </w:r>
      <w:r w:rsidR="007B7640" w:rsidRPr="00CD59CC">
        <w:rPr>
          <w:rFonts w:ascii="Arial" w:hAnsi="Arial" w:cs="Arial"/>
          <w:lang w:val="en-GB"/>
        </w:rPr>
        <w:t xml:space="preserve"> </w:t>
      </w:r>
      <w:r w:rsidRPr="00CD59CC">
        <w:rPr>
          <w:rFonts w:ascii="Arial" w:hAnsi="Arial" w:cs="Arial"/>
          <w:lang w:val="en-GB"/>
        </w:rPr>
        <w:t>from</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State</w:t>
      </w:r>
      <w:r w:rsidR="007B7640" w:rsidRPr="00CD59CC">
        <w:rPr>
          <w:rFonts w:ascii="Arial" w:hAnsi="Arial" w:cs="Arial"/>
          <w:lang w:val="en-GB"/>
        </w:rPr>
        <w:t xml:space="preserve"> </w:t>
      </w:r>
      <w:r w:rsidR="007227D7" w:rsidRPr="00CD59CC">
        <w:rPr>
          <w:rFonts w:ascii="Arial" w:hAnsi="Arial" w:cs="Arial"/>
          <w:lang w:val="en-GB"/>
        </w:rPr>
        <w:t>to</w:t>
      </w:r>
      <w:r w:rsidR="007B7640" w:rsidRPr="00CD59CC">
        <w:rPr>
          <w:rFonts w:ascii="Arial" w:hAnsi="Arial" w:cs="Arial"/>
          <w:lang w:val="en-GB"/>
        </w:rPr>
        <w:t xml:space="preserve"> </w:t>
      </w:r>
      <w:r w:rsidR="007227D7" w:rsidRPr="00CD59CC">
        <w:rPr>
          <w:rFonts w:ascii="Arial" w:hAnsi="Arial" w:cs="Arial"/>
          <w:lang w:val="en-GB"/>
        </w:rPr>
        <w:t>be</w:t>
      </w:r>
      <w:r w:rsidR="007B7640" w:rsidRPr="00CD59CC">
        <w:rPr>
          <w:rFonts w:ascii="Arial" w:hAnsi="Arial" w:cs="Arial"/>
          <w:lang w:val="en-GB"/>
        </w:rPr>
        <w:t xml:space="preserve"> </w:t>
      </w:r>
      <w:r w:rsidRPr="00CD59CC">
        <w:rPr>
          <w:rFonts w:ascii="Arial" w:hAnsi="Arial" w:cs="Arial"/>
          <w:lang w:val="en-GB"/>
        </w:rPr>
        <w:t>taken</w:t>
      </w:r>
      <w:r w:rsidR="007B7640" w:rsidRPr="00CD59CC">
        <w:rPr>
          <w:rFonts w:ascii="Arial" w:hAnsi="Arial" w:cs="Arial"/>
          <w:lang w:val="en-GB"/>
        </w:rPr>
        <w:t xml:space="preserve"> </w:t>
      </w:r>
      <w:r w:rsidRPr="00CD59CC">
        <w:rPr>
          <w:rFonts w:ascii="Arial" w:hAnsi="Arial" w:cs="Arial"/>
          <w:lang w:val="en-GB"/>
        </w:rPr>
        <w:t>into</w:t>
      </w:r>
      <w:r w:rsidR="007B7640" w:rsidRPr="00CD59CC">
        <w:rPr>
          <w:rFonts w:ascii="Arial" w:hAnsi="Arial" w:cs="Arial"/>
          <w:lang w:val="en-GB"/>
        </w:rPr>
        <w:t xml:space="preserve"> </w:t>
      </w:r>
      <w:r w:rsidRPr="00CD59CC">
        <w:rPr>
          <w:rFonts w:ascii="Arial" w:hAnsi="Arial" w:cs="Arial"/>
          <w:lang w:val="en-GB"/>
        </w:rPr>
        <w:t>account</w:t>
      </w:r>
      <w:r w:rsidR="007B7640" w:rsidRPr="00CD59CC">
        <w:rPr>
          <w:rFonts w:ascii="Arial" w:hAnsi="Arial" w:cs="Arial"/>
          <w:lang w:val="en-GB"/>
        </w:rPr>
        <w:t xml:space="preserve"> </w:t>
      </w:r>
      <w:r w:rsidRPr="00CD59CC">
        <w:rPr>
          <w:rFonts w:ascii="Arial" w:hAnsi="Arial" w:cs="Arial"/>
          <w:lang w:val="en-GB"/>
        </w:rPr>
        <w:t>in</w:t>
      </w:r>
      <w:r w:rsidR="007B7640" w:rsidRPr="00CD59CC">
        <w:rPr>
          <w:rFonts w:ascii="Arial" w:hAnsi="Arial" w:cs="Arial"/>
          <w:lang w:val="en-GB"/>
        </w:rPr>
        <w:t xml:space="preserve"> </w:t>
      </w:r>
      <w:r w:rsidRPr="00CD59CC">
        <w:rPr>
          <w:rFonts w:ascii="Arial" w:hAnsi="Arial" w:cs="Arial"/>
          <w:lang w:val="en-GB"/>
        </w:rPr>
        <w:t>assessing</w:t>
      </w:r>
      <w:r w:rsidR="007B7640" w:rsidRPr="00CD59CC">
        <w:rPr>
          <w:rFonts w:ascii="Arial" w:hAnsi="Arial" w:cs="Arial"/>
          <w:lang w:val="en-GB"/>
        </w:rPr>
        <w:t xml:space="preserve"> </w:t>
      </w:r>
      <w:r w:rsidRPr="00CD59CC">
        <w:rPr>
          <w:rFonts w:ascii="Arial" w:hAnsi="Arial" w:cs="Arial"/>
          <w:lang w:val="en-GB"/>
        </w:rPr>
        <w:t>whether</w:t>
      </w:r>
      <w:r w:rsidR="007B7640" w:rsidRPr="00CD59CC">
        <w:rPr>
          <w:rFonts w:ascii="Arial" w:hAnsi="Arial" w:cs="Arial"/>
          <w:lang w:val="en-GB"/>
        </w:rPr>
        <w:t xml:space="preserve"> </w:t>
      </w:r>
      <w:r w:rsidRPr="00CD59CC">
        <w:rPr>
          <w:rFonts w:ascii="Arial" w:hAnsi="Arial" w:cs="Arial"/>
          <w:lang w:val="en-GB"/>
        </w:rPr>
        <w:t>there</w:t>
      </w:r>
      <w:r w:rsidR="007B7640" w:rsidRPr="00CD59CC">
        <w:rPr>
          <w:rFonts w:ascii="Arial" w:hAnsi="Arial" w:cs="Arial"/>
          <w:lang w:val="en-GB"/>
        </w:rPr>
        <w:t xml:space="preserve"> </w:t>
      </w:r>
      <w:r w:rsidRPr="00CD59CC">
        <w:rPr>
          <w:rFonts w:ascii="Arial" w:hAnsi="Arial" w:cs="Arial"/>
          <w:lang w:val="en-GB"/>
        </w:rPr>
        <w:t>is</w:t>
      </w:r>
      <w:r w:rsidR="007B7640" w:rsidRPr="00CD59CC">
        <w:rPr>
          <w:rFonts w:ascii="Arial" w:hAnsi="Arial" w:cs="Arial"/>
          <w:lang w:val="en-GB"/>
        </w:rPr>
        <w:t xml:space="preserve"> </w:t>
      </w:r>
      <w:r w:rsidRPr="00CD59CC">
        <w:rPr>
          <w:rFonts w:ascii="Arial" w:hAnsi="Arial" w:cs="Arial"/>
          <w:lang w:val="en-GB"/>
        </w:rPr>
        <w:t>a</w:t>
      </w:r>
      <w:r w:rsidR="007B7640" w:rsidRPr="00CD59CC">
        <w:rPr>
          <w:rFonts w:ascii="Arial" w:hAnsi="Arial" w:cs="Arial"/>
          <w:lang w:val="en-GB"/>
        </w:rPr>
        <w:t xml:space="preserve"> </w:t>
      </w:r>
      <w:r w:rsidRPr="00CD59CC">
        <w:rPr>
          <w:rFonts w:ascii="Arial" w:hAnsi="Arial" w:cs="Arial"/>
          <w:lang w:val="en-GB"/>
        </w:rPr>
        <w:t>disproportionate</w:t>
      </w:r>
      <w:r w:rsidR="007B7640" w:rsidRPr="00CD59CC">
        <w:rPr>
          <w:rFonts w:ascii="Arial" w:hAnsi="Arial" w:cs="Arial"/>
          <w:lang w:val="en-GB"/>
        </w:rPr>
        <w:t xml:space="preserve"> </w:t>
      </w:r>
      <w:r w:rsidRPr="00CD59CC">
        <w:rPr>
          <w:rFonts w:ascii="Arial" w:hAnsi="Arial" w:cs="Arial"/>
          <w:lang w:val="en-GB"/>
        </w:rPr>
        <w:t>burden?</w:t>
      </w:r>
      <w:r w:rsidR="007B7640" w:rsidRPr="00CD59CC">
        <w:rPr>
          <w:rFonts w:ascii="Arial" w:hAnsi="Arial" w:cs="Arial"/>
          <w:lang w:val="en-GB"/>
        </w:rPr>
        <w:t xml:space="preserve"> </w:t>
      </w:r>
    </w:p>
    <w:p w14:paraId="28882555" w14:textId="77777777" w:rsidR="002B5BCD" w:rsidRPr="00CD59CC" w:rsidRDefault="002B5BCD" w:rsidP="00B97ED3">
      <w:pPr>
        <w:pStyle w:val="BodyText"/>
        <w:rPr>
          <w:rFonts w:ascii="Arial" w:hAnsi="Arial" w:cs="Arial"/>
          <w:lang w:val="en-GB"/>
        </w:rPr>
      </w:pPr>
    </w:p>
    <w:p w14:paraId="0A0D06F9"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attempt</w:t>
      </w:r>
      <w:r w:rsidR="007B7640" w:rsidRPr="00CD59CC">
        <w:rPr>
          <w:rFonts w:ascii="Arial" w:hAnsi="Arial" w:cs="Arial"/>
          <w:i w:val="0"/>
          <w:lang w:val="en-GB"/>
        </w:rPr>
        <w:t xml:space="preserve"> </w:t>
      </w:r>
      <w:r w:rsidRPr="00CD59CC">
        <w:rPr>
          <w:rFonts w:ascii="Arial" w:hAnsi="Arial" w:cs="Arial"/>
          <w:i w:val="0"/>
          <w:lang w:val="en-GB"/>
        </w:rPr>
        <w:t>has</w:t>
      </w:r>
      <w:r w:rsidR="007B7640" w:rsidRPr="00CD59CC">
        <w:rPr>
          <w:rFonts w:ascii="Arial" w:hAnsi="Arial" w:cs="Arial"/>
          <w:i w:val="0"/>
          <w:lang w:val="en-GB"/>
        </w:rPr>
        <w:t xml:space="preserve"> </w:t>
      </w:r>
      <w:r w:rsidRPr="00CD59CC">
        <w:rPr>
          <w:rFonts w:ascii="Arial" w:hAnsi="Arial" w:cs="Arial"/>
          <w:i w:val="0"/>
          <w:lang w:val="en-GB"/>
        </w:rPr>
        <w:t>been</w:t>
      </w:r>
      <w:r w:rsidR="007B7640" w:rsidRPr="00CD59CC">
        <w:rPr>
          <w:rFonts w:ascii="Arial" w:hAnsi="Arial" w:cs="Arial"/>
          <w:i w:val="0"/>
          <w:lang w:val="en-GB"/>
        </w:rPr>
        <w:t xml:space="preserve"> </w:t>
      </w:r>
      <w:r w:rsidRPr="00CD59CC">
        <w:rPr>
          <w:rFonts w:ascii="Arial" w:hAnsi="Arial" w:cs="Arial"/>
          <w:i w:val="0"/>
          <w:lang w:val="en-GB"/>
        </w:rPr>
        <w:t>made</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transpose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provisions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Directive</w:t>
      </w:r>
      <w:r w:rsidR="007B7640" w:rsidRPr="00CD59CC">
        <w:rPr>
          <w:rFonts w:ascii="Arial" w:hAnsi="Arial" w:cs="Arial"/>
          <w:i w:val="0"/>
          <w:lang w:val="en-GB"/>
        </w:rPr>
        <w:t xml:space="preserve"> </w:t>
      </w:r>
      <w:r w:rsidRPr="00CD59CC">
        <w:rPr>
          <w:rFonts w:ascii="Arial" w:hAnsi="Arial" w:cs="Arial"/>
          <w:i w:val="0"/>
          <w:lang w:val="en-GB"/>
        </w:rPr>
        <w:t>2000/78/EC</w:t>
      </w:r>
      <w:r w:rsidR="007B7640" w:rsidRPr="00CD59CC">
        <w:rPr>
          <w:rFonts w:ascii="Arial" w:hAnsi="Arial" w:cs="Arial"/>
          <w:i w:val="0"/>
          <w:lang w:val="en-GB"/>
        </w:rPr>
        <w:t xml:space="preserve"> </w:t>
      </w:r>
      <w:r w:rsidRPr="00CD59CC">
        <w:rPr>
          <w:rFonts w:ascii="Arial" w:hAnsi="Arial" w:cs="Arial"/>
          <w:i w:val="0"/>
          <w:lang w:val="en-GB"/>
        </w:rPr>
        <w:t>into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Hungarian</w:t>
      </w:r>
      <w:r w:rsidR="007B7640" w:rsidRPr="00CD59CC">
        <w:rPr>
          <w:rFonts w:ascii="Arial" w:hAnsi="Arial" w:cs="Arial"/>
          <w:i w:val="0"/>
          <w:lang w:val="en-GB"/>
        </w:rPr>
        <w:t xml:space="preserve"> </w:t>
      </w:r>
      <w:r w:rsidRPr="00CD59CC">
        <w:rPr>
          <w:rFonts w:ascii="Arial" w:hAnsi="Arial" w:cs="Arial"/>
          <w:i w:val="0"/>
          <w:lang w:val="en-GB"/>
        </w:rPr>
        <w:t>legal</w:t>
      </w:r>
      <w:r w:rsidR="007B7640" w:rsidRPr="00CD59CC">
        <w:rPr>
          <w:rFonts w:ascii="Arial" w:hAnsi="Arial" w:cs="Arial"/>
          <w:i w:val="0"/>
          <w:lang w:val="en-GB"/>
        </w:rPr>
        <w:t xml:space="preserve"> </w:t>
      </w:r>
      <w:r w:rsidRPr="00CD59CC">
        <w:rPr>
          <w:rFonts w:ascii="Arial" w:hAnsi="Arial" w:cs="Arial"/>
          <w:i w:val="0"/>
          <w:lang w:val="en-GB"/>
        </w:rPr>
        <w:t>system</w:t>
      </w:r>
      <w:r w:rsidR="007B7640" w:rsidRPr="00CD59CC">
        <w:rPr>
          <w:rFonts w:ascii="Arial" w:hAnsi="Arial" w:cs="Arial"/>
          <w:i w:val="0"/>
          <w:lang w:val="en-GB"/>
        </w:rPr>
        <w:t xml:space="preserve"> </w:t>
      </w:r>
      <w:r w:rsidRPr="00CD59CC">
        <w:rPr>
          <w:rFonts w:ascii="Arial" w:hAnsi="Arial" w:cs="Arial"/>
          <w:i w:val="0"/>
          <w:lang w:val="en-GB"/>
        </w:rPr>
        <w:t>by</w:t>
      </w:r>
      <w:r w:rsidR="007B7640" w:rsidRPr="00CD59CC">
        <w:rPr>
          <w:rFonts w:ascii="Arial" w:hAnsi="Arial" w:cs="Arial"/>
          <w:i w:val="0"/>
          <w:lang w:val="en-GB"/>
        </w:rPr>
        <w:t xml:space="preserve"> </w:t>
      </w:r>
      <w:r w:rsidRPr="00CD59CC">
        <w:rPr>
          <w:rFonts w:ascii="Arial" w:hAnsi="Arial" w:cs="Arial"/>
          <w:i w:val="0"/>
          <w:lang w:val="en-GB"/>
        </w:rPr>
        <w:t>Act</w:t>
      </w:r>
      <w:r w:rsidR="007B7640" w:rsidRPr="00CD59CC">
        <w:rPr>
          <w:rFonts w:ascii="Arial" w:hAnsi="Arial" w:cs="Arial"/>
          <w:i w:val="0"/>
          <w:lang w:val="en-GB"/>
        </w:rPr>
        <w:t xml:space="preserve"> </w:t>
      </w:r>
      <w:r w:rsidRPr="00CD59CC">
        <w:rPr>
          <w:rFonts w:ascii="Arial" w:hAnsi="Arial" w:cs="Arial"/>
          <w:i w:val="0"/>
          <w:lang w:val="en-GB"/>
        </w:rPr>
        <w:t>CXXI</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2007</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Amendment</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Certain</w:t>
      </w:r>
      <w:r w:rsidR="007B7640" w:rsidRPr="00CD59CC">
        <w:rPr>
          <w:rFonts w:ascii="Arial" w:hAnsi="Arial" w:cs="Arial"/>
          <w:i w:val="0"/>
          <w:lang w:val="en-GB"/>
        </w:rPr>
        <w:t xml:space="preserve"> </w:t>
      </w:r>
      <w:r w:rsidRPr="00CD59CC">
        <w:rPr>
          <w:rFonts w:ascii="Arial" w:hAnsi="Arial" w:cs="Arial"/>
          <w:i w:val="0"/>
          <w:lang w:val="en-GB"/>
        </w:rPr>
        <w:t>Social</w:t>
      </w:r>
      <w:r w:rsidR="007B7640" w:rsidRPr="00CD59CC">
        <w:rPr>
          <w:rFonts w:ascii="Arial" w:hAnsi="Arial" w:cs="Arial"/>
          <w:i w:val="0"/>
          <w:lang w:val="en-GB"/>
        </w:rPr>
        <w:t xml:space="preserve"> </w:t>
      </w:r>
      <w:r w:rsidRPr="00CD59CC">
        <w:rPr>
          <w:rFonts w:ascii="Arial" w:hAnsi="Arial" w:cs="Arial"/>
          <w:i w:val="0"/>
          <w:lang w:val="en-GB"/>
        </w:rPr>
        <w:t>Laws.</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attempt</w:t>
      </w:r>
      <w:r w:rsidR="007B7640" w:rsidRPr="00CD59CC">
        <w:rPr>
          <w:rFonts w:ascii="Arial" w:hAnsi="Arial" w:cs="Arial"/>
          <w:i w:val="0"/>
          <w:lang w:val="en-GB"/>
        </w:rPr>
        <w:t xml:space="preserve"> </w:t>
      </w:r>
      <w:r w:rsidRPr="00CD59CC">
        <w:rPr>
          <w:rFonts w:ascii="Arial" w:hAnsi="Arial" w:cs="Arial"/>
          <w:i w:val="0"/>
          <w:lang w:val="en-GB"/>
        </w:rPr>
        <w:t>however</w:t>
      </w:r>
      <w:r w:rsidR="007B7640" w:rsidRPr="00CD59CC">
        <w:rPr>
          <w:rFonts w:ascii="Arial" w:hAnsi="Arial" w:cs="Arial"/>
          <w:i w:val="0"/>
          <w:lang w:val="en-GB"/>
        </w:rPr>
        <w:t xml:space="preserve"> </w:t>
      </w:r>
      <w:r w:rsidRPr="00CD59CC">
        <w:rPr>
          <w:rFonts w:ascii="Arial" w:hAnsi="Arial" w:cs="Arial"/>
          <w:i w:val="0"/>
          <w:lang w:val="en-GB"/>
        </w:rPr>
        <w:t>seems</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have</w:t>
      </w:r>
      <w:r w:rsidR="007B7640" w:rsidRPr="00CD59CC">
        <w:rPr>
          <w:rFonts w:ascii="Arial" w:hAnsi="Arial" w:cs="Arial"/>
          <w:i w:val="0"/>
          <w:lang w:val="en-GB"/>
        </w:rPr>
        <w:t xml:space="preserve"> </w:t>
      </w:r>
      <w:r w:rsidRPr="00CD59CC">
        <w:rPr>
          <w:rFonts w:ascii="Arial" w:hAnsi="Arial" w:cs="Arial"/>
          <w:i w:val="0"/>
          <w:lang w:val="en-GB"/>
        </w:rPr>
        <w:t>been</w:t>
      </w:r>
      <w:r w:rsidR="007B7640" w:rsidRPr="00CD59CC">
        <w:rPr>
          <w:rFonts w:ascii="Arial" w:hAnsi="Arial" w:cs="Arial"/>
          <w:i w:val="0"/>
          <w:lang w:val="en-GB"/>
        </w:rPr>
        <w:t xml:space="preserve"> </w:t>
      </w:r>
      <w:r w:rsidRPr="00CD59CC">
        <w:rPr>
          <w:rFonts w:ascii="Arial" w:hAnsi="Arial" w:cs="Arial"/>
          <w:i w:val="0"/>
          <w:lang w:val="en-GB"/>
        </w:rPr>
        <w:t>based</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misinterpretation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existing</w:t>
      </w:r>
      <w:r w:rsidR="007B7640" w:rsidRPr="00CD59CC">
        <w:rPr>
          <w:rFonts w:ascii="Arial" w:hAnsi="Arial" w:cs="Arial"/>
          <w:i w:val="0"/>
          <w:lang w:val="en-GB"/>
        </w:rPr>
        <w:t xml:space="preserve"> </w:t>
      </w:r>
      <w:r w:rsidRPr="00CD59CC">
        <w:rPr>
          <w:rFonts w:ascii="Arial" w:hAnsi="Arial" w:cs="Arial"/>
          <w:i w:val="0"/>
          <w:lang w:val="en-GB"/>
        </w:rPr>
        <w:t>Hungarian</w:t>
      </w:r>
      <w:r w:rsidR="007B7640" w:rsidRPr="00CD59CC">
        <w:rPr>
          <w:rFonts w:ascii="Arial" w:hAnsi="Arial" w:cs="Arial"/>
          <w:i w:val="0"/>
          <w:lang w:val="en-GB"/>
        </w:rPr>
        <w:t xml:space="preserve"> </w:t>
      </w:r>
      <w:r w:rsidRPr="00CD59CC">
        <w:rPr>
          <w:rFonts w:ascii="Arial" w:hAnsi="Arial" w:cs="Arial"/>
          <w:i w:val="0"/>
          <w:lang w:val="en-GB"/>
        </w:rPr>
        <w:t>legal</w:t>
      </w:r>
      <w:r w:rsidR="007B7640" w:rsidRPr="00CD59CC">
        <w:rPr>
          <w:rFonts w:ascii="Arial" w:hAnsi="Arial" w:cs="Arial"/>
          <w:i w:val="0"/>
          <w:lang w:val="en-GB"/>
        </w:rPr>
        <w:t xml:space="preserve"> </w:t>
      </w:r>
      <w:r w:rsidRPr="00CD59CC">
        <w:rPr>
          <w:rFonts w:ascii="Arial" w:hAnsi="Arial" w:cs="Arial"/>
          <w:i w:val="0"/>
          <w:lang w:val="en-GB"/>
        </w:rPr>
        <w:t>framework,</w:t>
      </w:r>
      <w:r w:rsidR="007B7640" w:rsidRPr="00CD59CC">
        <w:rPr>
          <w:rFonts w:ascii="Arial" w:hAnsi="Arial" w:cs="Arial"/>
          <w:i w:val="0"/>
          <w:lang w:val="en-GB"/>
        </w:rPr>
        <w:t xml:space="preserve"> </w:t>
      </w:r>
      <w:r w:rsidRPr="00CD59CC">
        <w:rPr>
          <w:rFonts w:ascii="Arial" w:hAnsi="Arial" w:cs="Arial"/>
          <w:i w:val="0"/>
          <w:lang w:val="en-GB"/>
        </w:rPr>
        <w:t>and/or</w:t>
      </w:r>
      <w:r w:rsidR="007B7640" w:rsidRPr="00CD59CC">
        <w:rPr>
          <w:rFonts w:ascii="Arial" w:hAnsi="Arial" w:cs="Arial"/>
          <w:i w:val="0"/>
          <w:lang w:val="en-GB"/>
        </w:rPr>
        <w:t xml:space="preserve"> </w:t>
      </w:r>
      <w:r w:rsidRPr="00CD59CC">
        <w:rPr>
          <w:rFonts w:ascii="Arial" w:hAnsi="Arial" w:cs="Arial"/>
          <w:i w:val="0"/>
          <w:lang w:val="en-GB"/>
        </w:rPr>
        <w:t>b)</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Article</w:t>
      </w:r>
      <w:r w:rsidR="007B7640" w:rsidRPr="00CD59CC">
        <w:rPr>
          <w:rFonts w:ascii="Arial" w:hAnsi="Arial" w:cs="Arial"/>
          <w:i w:val="0"/>
          <w:lang w:val="en-GB"/>
        </w:rPr>
        <w:t xml:space="preserve"> </w:t>
      </w:r>
      <w:r w:rsidRPr="00CD59CC">
        <w:rPr>
          <w:rFonts w:ascii="Arial" w:hAnsi="Arial" w:cs="Arial"/>
          <w:i w:val="0"/>
          <w:lang w:val="en-GB"/>
        </w:rPr>
        <w:t>5</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Directive.</w:t>
      </w:r>
      <w:r w:rsidR="007B7640" w:rsidRPr="00CD59CC">
        <w:rPr>
          <w:rFonts w:ascii="Arial" w:hAnsi="Arial" w:cs="Arial"/>
          <w:i w:val="0"/>
          <w:lang w:val="en-GB"/>
        </w:rPr>
        <w:t xml:space="preserve"> </w:t>
      </w:r>
    </w:p>
    <w:p w14:paraId="30D130CF" w14:textId="77777777" w:rsidR="003870FA" w:rsidRPr="00CD59CC" w:rsidRDefault="003870FA" w:rsidP="00CD59CC">
      <w:pPr>
        <w:pStyle w:val="BodyText"/>
        <w:rPr>
          <w:rFonts w:ascii="Arial" w:hAnsi="Arial" w:cs="Arial"/>
          <w:i w:val="0"/>
          <w:lang w:val="en-GB"/>
        </w:rPr>
      </w:pPr>
    </w:p>
    <w:p w14:paraId="644A516F"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term</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has</w:t>
      </w:r>
      <w:r w:rsidR="007B7640" w:rsidRPr="00CD59CC">
        <w:rPr>
          <w:rFonts w:ascii="Arial" w:hAnsi="Arial" w:cs="Arial"/>
          <w:i w:val="0"/>
          <w:lang w:val="en-GB"/>
        </w:rPr>
        <w:t xml:space="preserve"> </w:t>
      </w:r>
      <w:r w:rsidRPr="00CD59CC">
        <w:rPr>
          <w:rFonts w:ascii="Arial" w:hAnsi="Arial" w:cs="Arial"/>
          <w:i w:val="0"/>
          <w:lang w:val="en-GB"/>
        </w:rPr>
        <w:t>appeared</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new</w:t>
      </w:r>
      <w:r w:rsidR="007B7640" w:rsidRPr="00CD59CC">
        <w:rPr>
          <w:rFonts w:ascii="Arial" w:hAnsi="Arial" w:cs="Arial"/>
          <w:i w:val="0"/>
          <w:lang w:val="en-GB"/>
        </w:rPr>
        <w:t xml:space="preserve"> </w:t>
      </w:r>
      <w:r w:rsidRPr="00CD59CC">
        <w:rPr>
          <w:rFonts w:ascii="Arial" w:hAnsi="Arial" w:cs="Arial"/>
          <w:i w:val="0"/>
          <w:lang w:val="en-GB"/>
        </w:rPr>
        <w:t>Labour</w:t>
      </w:r>
      <w:r w:rsidR="007B7640" w:rsidRPr="00CD59CC">
        <w:rPr>
          <w:rFonts w:ascii="Arial" w:hAnsi="Arial" w:cs="Arial"/>
          <w:i w:val="0"/>
          <w:lang w:val="en-GB"/>
        </w:rPr>
        <w:t xml:space="preserve"> </w:t>
      </w:r>
      <w:r w:rsidRPr="00CD59CC">
        <w:rPr>
          <w:rFonts w:ascii="Arial" w:hAnsi="Arial" w:cs="Arial"/>
          <w:i w:val="0"/>
          <w:lang w:val="en-GB"/>
        </w:rPr>
        <w:t>Code</w:t>
      </w:r>
      <w:r w:rsidR="007B7640" w:rsidRPr="00CD59CC">
        <w:rPr>
          <w:rFonts w:ascii="Arial" w:hAnsi="Arial" w:cs="Arial"/>
          <w:i w:val="0"/>
          <w:lang w:val="en-GB"/>
        </w:rPr>
        <w:t xml:space="preserve"> </w:t>
      </w:r>
      <w:r w:rsidRPr="00CD59CC">
        <w:rPr>
          <w:rFonts w:ascii="Arial" w:hAnsi="Arial" w:cs="Arial"/>
          <w:i w:val="0"/>
          <w:lang w:val="en-GB"/>
        </w:rPr>
        <w:t>(Act</w:t>
      </w:r>
      <w:r w:rsidR="007B7640" w:rsidRPr="00CD59CC">
        <w:rPr>
          <w:rFonts w:ascii="Arial" w:hAnsi="Arial" w:cs="Arial"/>
          <w:i w:val="0"/>
          <w:lang w:val="en-GB"/>
        </w:rPr>
        <w:t xml:space="preserve"> </w:t>
      </w:r>
      <w:r w:rsidRPr="00CD59CC">
        <w:rPr>
          <w:rFonts w:ascii="Arial" w:hAnsi="Arial" w:cs="Arial"/>
          <w:i w:val="0"/>
          <w:lang w:val="en-GB"/>
        </w:rPr>
        <w:t>I</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2012</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Labour</w:t>
      </w:r>
      <w:r w:rsidR="007B7640" w:rsidRPr="00CD59CC">
        <w:rPr>
          <w:rFonts w:ascii="Arial" w:hAnsi="Arial" w:cs="Arial"/>
          <w:i w:val="0"/>
          <w:lang w:val="en-GB"/>
        </w:rPr>
        <w:t xml:space="preserve"> </w:t>
      </w:r>
      <w:r w:rsidRPr="00CD59CC">
        <w:rPr>
          <w:rFonts w:ascii="Arial" w:hAnsi="Arial" w:cs="Arial"/>
          <w:i w:val="0"/>
          <w:lang w:val="en-GB"/>
        </w:rPr>
        <w:t>Code,</w:t>
      </w:r>
      <w:r w:rsidR="007B7640" w:rsidRPr="00CD59CC">
        <w:rPr>
          <w:rFonts w:ascii="Arial" w:hAnsi="Arial" w:cs="Arial"/>
          <w:i w:val="0"/>
          <w:lang w:val="en-GB"/>
        </w:rPr>
        <w:t xml:space="preserve"> </w:t>
      </w:r>
      <w:r w:rsidRPr="00CD59CC">
        <w:rPr>
          <w:rFonts w:ascii="Arial" w:hAnsi="Arial" w:cs="Arial"/>
          <w:i w:val="0"/>
          <w:lang w:val="en-GB"/>
        </w:rPr>
        <w:t>hereafter:</w:t>
      </w:r>
      <w:r w:rsidR="007B7640" w:rsidRPr="00CD59CC">
        <w:rPr>
          <w:rFonts w:ascii="Arial" w:hAnsi="Arial" w:cs="Arial"/>
          <w:i w:val="0"/>
          <w:lang w:val="en-GB"/>
        </w:rPr>
        <w:t xml:space="preserve"> </w:t>
      </w:r>
      <w:r w:rsidRPr="00CD59CC">
        <w:rPr>
          <w:rFonts w:ascii="Arial" w:hAnsi="Arial" w:cs="Arial"/>
          <w:i w:val="0"/>
          <w:lang w:val="en-GB"/>
        </w:rPr>
        <w:t>Labour</w:t>
      </w:r>
      <w:r w:rsidR="007B7640" w:rsidRPr="00CD59CC">
        <w:rPr>
          <w:rFonts w:ascii="Arial" w:hAnsi="Arial" w:cs="Arial"/>
          <w:i w:val="0"/>
          <w:lang w:val="en-GB"/>
        </w:rPr>
        <w:t xml:space="preserve"> </w:t>
      </w:r>
      <w:r w:rsidRPr="00CD59CC">
        <w:rPr>
          <w:rFonts w:ascii="Arial" w:hAnsi="Arial" w:cs="Arial"/>
          <w:i w:val="0"/>
          <w:lang w:val="en-GB"/>
        </w:rPr>
        <w:t>Code),</w:t>
      </w:r>
      <w:r w:rsidR="007B7640" w:rsidRPr="00CD59CC">
        <w:rPr>
          <w:rFonts w:ascii="Arial" w:hAnsi="Arial" w:cs="Arial"/>
          <w:i w:val="0"/>
          <w:lang w:val="en-GB"/>
        </w:rPr>
        <w:t xml:space="preserve"> </w:t>
      </w:r>
      <w:r w:rsidRPr="00CD59CC">
        <w:rPr>
          <w:rFonts w:ascii="Arial" w:hAnsi="Arial" w:cs="Arial"/>
          <w:i w:val="0"/>
          <w:lang w:val="en-GB"/>
        </w:rPr>
        <w:t>but</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author’s</w:t>
      </w:r>
      <w:r w:rsidR="007B7640" w:rsidRPr="00CD59CC">
        <w:rPr>
          <w:rFonts w:ascii="Arial" w:hAnsi="Arial" w:cs="Arial"/>
          <w:i w:val="0"/>
          <w:lang w:val="en-GB"/>
        </w:rPr>
        <w:t xml:space="preserve"> </w:t>
      </w:r>
      <w:r w:rsidRPr="00CD59CC">
        <w:rPr>
          <w:rFonts w:ascii="Arial" w:hAnsi="Arial" w:cs="Arial"/>
          <w:i w:val="0"/>
          <w:lang w:val="en-GB"/>
        </w:rPr>
        <w:t>opinion,</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regard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very</w:t>
      </w:r>
      <w:r w:rsidR="007B7640" w:rsidRPr="00CD59CC">
        <w:rPr>
          <w:rFonts w:ascii="Arial" w:hAnsi="Arial" w:cs="Arial"/>
          <w:i w:val="0"/>
          <w:lang w:val="en-GB"/>
        </w:rPr>
        <w:t xml:space="preserve"> </w:t>
      </w:r>
      <w:r w:rsidRPr="00CD59CC">
        <w:rPr>
          <w:rFonts w:ascii="Arial" w:hAnsi="Arial" w:cs="Arial"/>
          <w:i w:val="0"/>
          <w:lang w:val="en-GB"/>
        </w:rPr>
        <w:t>important</w:t>
      </w:r>
      <w:r w:rsidR="007B7640" w:rsidRPr="00CD59CC">
        <w:rPr>
          <w:rFonts w:ascii="Arial" w:hAnsi="Arial" w:cs="Arial"/>
          <w:i w:val="0"/>
          <w:lang w:val="en-GB"/>
        </w:rPr>
        <w:t xml:space="preserve"> </w:t>
      </w:r>
      <w:r w:rsidRPr="00CD59CC">
        <w:rPr>
          <w:rFonts w:ascii="Arial" w:hAnsi="Arial" w:cs="Arial"/>
          <w:i w:val="0"/>
          <w:lang w:val="en-GB"/>
        </w:rPr>
        <w:t>aspects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access</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duty</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still</w:t>
      </w:r>
      <w:r w:rsidR="007B7640" w:rsidRPr="00CD59CC">
        <w:rPr>
          <w:rFonts w:ascii="Arial" w:hAnsi="Arial" w:cs="Arial"/>
          <w:i w:val="0"/>
          <w:lang w:val="en-GB"/>
        </w:rPr>
        <w:t xml:space="preserve"> </w:t>
      </w:r>
      <w:r w:rsidRPr="00CD59CC">
        <w:rPr>
          <w:rFonts w:ascii="Arial" w:hAnsi="Arial" w:cs="Arial"/>
          <w:i w:val="0"/>
          <w:lang w:val="en-GB"/>
        </w:rPr>
        <w:t>missing</w:t>
      </w:r>
      <w:r w:rsidR="007B7640" w:rsidRPr="00CD59CC">
        <w:rPr>
          <w:rFonts w:ascii="Arial" w:hAnsi="Arial" w:cs="Arial"/>
          <w:i w:val="0"/>
          <w:lang w:val="en-GB"/>
        </w:rPr>
        <w:t xml:space="preserve"> </w:t>
      </w:r>
      <w:r w:rsidRPr="00CD59CC">
        <w:rPr>
          <w:rFonts w:ascii="Arial" w:hAnsi="Arial" w:cs="Arial"/>
          <w:i w:val="0"/>
          <w:lang w:val="en-GB"/>
        </w:rPr>
        <w:t>from</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Hungarian</w:t>
      </w:r>
      <w:r w:rsidR="007B7640" w:rsidRPr="00CD59CC">
        <w:rPr>
          <w:rFonts w:ascii="Arial" w:hAnsi="Arial" w:cs="Arial"/>
          <w:i w:val="0"/>
          <w:lang w:val="en-GB"/>
        </w:rPr>
        <w:t xml:space="preserve"> </w:t>
      </w:r>
      <w:r w:rsidRPr="00CD59CC">
        <w:rPr>
          <w:rFonts w:ascii="Arial" w:hAnsi="Arial" w:cs="Arial"/>
          <w:i w:val="0"/>
          <w:lang w:val="en-GB"/>
        </w:rPr>
        <w:t>system,</w:t>
      </w:r>
      <w:r w:rsidR="007B7640" w:rsidRPr="00CD59CC">
        <w:rPr>
          <w:rFonts w:ascii="Arial" w:hAnsi="Arial" w:cs="Arial"/>
          <w:i w:val="0"/>
          <w:lang w:val="en-GB"/>
        </w:rPr>
        <w:t xml:space="preserve"> </w:t>
      </w:r>
      <w:r w:rsidRPr="00CD59CC">
        <w:rPr>
          <w:rFonts w:ascii="Arial" w:hAnsi="Arial" w:cs="Arial"/>
          <w:i w:val="0"/>
          <w:lang w:val="en-GB"/>
        </w:rPr>
        <w:t>while</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relation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other</w:t>
      </w:r>
      <w:r w:rsidR="007B7640" w:rsidRPr="00CD59CC">
        <w:rPr>
          <w:rFonts w:ascii="Arial" w:hAnsi="Arial" w:cs="Arial"/>
          <w:i w:val="0"/>
          <w:lang w:val="en-GB"/>
        </w:rPr>
        <w:t xml:space="preserve"> </w:t>
      </w:r>
      <w:r w:rsidRPr="00CD59CC">
        <w:rPr>
          <w:rFonts w:ascii="Arial" w:hAnsi="Arial" w:cs="Arial"/>
          <w:i w:val="0"/>
          <w:lang w:val="en-GB"/>
        </w:rPr>
        <w:t>aspects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people</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more</w:t>
      </w:r>
      <w:r w:rsidR="007B7640" w:rsidRPr="00CD59CC">
        <w:rPr>
          <w:rFonts w:ascii="Arial" w:hAnsi="Arial" w:cs="Arial"/>
          <w:i w:val="0"/>
          <w:lang w:val="en-GB"/>
        </w:rPr>
        <w:t xml:space="preserve"> </w:t>
      </w:r>
      <w:r w:rsidRPr="00CD59CC">
        <w:rPr>
          <w:rFonts w:ascii="Arial" w:hAnsi="Arial" w:cs="Arial"/>
          <w:i w:val="0"/>
          <w:lang w:val="en-GB"/>
        </w:rPr>
        <w:t>or</w:t>
      </w:r>
      <w:r w:rsidR="007B7640" w:rsidRPr="00CD59CC">
        <w:rPr>
          <w:rFonts w:ascii="Arial" w:hAnsi="Arial" w:cs="Arial"/>
          <w:i w:val="0"/>
          <w:lang w:val="en-GB"/>
        </w:rPr>
        <w:t xml:space="preserve"> </w:t>
      </w:r>
      <w:r w:rsidRPr="00CD59CC">
        <w:rPr>
          <w:rFonts w:ascii="Arial" w:hAnsi="Arial" w:cs="Arial"/>
          <w:i w:val="0"/>
          <w:lang w:val="en-GB"/>
        </w:rPr>
        <w:t>less</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place.</w:t>
      </w:r>
      <w:r w:rsidR="007B7640" w:rsidRPr="00CD59CC">
        <w:rPr>
          <w:rFonts w:ascii="Arial" w:hAnsi="Arial" w:cs="Arial"/>
          <w:i w:val="0"/>
          <w:lang w:val="en-GB"/>
        </w:rPr>
        <w:t xml:space="preserve"> </w:t>
      </w:r>
      <w:r w:rsidRPr="00CD59CC">
        <w:rPr>
          <w:rFonts w:ascii="Arial" w:hAnsi="Arial" w:cs="Arial"/>
          <w:i w:val="0"/>
          <w:lang w:val="en-GB"/>
        </w:rPr>
        <w:t>Below</w:t>
      </w:r>
      <w:r w:rsidR="007B7640" w:rsidRPr="00CD59CC">
        <w:rPr>
          <w:rFonts w:ascii="Arial" w:hAnsi="Arial" w:cs="Arial"/>
          <w:i w:val="0"/>
          <w:lang w:val="en-GB"/>
        </w:rPr>
        <w:t xml:space="preserve"> </w:t>
      </w:r>
      <w:r w:rsidRPr="00CD59CC">
        <w:rPr>
          <w:rFonts w:ascii="Arial" w:hAnsi="Arial" w:cs="Arial"/>
          <w:i w:val="0"/>
          <w:lang w:val="en-GB"/>
        </w:rPr>
        <w:t>we</w:t>
      </w:r>
      <w:r w:rsidR="007B7640" w:rsidRPr="00CD59CC">
        <w:rPr>
          <w:rFonts w:ascii="Arial" w:hAnsi="Arial" w:cs="Arial"/>
          <w:i w:val="0"/>
          <w:lang w:val="en-GB"/>
        </w:rPr>
        <w:t xml:space="preserve"> </w:t>
      </w:r>
      <w:r w:rsidRPr="00CD59CC">
        <w:rPr>
          <w:rFonts w:ascii="Arial" w:hAnsi="Arial" w:cs="Arial"/>
          <w:i w:val="0"/>
          <w:lang w:val="en-GB"/>
        </w:rPr>
        <w:t>give</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short</w:t>
      </w:r>
      <w:r w:rsidR="007B7640" w:rsidRPr="00CD59CC">
        <w:rPr>
          <w:rFonts w:ascii="Arial" w:hAnsi="Arial" w:cs="Arial"/>
          <w:i w:val="0"/>
          <w:lang w:val="en-GB"/>
        </w:rPr>
        <w:t xml:space="preserve"> </w:t>
      </w:r>
      <w:r w:rsidRPr="00CD59CC">
        <w:rPr>
          <w:rFonts w:ascii="Arial" w:hAnsi="Arial" w:cs="Arial"/>
          <w:i w:val="0"/>
          <w:lang w:val="en-GB"/>
        </w:rPr>
        <w:t>summary</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relevant</w:t>
      </w:r>
      <w:r w:rsidR="007B7640" w:rsidRPr="00CD59CC">
        <w:rPr>
          <w:rFonts w:ascii="Arial" w:hAnsi="Arial" w:cs="Arial"/>
          <w:i w:val="0"/>
          <w:lang w:val="en-GB"/>
        </w:rPr>
        <w:t xml:space="preserve"> </w:t>
      </w:r>
      <w:r w:rsidRPr="00CD59CC">
        <w:rPr>
          <w:rFonts w:ascii="Arial" w:hAnsi="Arial" w:cs="Arial"/>
          <w:i w:val="0"/>
          <w:lang w:val="en-GB"/>
        </w:rPr>
        <w:t>provisions</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substantiate</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stance.</w:t>
      </w:r>
      <w:r w:rsidRPr="00CD59CC">
        <w:rPr>
          <w:rStyle w:val="FootnoteReference"/>
          <w:rFonts w:ascii="Arial" w:hAnsi="Arial" w:cs="Arial"/>
          <w:i w:val="0"/>
          <w:lang w:val="en-GB"/>
        </w:rPr>
        <w:footnoteReference w:id="49"/>
      </w:r>
    </w:p>
    <w:p w14:paraId="63CA3A3A"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lastRenderedPageBreak/>
        <w:t>Under</w:t>
      </w:r>
      <w:r w:rsidR="007B7640" w:rsidRPr="00CD59CC">
        <w:rPr>
          <w:rFonts w:ascii="Arial" w:hAnsi="Arial" w:cs="Arial"/>
          <w:i w:val="0"/>
          <w:lang w:val="en-GB"/>
        </w:rPr>
        <w:t xml:space="preserve"> </w:t>
      </w:r>
      <w:r w:rsidRPr="00CD59CC">
        <w:rPr>
          <w:rFonts w:ascii="Arial" w:hAnsi="Arial" w:cs="Arial"/>
          <w:i w:val="0"/>
          <w:lang w:val="en-GB"/>
        </w:rPr>
        <w:t>Article</w:t>
      </w:r>
      <w:r w:rsidR="007B7640" w:rsidRPr="00CD59CC">
        <w:rPr>
          <w:rFonts w:ascii="Arial" w:hAnsi="Arial" w:cs="Arial"/>
          <w:i w:val="0"/>
          <w:lang w:val="en-GB"/>
        </w:rPr>
        <w:t xml:space="preserve"> </w:t>
      </w:r>
      <w:r w:rsidRPr="00CD59CC">
        <w:rPr>
          <w:rFonts w:ascii="Arial" w:hAnsi="Arial" w:cs="Arial"/>
          <w:i w:val="0"/>
          <w:lang w:val="en-GB"/>
        </w:rPr>
        <w:t>15</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RPD</w:t>
      </w:r>
      <w:r w:rsidR="007B7640" w:rsidRPr="00CD59CC">
        <w:rPr>
          <w:rFonts w:ascii="Arial" w:hAnsi="Arial" w:cs="Arial"/>
          <w:i w:val="0"/>
          <w:lang w:val="en-GB"/>
        </w:rPr>
        <w:t xml:space="preserve"> </w:t>
      </w:r>
      <w:r w:rsidRPr="00CD59CC">
        <w:rPr>
          <w:rFonts w:ascii="Arial" w:hAnsi="Arial" w:cs="Arial"/>
          <w:i w:val="0"/>
          <w:lang w:val="en-GB"/>
        </w:rPr>
        <w:t>Act,</w:t>
      </w:r>
      <w:r w:rsidR="007B7640" w:rsidRPr="00CD59CC">
        <w:rPr>
          <w:rFonts w:ascii="Arial" w:hAnsi="Arial" w:cs="Arial"/>
          <w:i w:val="0"/>
          <w:lang w:val="en-GB"/>
        </w:rPr>
        <w:t xml:space="preserve"> </w:t>
      </w:r>
      <w:r w:rsidRPr="00CD59CC">
        <w:rPr>
          <w:rFonts w:ascii="Arial" w:hAnsi="Arial" w:cs="Arial"/>
          <w:i w:val="0"/>
          <w:lang w:val="en-GB"/>
        </w:rPr>
        <w:t>persons</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shall</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possible</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employed</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integrated</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or,</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lieu</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protected</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p>
    <w:p w14:paraId="60289D48" w14:textId="77777777" w:rsidR="003870FA" w:rsidRPr="00CD59CC" w:rsidRDefault="003870FA" w:rsidP="00CD59CC">
      <w:pPr>
        <w:pStyle w:val="BodyText"/>
        <w:rPr>
          <w:rFonts w:ascii="Arial" w:hAnsi="Arial" w:cs="Arial"/>
          <w:i w:val="0"/>
          <w:lang w:val="en-GB"/>
        </w:rPr>
      </w:pPr>
    </w:p>
    <w:p w14:paraId="1126C7AC"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Paragraph</w:t>
      </w:r>
      <w:r w:rsidR="007B7640" w:rsidRPr="00CD59CC">
        <w:rPr>
          <w:rFonts w:ascii="Arial" w:hAnsi="Arial" w:cs="Arial"/>
          <w:i w:val="0"/>
          <w:lang w:val="en-GB"/>
        </w:rPr>
        <w:t xml:space="preserve"> </w:t>
      </w:r>
      <w:r w:rsidRPr="00CD59CC">
        <w:rPr>
          <w:rFonts w:ascii="Arial" w:hAnsi="Arial" w:cs="Arial"/>
          <w:i w:val="0"/>
          <w:lang w:val="en-GB"/>
        </w:rPr>
        <w:t>(2)</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employing</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person</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disability</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provide</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extent</w:t>
      </w:r>
      <w:r w:rsidR="007B7640" w:rsidRPr="00CD59CC">
        <w:rPr>
          <w:rFonts w:ascii="Arial" w:hAnsi="Arial" w:cs="Arial"/>
          <w:i w:val="0"/>
          <w:lang w:val="en-GB"/>
        </w:rPr>
        <w:t xml:space="preserve"> </w:t>
      </w:r>
      <w:r w:rsidRPr="00CD59CC">
        <w:rPr>
          <w:rFonts w:ascii="Arial" w:hAnsi="Arial" w:cs="Arial"/>
          <w:i w:val="0"/>
          <w:lang w:val="en-GB"/>
        </w:rPr>
        <w:t>necessary</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performance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work,</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at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work</w:t>
      </w:r>
      <w:r w:rsidR="007B7640" w:rsidRPr="00CD59CC">
        <w:rPr>
          <w:rFonts w:ascii="Arial" w:hAnsi="Arial" w:cs="Arial"/>
          <w:i w:val="0"/>
          <w:lang w:val="en-GB"/>
        </w:rPr>
        <w:t xml:space="preserve"> </w:t>
      </w:r>
      <w:r w:rsidRPr="00CD59CC">
        <w:rPr>
          <w:rFonts w:ascii="Arial" w:hAnsi="Arial" w:cs="Arial"/>
          <w:i w:val="0"/>
          <w:lang w:val="en-GB"/>
        </w:rPr>
        <w:t>place,</w:t>
      </w:r>
      <w:r w:rsidR="007B7640" w:rsidRPr="00CD59CC">
        <w:rPr>
          <w:rFonts w:ascii="Arial" w:hAnsi="Arial" w:cs="Arial"/>
          <w:i w:val="0"/>
          <w:lang w:val="en-GB"/>
        </w:rPr>
        <w:t xml:space="preserve"> </w:t>
      </w:r>
      <w:r w:rsidRPr="00CD59CC">
        <w:rPr>
          <w:rFonts w:ascii="Arial" w:hAnsi="Arial" w:cs="Arial"/>
          <w:i w:val="0"/>
          <w:lang w:val="en-GB"/>
        </w:rPr>
        <w:t>i.e.</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particular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appropriate</w:t>
      </w:r>
      <w:r w:rsidR="007B7640" w:rsidRPr="00CD59CC">
        <w:rPr>
          <w:rFonts w:ascii="Arial" w:hAnsi="Arial" w:cs="Arial"/>
          <w:i w:val="0"/>
          <w:lang w:val="en-GB"/>
        </w:rPr>
        <w:t xml:space="preserve"> </w:t>
      </w:r>
      <w:r w:rsidRPr="00CD59CC">
        <w:rPr>
          <w:rFonts w:ascii="Arial" w:hAnsi="Arial" w:cs="Arial"/>
          <w:i w:val="0"/>
          <w:lang w:val="en-GB"/>
        </w:rPr>
        <w:t>refurbishment</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tools</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machines.</w:t>
      </w:r>
      <w:r w:rsidR="007B7640" w:rsidRPr="00CD59CC">
        <w:rPr>
          <w:rFonts w:ascii="Arial" w:hAnsi="Arial" w:cs="Arial"/>
          <w:i w:val="0"/>
          <w:lang w:val="en-GB"/>
        </w:rPr>
        <w:t xml:space="preserve"> </w:t>
      </w:r>
      <w:r w:rsidRPr="00CD59CC">
        <w:rPr>
          <w:rFonts w:ascii="Arial" w:hAnsi="Arial" w:cs="Arial"/>
          <w:i w:val="0"/>
          <w:lang w:val="en-GB"/>
        </w:rPr>
        <w:t>Support</w:t>
      </w:r>
      <w:r w:rsidR="007B7640" w:rsidRPr="00CD59CC">
        <w:rPr>
          <w:rFonts w:ascii="Arial" w:hAnsi="Arial" w:cs="Arial"/>
          <w:i w:val="0"/>
          <w:lang w:val="en-GB"/>
        </w:rPr>
        <w:t xml:space="preserve"> </w:t>
      </w:r>
      <w:r w:rsidRPr="00CD59CC">
        <w:rPr>
          <w:rFonts w:ascii="Arial" w:hAnsi="Arial" w:cs="Arial"/>
          <w:i w:val="0"/>
          <w:lang w:val="en-GB"/>
        </w:rPr>
        <w:t>from</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central</w:t>
      </w:r>
      <w:r w:rsidR="007B7640" w:rsidRPr="00CD59CC">
        <w:rPr>
          <w:rFonts w:ascii="Arial" w:hAnsi="Arial" w:cs="Arial"/>
          <w:i w:val="0"/>
          <w:lang w:val="en-GB"/>
        </w:rPr>
        <w:t xml:space="preserve"> </w:t>
      </w:r>
      <w:r w:rsidRPr="00CD59CC">
        <w:rPr>
          <w:rFonts w:ascii="Arial" w:hAnsi="Arial" w:cs="Arial"/>
          <w:i w:val="0"/>
          <w:lang w:val="en-GB"/>
        </w:rPr>
        <w:t>budget</w:t>
      </w:r>
      <w:r w:rsidR="007B7640" w:rsidRPr="00CD59CC">
        <w:rPr>
          <w:rFonts w:ascii="Arial" w:hAnsi="Arial" w:cs="Arial"/>
          <w:i w:val="0"/>
          <w:lang w:val="en-GB"/>
        </w:rPr>
        <w:t xml:space="preserve"> </w:t>
      </w:r>
      <w:r w:rsidRPr="00CD59CC">
        <w:rPr>
          <w:rFonts w:ascii="Arial" w:hAnsi="Arial" w:cs="Arial"/>
          <w:i w:val="0"/>
          <w:lang w:val="en-GB"/>
        </w:rPr>
        <w:t>can</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requested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cover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expenses</w:t>
      </w:r>
      <w:r w:rsidR="007B7640" w:rsidRPr="00CD59CC">
        <w:rPr>
          <w:rFonts w:ascii="Arial" w:hAnsi="Arial" w:cs="Arial"/>
          <w:i w:val="0"/>
          <w:lang w:val="en-GB"/>
        </w:rPr>
        <w:t xml:space="preserve"> </w:t>
      </w:r>
      <w:r w:rsidRPr="00CD59CC">
        <w:rPr>
          <w:rFonts w:ascii="Arial" w:hAnsi="Arial" w:cs="Arial"/>
          <w:i w:val="0"/>
          <w:lang w:val="en-GB"/>
        </w:rPr>
        <w:t>incurred</w:t>
      </w:r>
      <w:r w:rsidR="007B7640" w:rsidRPr="00CD59CC">
        <w:rPr>
          <w:rFonts w:ascii="Arial" w:hAnsi="Arial" w:cs="Arial"/>
          <w:i w:val="0"/>
          <w:lang w:val="en-GB"/>
        </w:rPr>
        <w:t xml:space="preserve"> </w:t>
      </w:r>
      <w:r w:rsidRPr="00CD59CC">
        <w:rPr>
          <w:rFonts w:ascii="Arial" w:hAnsi="Arial" w:cs="Arial"/>
          <w:i w:val="0"/>
          <w:lang w:val="en-GB"/>
        </w:rPr>
        <w:t>by</w:t>
      </w:r>
      <w:r w:rsidR="007B7640" w:rsidRPr="00CD59CC">
        <w:rPr>
          <w:rFonts w:ascii="Arial" w:hAnsi="Arial" w:cs="Arial"/>
          <w:i w:val="0"/>
          <w:lang w:val="en-GB"/>
        </w:rPr>
        <w:t xml:space="preserve"> </w:t>
      </w:r>
      <w:r w:rsidRPr="00CD59CC">
        <w:rPr>
          <w:rFonts w:ascii="Arial" w:hAnsi="Arial" w:cs="Arial"/>
          <w:i w:val="0"/>
          <w:lang w:val="en-GB"/>
        </w:rPr>
        <w:t>refurbishment.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provision</w:t>
      </w:r>
      <w:r w:rsidR="007B7640" w:rsidRPr="00CD59CC">
        <w:rPr>
          <w:rFonts w:ascii="Arial" w:hAnsi="Arial" w:cs="Arial"/>
          <w:i w:val="0"/>
          <w:lang w:val="en-GB"/>
        </w:rPr>
        <w:t xml:space="preserve"> </w:t>
      </w:r>
      <w:r w:rsidRPr="00CD59CC">
        <w:rPr>
          <w:rFonts w:ascii="Arial" w:hAnsi="Arial" w:cs="Arial"/>
          <w:i w:val="0"/>
          <w:lang w:val="en-GB"/>
        </w:rPr>
        <w:t>does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contain</w:t>
      </w:r>
      <w:r w:rsidR="007B7640" w:rsidRPr="00CD59CC">
        <w:rPr>
          <w:rFonts w:ascii="Arial" w:hAnsi="Arial" w:cs="Arial"/>
          <w:i w:val="0"/>
          <w:lang w:val="en-GB"/>
        </w:rPr>
        <w:t xml:space="preserve"> </w:t>
      </w:r>
      <w:r w:rsidRPr="00CD59CC">
        <w:rPr>
          <w:rFonts w:ascii="Arial" w:hAnsi="Arial" w:cs="Arial"/>
          <w:i w:val="0"/>
          <w:lang w:val="en-GB"/>
        </w:rPr>
        <w:t>any</w:t>
      </w:r>
      <w:r w:rsidR="007B7640" w:rsidRPr="00CD59CC">
        <w:rPr>
          <w:rFonts w:ascii="Arial" w:hAnsi="Arial" w:cs="Arial"/>
          <w:i w:val="0"/>
          <w:lang w:val="en-GB"/>
        </w:rPr>
        <w:t xml:space="preserve"> </w:t>
      </w:r>
      <w:r w:rsidRPr="00CD59CC">
        <w:rPr>
          <w:rFonts w:ascii="Arial" w:hAnsi="Arial" w:cs="Arial"/>
          <w:i w:val="0"/>
          <w:lang w:val="en-GB"/>
        </w:rPr>
        <w:t>reference</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issue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disproportionate</w:t>
      </w:r>
      <w:r w:rsidR="007B7640" w:rsidRPr="00CD59CC">
        <w:rPr>
          <w:rFonts w:ascii="Arial" w:hAnsi="Arial" w:cs="Arial"/>
          <w:i w:val="0"/>
          <w:lang w:val="en-GB"/>
        </w:rPr>
        <w:t xml:space="preserve"> </w:t>
      </w:r>
      <w:r w:rsidRPr="00CD59CC">
        <w:rPr>
          <w:rFonts w:ascii="Arial" w:hAnsi="Arial" w:cs="Arial"/>
          <w:i w:val="0"/>
          <w:lang w:val="en-GB"/>
        </w:rPr>
        <w:t>burden.</w:t>
      </w:r>
    </w:p>
    <w:p w14:paraId="17C6D645" w14:textId="77777777" w:rsidR="003870FA" w:rsidRPr="00CD59CC" w:rsidRDefault="003870FA" w:rsidP="00CD59CC">
      <w:pPr>
        <w:pStyle w:val="BodyText"/>
        <w:rPr>
          <w:rFonts w:ascii="Arial" w:hAnsi="Arial" w:cs="Arial"/>
          <w:lang w:val="en-GB"/>
        </w:rPr>
      </w:pPr>
    </w:p>
    <w:p w14:paraId="4216E52A"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law</w:t>
      </w:r>
      <w:r w:rsidR="007B7640" w:rsidRPr="00CD59CC">
        <w:rPr>
          <w:rFonts w:ascii="Arial" w:hAnsi="Arial" w:cs="Arial"/>
          <w:i w:val="0"/>
          <w:lang w:val="en-GB"/>
        </w:rPr>
        <w:t xml:space="preserve"> </w:t>
      </w:r>
      <w:r w:rsidRPr="00CD59CC">
        <w:rPr>
          <w:rFonts w:ascii="Arial" w:hAnsi="Arial" w:cs="Arial"/>
          <w:i w:val="0"/>
          <w:lang w:val="en-GB"/>
        </w:rPr>
        <w:t>speaks</w:t>
      </w:r>
      <w:r w:rsidR="007B7640" w:rsidRPr="00CD59CC">
        <w:rPr>
          <w:rFonts w:ascii="Arial" w:hAnsi="Arial" w:cs="Arial"/>
          <w:i w:val="0"/>
          <w:lang w:val="en-GB"/>
        </w:rPr>
        <w:t xml:space="preserve"> </w:t>
      </w:r>
      <w:r w:rsidRPr="00CD59CC">
        <w:rPr>
          <w:rFonts w:ascii="Arial" w:hAnsi="Arial" w:cs="Arial"/>
          <w:i w:val="0"/>
          <w:lang w:val="en-GB"/>
        </w:rPr>
        <w:t>about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adaptation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“workplace</w:t>
      </w:r>
      <w:r w:rsidR="007B7640" w:rsidRPr="00CD59CC">
        <w:rPr>
          <w:rFonts w:ascii="Arial" w:hAnsi="Arial" w:cs="Arial"/>
          <w:i w:val="0"/>
          <w:lang w:val="en-GB"/>
        </w:rPr>
        <w:t xml:space="preserve"> </w:t>
      </w:r>
      <w:r w:rsidRPr="00CD59CC">
        <w:rPr>
          <w:rFonts w:ascii="Arial" w:hAnsi="Arial" w:cs="Arial"/>
          <w:i w:val="0"/>
          <w:lang w:val="en-GB"/>
        </w:rPr>
        <w:t>environment”</w:t>
      </w:r>
      <w:r w:rsidR="007B7640" w:rsidRPr="00CD59CC">
        <w:rPr>
          <w:rFonts w:ascii="Arial" w:hAnsi="Arial" w:cs="Arial"/>
          <w:i w:val="0"/>
          <w:lang w:val="en-GB"/>
        </w:rPr>
        <w:t xml:space="preserve"> </w:t>
      </w:r>
      <w:r w:rsidRPr="00CD59CC">
        <w:rPr>
          <w:rFonts w:ascii="Arial" w:hAnsi="Arial" w:cs="Arial"/>
          <w:i w:val="0"/>
          <w:lang w:val="en-GB"/>
        </w:rPr>
        <w:t>[</w:t>
      </w:r>
      <w:r w:rsidRPr="00CD59CC">
        <w:rPr>
          <w:rFonts w:ascii="Arial" w:hAnsi="Arial" w:cs="Arial"/>
          <w:lang w:val="en-GB"/>
        </w:rPr>
        <w:t>munkahelyi</w:t>
      </w:r>
      <w:r w:rsidR="007B7640" w:rsidRPr="00CD59CC">
        <w:rPr>
          <w:rFonts w:ascii="Arial" w:hAnsi="Arial" w:cs="Arial"/>
          <w:lang w:val="en-GB"/>
        </w:rPr>
        <w:t xml:space="preserve"> </w:t>
      </w:r>
      <w:r w:rsidRPr="00CD59CC">
        <w:rPr>
          <w:rFonts w:ascii="Arial" w:hAnsi="Arial" w:cs="Arial"/>
          <w:lang w:val="en-GB"/>
        </w:rPr>
        <w:t>környezet</w:t>
      </w:r>
      <w:r w:rsidRPr="00CD59CC">
        <w:rPr>
          <w:rFonts w:ascii="Arial" w:hAnsi="Arial" w:cs="Arial"/>
          <w:i w:val="0"/>
          <w:lang w:val="en-GB"/>
        </w:rPr>
        <w:t>].</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we</w:t>
      </w:r>
      <w:r w:rsidR="007B7640" w:rsidRPr="00CD59CC">
        <w:rPr>
          <w:rFonts w:ascii="Arial" w:hAnsi="Arial" w:cs="Arial"/>
          <w:i w:val="0"/>
          <w:lang w:val="en-GB"/>
        </w:rPr>
        <w:t xml:space="preserve"> </w:t>
      </w:r>
      <w:r w:rsidRPr="00CD59CC">
        <w:rPr>
          <w:rFonts w:ascii="Arial" w:hAnsi="Arial" w:cs="Arial"/>
          <w:i w:val="0"/>
          <w:lang w:val="en-GB"/>
        </w:rPr>
        <w:t>interpret</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term</w:t>
      </w:r>
      <w:r w:rsidR="007B7640" w:rsidRPr="00CD59CC">
        <w:rPr>
          <w:rFonts w:ascii="Arial" w:hAnsi="Arial" w:cs="Arial"/>
          <w:i w:val="0"/>
          <w:lang w:val="en-GB"/>
        </w:rPr>
        <w:t xml:space="preserve"> </w:t>
      </w:r>
      <w:r w:rsidRPr="00CD59CC">
        <w:rPr>
          <w:rFonts w:ascii="Arial" w:hAnsi="Arial" w:cs="Arial"/>
          <w:i w:val="0"/>
          <w:lang w:val="en-GB"/>
        </w:rPr>
        <w:t>from</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strict</w:t>
      </w:r>
      <w:r w:rsidR="007B7640" w:rsidRPr="00CD59CC">
        <w:rPr>
          <w:rFonts w:ascii="Arial" w:hAnsi="Arial" w:cs="Arial"/>
          <w:i w:val="0"/>
          <w:lang w:val="en-GB"/>
        </w:rPr>
        <w:t xml:space="preserve"> </w:t>
      </w:r>
      <w:r w:rsidRPr="00CD59CC">
        <w:rPr>
          <w:rFonts w:ascii="Arial" w:hAnsi="Arial" w:cs="Arial"/>
          <w:i w:val="0"/>
          <w:lang w:val="en-GB"/>
        </w:rPr>
        <w:t>semantic</w:t>
      </w:r>
      <w:r w:rsidR="007B7640" w:rsidRPr="00CD59CC">
        <w:rPr>
          <w:rFonts w:ascii="Arial" w:hAnsi="Arial" w:cs="Arial"/>
          <w:i w:val="0"/>
          <w:lang w:val="en-GB"/>
        </w:rPr>
        <w:t xml:space="preserve"> </w:t>
      </w:r>
      <w:r w:rsidRPr="00CD59CC">
        <w:rPr>
          <w:rFonts w:ascii="Arial" w:hAnsi="Arial" w:cs="Arial"/>
          <w:i w:val="0"/>
          <w:lang w:val="en-GB"/>
        </w:rPr>
        <w:t>point</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view,</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does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contain</w:t>
      </w:r>
      <w:r w:rsidR="007B7640" w:rsidRPr="00CD59CC">
        <w:rPr>
          <w:rFonts w:ascii="Arial" w:hAnsi="Arial" w:cs="Arial"/>
          <w:i w:val="0"/>
          <w:lang w:val="en-GB"/>
        </w:rPr>
        <w:t xml:space="preserve"> </w:t>
      </w:r>
      <w:r w:rsidRPr="00CD59CC">
        <w:rPr>
          <w:rFonts w:ascii="Arial" w:hAnsi="Arial" w:cs="Arial"/>
          <w:i w:val="0"/>
          <w:lang w:val="en-GB"/>
        </w:rPr>
        <w:t>accommodations</w:t>
      </w:r>
      <w:r w:rsidR="007B7640" w:rsidRPr="00CD59CC">
        <w:rPr>
          <w:rFonts w:ascii="Arial" w:hAnsi="Arial" w:cs="Arial"/>
          <w:i w:val="0"/>
          <w:lang w:val="en-GB"/>
        </w:rPr>
        <w:t xml:space="preserve"> </w:t>
      </w:r>
      <w:r w:rsidRPr="00CD59CC">
        <w:rPr>
          <w:rFonts w:ascii="Arial" w:hAnsi="Arial" w:cs="Arial"/>
          <w:i w:val="0"/>
          <w:lang w:val="en-GB"/>
        </w:rPr>
        <w:t>such</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alternative</w:t>
      </w:r>
      <w:r w:rsidR="007B7640" w:rsidRPr="00CD59CC">
        <w:rPr>
          <w:rFonts w:ascii="Arial" w:hAnsi="Arial" w:cs="Arial"/>
          <w:i w:val="0"/>
          <w:lang w:val="en-GB"/>
        </w:rPr>
        <w:t xml:space="preserve"> </w:t>
      </w:r>
      <w:r w:rsidRPr="00CD59CC">
        <w:rPr>
          <w:rFonts w:ascii="Arial" w:hAnsi="Arial" w:cs="Arial"/>
          <w:i w:val="0"/>
          <w:lang w:val="en-GB"/>
        </w:rPr>
        <w:t>procedures,</w:t>
      </w:r>
      <w:r w:rsidR="007B7640" w:rsidRPr="00CD59CC">
        <w:rPr>
          <w:rFonts w:ascii="Arial" w:hAnsi="Arial" w:cs="Arial"/>
          <w:i w:val="0"/>
          <w:lang w:val="en-GB"/>
        </w:rPr>
        <w:t xml:space="preserve"> </w:t>
      </w:r>
      <w:r w:rsidRPr="00CD59CC">
        <w:rPr>
          <w:rFonts w:ascii="Arial" w:hAnsi="Arial" w:cs="Arial"/>
          <w:i w:val="0"/>
          <w:lang w:val="en-GB"/>
        </w:rPr>
        <w:t>reallocating</w:t>
      </w:r>
      <w:r w:rsidR="007B7640" w:rsidRPr="00CD59CC">
        <w:rPr>
          <w:rFonts w:ascii="Arial" w:hAnsi="Arial" w:cs="Arial"/>
          <w:i w:val="0"/>
          <w:lang w:val="en-GB"/>
        </w:rPr>
        <w:t xml:space="preserve"> </w:t>
      </w:r>
      <w:r w:rsidRPr="00CD59CC">
        <w:rPr>
          <w:rFonts w:ascii="Arial" w:hAnsi="Arial" w:cs="Arial"/>
          <w:i w:val="0"/>
          <w:lang w:val="en-GB"/>
        </w:rPr>
        <w:t>tasks,</w:t>
      </w:r>
      <w:r w:rsidR="007B7640" w:rsidRPr="00CD59CC">
        <w:rPr>
          <w:rFonts w:ascii="Arial" w:hAnsi="Arial" w:cs="Arial"/>
          <w:i w:val="0"/>
          <w:lang w:val="en-GB"/>
        </w:rPr>
        <w:t xml:space="preserve"> </w:t>
      </w:r>
      <w:r w:rsidRPr="00CD59CC">
        <w:rPr>
          <w:rFonts w:ascii="Arial" w:hAnsi="Arial" w:cs="Arial"/>
          <w:i w:val="0"/>
          <w:lang w:val="en-GB"/>
        </w:rPr>
        <w:t>transfer</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another</w:t>
      </w:r>
      <w:r w:rsidR="007B7640" w:rsidRPr="00CD59CC">
        <w:rPr>
          <w:rFonts w:ascii="Arial" w:hAnsi="Arial" w:cs="Arial"/>
          <w:i w:val="0"/>
          <w:lang w:val="en-GB"/>
        </w:rPr>
        <w:t xml:space="preserve"> </w:t>
      </w:r>
      <w:r w:rsidRPr="00CD59CC">
        <w:rPr>
          <w:rFonts w:ascii="Arial" w:hAnsi="Arial" w:cs="Arial"/>
          <w:i w:val="0"/>
          <w:lang w:val="en-GB"/>
        </w:rPr>
        <w:t>position</w:t>
      </w:r>
      <w:r w:rsidR="007B7640" w:rsidRPr="00CD59CC">
        <w:rPr>
          <w:rFonts w:ascii="Arial" w:hAnsi="Arial" w:cs="Arial"/>
          <w:i w:val="0"/>
          <w:lang w:val="en-GB"/>
        </w:rPr>
        <w:t xml:space="preserve"> </w:t>
      </w:r>
      <w:r w:rsidRPr="00CD59CC">
        <w:rPr>
          <w:rFonts w:ascii="Arial" w:hAnsi="Arial" w:cs="Arial"/>
          <w:i w:val="0"/>
          <w:lang w:val="en-GB"/>
        </w:rPr>
        <w:t>etc.</w:t>
      </w:r>
      <w:r w:rsidR="007B7640" w:rsidRPr="00CD59CC">
        <w:rPr>
          <w:rFonts w:ascii="Arial" w:hAnsi="Arial" w:cs="Arial"/>
          <w:i w:val="0"/>
          <w:lang w:val="en-GB"/>
        </w:rPr>
        <w:t xml:space="preserve"> </w:t>
      </w:r>
    </w:p>
    <w:p w14:paraId="03625CC5" w14:textId="77777777" w:rsidR="003870FA" w:rsidRPr="00CD59CC" w:rsidRDefault="003870FA" w:rsidP="00CD59CC">
      <w:pPr>
        <w:pStyle w:val="BodyText"/>
        <w:rPr>
          <w:rFonts w:ascii="Arial" w:hAnsi="Arial" w:cs="Arial"/>
          <w:i w:val="0"/>
          <w:lang w:val="en-GB"/>
        </w:rPr>
      </w:pPr>
    </w:p>
    <w:p w14:paraId="6F8DA33E"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It</w:t>
      </w:r>
      <w:r w:rsidR="007B7640" w:rsidRPr="00CD59CC">
        <w:rPr>
          <w:rFonts w:ascii="Arial" w:hAnsi="Arial" w:cs="Arial"/>
          <w:i w:val="0"/>
          <w:lang w:val="en-GB"/>
        </w:rPr>
        <w:t xml:space="preserve"> </w:t>
      </w:r>
      <w:r w:rsidRPr="00CD59CC">
        <w:rPr>
          <w:rFonts w:ascii="Arial" w:hAnsi="Arial" w:cs="Arial"/>
          <w:i w:val="0"/>
          <w:lang w:val="en-GB"/>
        </w:rPr>
        <w:t>may</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however</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excluded</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labour</w:t>
      </w:r>
      <w:r w:rsidR="007B7640" w:rsidRPr="00CD59CC">
        <w:rPr>
          <w:rFonts w:ascii="Arial" w:hAnsi="Arial" w:cs="Arial"/>
          <w:i w:val="0"/>
          <w:lang w:val="en-GB"/>
        </w:rPr>
        <w:t xml:space="preserve"> </w:t>
      </w:r>
      <w:r w:rsidRPr="00CD59CC">
        <w:rPr>
          <w:rFonts w:ascii="Arial" w:hAnsi="Arial" w:cs="Arial"/>
          <w:i w:val="0"/>
          <w:lang w:val="en-GB"/>
        </w:rPr>
        <w:t>courts</w:t>
      </w:r>
      <w:r w:rsidR="007B7640" w:rsidRPr="00CD59CC">
        <w:rPr>
          <w:rFonts w:ascii="Arial" w:hAnsi="Arial" w:cs="Arial"/>
          <w:i w:val="0"/>
          <w:lang w:val="en-GB"/>
        </w:rPr>
        <w:t xml:space="preserve"> </w:t>
      </w:r>
      <w:r w:rsidRPr="00CD59CC">
        <w:rPr>
          <w:rFonts w:ascii="Arial" w:hAnsi="Arial" w:cs="Arial"/>
          <w:i w:val="0"/>
          <w:lang w:val="en-GB"/>
        </w:rPr>
        <w:t>would</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willing</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accept</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wider</w:t>
      </w:r>
      <w:r w:rsidR="007B7640" w:rsidRPr="00CD59CC">
        <w:rPr>
          <w:rFonts w:ascii="Arial" w:hAnsi="Arial" w:cs="Arial"/>
          <w:i w:val="0"/>
          <w:lang w:val="en-GB"/>
        </w:rPr>
        <w:t xml:space="preserve"> </w:t>
      </w:r>
      <w:r w:rsidRPr="00CD59CC">
        <w:rPr>
          <w:rFonts w:ascii="Arial" w:hAnsi="Arial" w:cs="Arial"/>
          <w:i w:val="0"/>
          <w:lang w:val="en-GB"/>
        </w:rPr>
        <w:t>interpretation</w:t>
      </w:r>
      <w:r w:rsidR="007B7640" w:rsidRPr="00CD59CC">
        <w:rPr>
          <w:rFonts w:ascii="Arial" w:hAnsi="Arial" w:cs="Arial"/>
          <w:i w:val="0"/>
          <w:lang w:val="en-GB"/>
        </w:rPr>
        <w:t xml:space="preserve"> </w:t>
      </w:r>
      <w:r w:rsidRPr="00CD59CC">
        <w:rPr>
          <w:rFonts w:ascii="Arial" w:hAnsi="Arial" w:cs="Arial"/>
          <w:i w:val="0"/>
          <w:lang w:val="en-GB"/>
        </w:rPr>
        <w:t>including</w:t>
      </w:r>
      <w:r w:rsidR="007B7640" w:rsidRPr="00CD59CC">
        <w:rPr>
          <w:rFonts w:ascii="Arial" w:hAnsi="Arial" w:cs="Arial"/>
          <w:i w:val="0"/>
          <w:lang w:val="en-GB"/>
        </w:rPr>
        <w:t xml:space="preserve"> </w:t>
      </w:r>
      <w:r w:rsidRPr="00CD59CC">
        <w:rPr>
          <w:rFonts w:ascii="Arial" w:hAnsi="Arial" w:cs="Arial"/>
          <w:i w:val="0"/>
          <w:lang w:val="en-GB"/>
        </w:rPr>
        <w:t>such</w:t>
      </w:r>
      <w:r w:rsidR="007B7640" w:rsidRPr="00CD59CC">
        <w:rPr>
          <w:rFonts w:ascii="Arial" w:hAnsi="Arial" w:cs="Arial"/>
          <w:i w:val="0"/>
          <w:lang w:val="en-GB"/>
        </w:rPr>
        <w:t xml:space="preserve"> </w:t>
      </w:r>
      <w:r w:rsidRPr="00CD59CC">
        <w:rPr>
          <w:rFonts w:ascii="Arial" w:hAnsi="Arial" w:cs="Arial"/>
          <w:i w:val="0"/>
          <w:lang w:val="en-GB"/>
        </w:rPr>
        <w:t>forms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well.</w:t>
      </w:r>
      <w:r w:rsidR="007B7640" w:rsidRPr="00CD59CC">
        <w:rPr>
          <w:rFonts w:ascii="Arial" w:hAnsi="Arial" w:cs="Arial"/>
          <w:i w:val="0"/>
          <w:lang w:val="en-GB"/>
        </w:rPr>
        <w:t xml:space="preserve"> </w:t>
      </w:r>
      <w:r w:rsidRPr="00CD59CC">
        <w:rPr>
          <w:rFonts w:ascii="Arial" w:hAnsi="Arial" w:cs="Arial"/>
          <w:i w:val="0"/>
          <w:lang w:val="en-GB"/>
        </w:rPr>
        <w:t>However,</w:t>
      </w:r>
      <w:r w:rsidR="007B7640" w:rsidRPr="00CD59CC">
        <w:rPr>
          <w:rFonts w:ascii="Arial" w:hAnsi="Arial" w:cs="Arial"/>
          <w:i w:val="0"/>
          <w:lang w:val="en-GB"/>
        </w:rPr>
        <w:t xml:space="preserve"> </w:t>
      </w:r>
      <w:r w:rsidRPr="00CD59CC">
        <w:rPr>
          <w:rFonts w:ascii="Arial" w:hAnsi="Arial" w:cs="Arial"/>
          <w:i w:val="0"/>
          <w:lang w:val="en-GB"/>
        </w:rPr>
        <w:t>there</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no</w:t>
      </w:r>
      <w:r w:rsidR="007B7640" w:rsidRPr="00CD59CC">
        <w:rPr>
          <w:rFonts w:ascii="Arial" w:hAnsi="Arial" w:cs="Arial"/>
          <w:i w:val="0"/>
          <w:lang w:val="en-GB"/>
        </w:rPr>
        <w:t xml:space="preserve"> </w:t>
      </w:r>
      <w:r w:rsidRPr="00CD59CC">
        <w:rPr>
          <w:rFonts w:ascii="Arial" w:hAnsi="Arial" w:cs="Arial"/>
          <w:i w:val="0"/>
          <w:lang w:val="en-GB"/>
        </w:rPr>
        <w:t>case</w:t>
      </w:r>
      <w:r w:rsidR="007B7640" w:rsidRPr="00CD59CC">
        <w:rPr>
          <w:rFonts w:ascii="Arial" w:hAnsi="Arial" w:cs="Arial"/>
          <w:i w:val="0"/>
          <w:lang w:val="en-GB"/>
        </w:rPr>
        <w:t xml:space="preserve"> </w:t>
      </w:r>
      <w:r w:rsidRPr="00CD59CC">
        <w:rPr>
          <w:rFonts w:ascii="Arial" w:hAnsi="Arial" w:cs="Arial"/>
          <w:i w:val="0"/>
          <w:lang w:val="en-GB"/>
        </w:rPr>
        <w:t>law</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basis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which</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question</w:t>
      </w:r>
      <w:r w:rsidR="007B7640" w:rsidRPr="00CD59CC">
        <w:rPr>
          <w:rFonts w:ascii="Arial" w:hAnsi="Arial" w:cs="Arial"/>
          <w:i w:val="0"/>
          <w:lang w:val="en-GB"/>
        </w:rPr>
        <w:t xml:space="preserve"> </w:t>
      </w:r>
      <w:r w:rsidRPr="00CD59CC">
        <w:rPr>
          <w:rFonts w:ascii="Arial" w:hAnsi="Arial" w:cs="Arial"/>
          <w:i w:val="0"/>
          <w:lang w:val="en-GB"/>
        </w:rPr>
        <w:t>could</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answered</w:t>
      </w:r>
      <w:r w:rsidR="007B7640" w:rsidRPr="00CD59CC">
        <w:rPr>
          <w:rFonts w:ascii="Arial" w:hAnsi="Arial" w:cs="Arial"/>
          <w:i w:val="0"/>
          <w:lang w:val="en-GB"/>
        </w:rPr>
        <w:t xml:space="preserve"> </w:t>
      </w:r>
      <w:r w:rsidRPr="00CD59CC">
        <w:rPr>
          <w:rFonts w:ascii="Arial" w:hAnsi="Arial" w:cs="Arial"/>
          <w:i w:val="0"/>
          <w:lang w:val="en-GB"/>
        </w:rPr>
        <w:t>positively.</w:t>
      </w:r>
      <w:r w:rsidR="007B7640" w:rsidRPr="00CD59CC">
        <w:rPr>
          <w:rFonts w:ascii="Arial" w:hAnsi="Arial" w:cs="Arial"/>
          <w:i w:val="0"/>
          <w:lang w:val="en-GB"/>
        </w:rPr>
        <w:t xml:space="preserve"> </w:t>
      </w:r>
    </w:p>
    <w:p w14:paraId="27BC6BC6" w14:textId="77777777" w:rsidR="003870FA" w:rsidRPr="00CD59CC" w:rsidRDefault="003870FA" w:rsidP="00CD59CC">
      <w:pPr>
        <w:pStyle w:val="BodyText"/>
        <w:rPr>
          <w:rFonts w:ascii="Arial" w:hAnsi="Arial" w:cs="Arial"/>
          <w:i w:val="0"/>
          <w:lang w:val="en-GB"/>
        </w:rPr>
      </w:pPr>
    </w:p>
    <w:p w14:paraId="027F544A"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Furthermore,</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we</w:t>
      </w:r>
      <w:r w:rsidR="007B7640" w:rsidRPr="00CD59CC">
        <w:rPr>
          <w:rFonts w:ascii="Arial" w:hAnsi="Arial" w:cs="Arial"/>
          <w:i w:val="0"/>
          <w:lang w:val="en-GB"/>
        </w:rPr>
        <w:t xml:space="preserve"> </w:t>
      </w:r>
      <w:r w:rsidRPr="00CD59CC">
        <w:rPr>
          <w:rFonts w:ascii="Arial" w:hAnsi="Arial" w:cs="Arial"/>
          <w:i w:val="0"/>
          <w:lang w:val="en-GB"/>
        </w:rPr>
        <w:t>perform</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strictly</w:t>
      </w:r>
      <w:r w:rsidR="007B7640" w:rsidRPr="00CD59CC">
        <w:rPr>
          <w:rFonts w:ascii="Arial" w:hAnsi="Arial" w:cs="Arial"/>
          <w:i w:val="0"/>
          <w:lang w:val="en-GB"/>
        </w:rPr>
        <w:t xml:space="preserve"> </w:t>
      </w:r>
      <w:r w:rsidRPr="00CD59CC">
        <w:rPr>
          <w:rFonts w:ascii="Arial" w:hAnsi="Arial" w:cs="Arial"/>
          <w:i w:val="0"/>
          <w:lang w:val="en-GB"/>
        </w:rPr>
        <w:t>grammatical</w:t>
      </w:r>
      <w:r w:rsidR="007B7640" w:rsidRPr="00CD59CC">
        <w:rPr>
          <w:rFonts w:ascii="Arial" w:hAnsi="Arial" w:cs="Arial"/>
          <w:i w:val="0"/>
          <w:lang w:val="en-GB"/>
        </w:rPr>
        <w:t xml:space="preserve"> </w:t>
      </w:r>
      <w:r w:rsidRPr="00CD59CC">
        <w:rPr>
          <w:rFonts w:ascii="Arial" w:hAnsi="Arial" w:cs="Arial"/>
          <w:i w:val="0"/>
          <w:lang w:val="en-GB"/>
        </w:rPr>
        <w:t>interpretation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text,</w:t>
      </w:r>
      <w:r w:rsidR="007B7640" w:rsidRPr="00CD59CC">
        <w:rPr>
          <w:rFonts w:ascii="Arial" w:hAnsi="Arial" w:cs="Arial"/>
          <w:i w:val="0"/>
          <w:lang w:val="en-GB"/>
        </w:rPr>
        <w:t xml:space="preserve"> </w:t>
      </w:r>
      <w:r w:rsidRPr="00CD59CC">
        <w:rPr>
          <w:rFonts w:ascii="Arial" w:hAnsi="Arial" w:cs="Arial"/>
          <w:i w:val="0"/>
          <w:lang w:val="en-GB"/>
        </w:rPr>
        <w:t>our</w:t>
      </w:r>
      <w:r w:rsidR="007B7640" w:rsidRPr="00CD59CC">
        <w:rPr>
          <w:rFonts w:ascii="Arial" w:hAnsi="Arial" w:cs="Arial"/>
          <w:i w:val="0"/>
          <w:lang w:val="en-GB"/>
        </w:rPr>
        <w:t xml:space="preserve"> </w:t>
      </w:r>
      <w:r w:rsidRPr="00CD59CC">
        <w:rPr>
          <w:rFonts w:ascii="Arial" w:hAnsi="Arial" w:cs="Arial"/>
          <w:i w:val="0"/>
          <w:lang w:val="en-GB"/>
        </w:rPr>
        <w:t>conclusion</w:t>
      </w:r>
      <w:r w:rsidR="007B7640" w:rsidRPr="00CD59CC">
        <w:rPr>
          <w:rFonts w:ascii="Arial" w:hAnsi="Arial" w:cs="Arial"/>
          <w:i w:val="0"/>
          <w:lang w:val="en-GB"/>
        </w:rPr>
        <w:t xml:space="preserve"> </w:t>
      </w:r>
      <w:r w:rsidRPr="00CD59CC">
        <w:rPr>
          <w:rFonts w:ascii="Arial" w:hAnsi="Arial" w:cs="Arial"/>
          <w:i w:val="0"/>
          <w:lang w:val="en-GB"/>
        </w:rPr>
        <w:t>shall</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does</w:t>
      </w:r>
      <w:r w:rsidR="007B7640" w:rsidRPr="00CD59CC">
        <w:rPr>
          <w:rFonts w:ascii="Arial" w:hAnsi="Arial" w:cs="Arial"/>
          <w:i w:val="0"/>
          <w:lang w:val="en-GB"/>
        </w:rPr>
        <w:t xml:space="preserve"> </w:t>
      </w:r>
      <w:r w:rsidRPr="00CD59CC">
        <w:rPr>
          <w:rFonts w:ascii="Arial" w:hAnsi="Arial" w:cs="Arial"/>
          <w:i w:val="0"/>
          <w:lang w:val="en-GB"/>
        </w:rPr>
        <w:t>employ</w:t>
      </w:r>
      <w:r w:rsidR="007B7640" w:rsidRPr="00CD59CC">
        <w:rPr>
          <w:rFonts w:ascii="Arial" w:hAnsi="Arial" w:cs="Arial"/>
          <w:i w:val="0"/>
          <w:lang w:val="en-GB"/>
        </w:rPr>
        <w:t xml:space="preserve"> </w:t>
      </w:r>
      <w:r w:rsidRPr="00CD59CC">
        <w:rPr>
          <w:rFonts w:ascii="Arial" w:hAnsi="Arial" w:cs="Arial"/>
          <w:i w:val="0"/>
          <w:lang w:val="en-GB"/>
        </w:rPr>
        <w:t>someone</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disability,</w:t>
      </w:r>
      <w:r w:rsidR="007B7640" w:rsidRPr="00CD59CC">
        <w:rPr>
          <w:rFonts w:ascii="Arial" w:hAnsi="Arial" w:cs="Arial"/>
          <w:i w:val="0"/>
          <w:lang w:val="en-GB"/>
        </w:rPr>
        <w:t xml:space="preserve"> </w:t>
      </w:r>
      <w:r w:rsidRPr="00CD59CC">
        <w:rPr>
          <w:rFonts w:ascii="Arial" w:hAnsi="Arial" w:cs="Arial"/>
          <w:i w:val="0"/>
          <w:lang w:val="en-GB"/>
        </w:rPr>
        <w:t>he/she</w:t>
      </w:r>
      <w:r w:rsidR="007B7640" w:rsidRPr="00CD59CC">
        <w:rPr>
          <w:rFonts w:ascii="Arial" w:hAnsi="Arial" w:cs="Arial"/>
          <w:i w:val="0"/>
          <w:lang w:val="en-GB"/>
        </w:rPr>
        <w:t xml:space="preserve"> </w:t>
      </w:r>
      <w:r w:rsidRPr="00CD59CC">
        <w:rPr>
          <w:rFonts w:ascii="Arial" w:hAnsi="Arial" w:cs="Arial"/>
          <w:i w:val="0"/>
          <w:lang w:val="en-GB"/>
        </w:rPr>
        <w:t>will</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take</w:t>
      </w:r>
      <w:r w:rsidR="007B7640" w:rsidRPr="00CD59CC">
        <w:rPr>
          <w:rFonts w:ascii="Arial" w:hAnsi="Arial" w:cs="Arial"/>
          <w:i w:val="0"/>
          <w:lang w:val="en-GB"/>
        </w:rPr>
        <w:t xml:space="preserve"> </w:t>
      </w:r>
      <w:r w:rsidRPr="00CD59CC">
        <w:rPr>
          <w:rFonts w:ascii="Arial" w:hAnsi="Arial" w:cs="Arial"/>
          <w:i w:val="0"/>
          <w:lang w:val="en-GB"/>
        </w:rPr>
        <w:t>measures</w:t>
      </w:r>
      <w:r w:rsidR="007B7640" w:rsidRPr="00CD59CC">
        <w:rPr>
          <w:rFonts w:ascii="Arial" w:hAnsi="Arial" w:cs="Arial"/>
          <w:i w:val="0"/>
          <w:lang w:val="en-GB"/>
        </w:rPr>
        <w:t xml:space="preserve"> </w:t>
      </w:r>
      <w:r w:rsidRPr="00CD59CC">
        <w:rPr>
          <w:rFonts w:ascii="Arial" w:hAnsi="Arial" w:cs="Arial"/>
          <w:i w:val="0"/>
          <w:lang w:val="en-GB"/>
        </w:rPr>
        <w:t>aimed</w:t>
      </w:r>
      <w:r w:rsidR="007B7640" w:rsidRPr="00CD59CC">
        <w:rPr>
          <w:rFonts w:ascii="Arial" w:hAnsi="Arial" w:cs="Arial"/>
          <w:i w:val="0"/>
          <w:lang w:val="en-GB"/>
        </w:rPr>
        <w:t xml:space="preserve"> </w:t>
      </w:r>
      <w:r w:rsidRPr="00CD59CC">
        <w:rPr>
          <w:rFonts w:ascii="Arial" w:hAnsi="Arial" w:cs="Arial"/>
          <w:i w:val="0"/>
          <w:lang w:val="en-GB"/>
        </w:rPr>
        <w:t>at</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however,</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duty</w:t>
      </w:r>
      <w:r w:rsidR="007B7640" w:rsidRPr="00CD59CC">
        <w:rPr>
          <w:rFonts w:ascii="Arial" w:hAnsi="Arial" w:cs="Arial"/>
          <w:i w:val="0"/>
          <w:lang w:val="en-GB"/>
        </w:rPr>
        <w:t xml:space="preserve"> </w:t>
      </w:r>
      <w:r w:rsidRPr="00CD59CC">
        <w:rPr>
          <w:rFonts w:ascii="Arial" w:hAnsi="Arial" w:cs="Arial"/>
          <w:i w:val="0"/>
          <w:lang w:val="en-GB"/>
        </w:rPr>
        <w:t>falls</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him/her</w:t>
      </w:r>
      <w:r w:rsidR="007B7640" w:rsidRPr="00CD59CC">
        <w:rPr>
          <w:rFonts w:ascii="Arial" w:hAnsi="Arial" w:cs="Arial"/>
          <w:i w:val="0"/>
          <w:lang w:val="en-GB"/>
        </w:rPr>
        <w:t xml:space="preserve"> </w:t>
      </w:r>
      <w:r w:rsidRPr="00CD59CC">
        <w:rPr>
          <w:rFonts w:ascii="Arial" w:hAnsi="Arial" w:cs="Arial"/>
          <w:i w:val="0"/>
          <w:lang w:val="en-GB"/>
        </w:rPr>
        <w:t>only</w:t>
      </w:r>
      <w:r w:rsidR="007B7640" w:rsidRPr="00CD59CC">
        <w:rPr>
          <w:rFonts w:ascii="Arial" w:hAnsi="Arial" w:cs="Arial"/>
          <w:i w:val="0"/>
          <w:lang w:val="en-GB"/>
        </w:rPr>
        <w:t xml:space="preserve"> </w:t>
      </w:r>
      <w:r w:rsidRPr="00CD59CC">
        <w:rPr>
          <w:rFonts w:ascii="Arial" w:hAnsi="Arial" w:cs="Arial"/>
          <w:i w:val="0"/>
          <w:lang w:val="en-GB"/>
        </w:rPr>
        <w:t>after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person</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disability</w:t>
      </w:r>
      <w:r w:rsidR="007B7640" w:rsidRPr="00CD59CC">
        <w:rPr>
          <w:rFonts w:ascii="Arial" w:hAnsi="Arial" w:cs="Arial"/>
          <w:i w:val="0"/>
          <w:lang w:val="en-GB"/>
        </w:rPr>
        <w:t xml:space="preserve"> </w:t>
      </w:r>
      <w:r w:rsidRPr="00CD59CC">
        <w:rPr>
          <w:rFonts w:ascii="Arial" w:hAnsi="Arial" w:cs="Arial"/>
          <w:i w:val="0"/>
          <w:lang w:val="en-GB"/>
        </w:rPr>
        <w:t>gets</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job.</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regard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access</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RPD</w:t>
      </w:r>
      <w:r w:rsidR="007B7640" w:rsidRPr="00CD59CC">
        <w:rPr>
          <w:rFonts w:ascii="Arial" w:hAnsi="Arial" w:cs="Arial"/>
          <w:i w:val="0"/>
          <w:lang w:val="en-GB"/>
        </w:rPr>
        <w:t xml:space="preserve"> </w:t>
      </w:r>
      <w:r w:rsidRPr="00CD59CC">
        <w:rPr>
          <w:rFonts w:ascii="Arial" w:hAnsi="Arial" w:cs="Arial"/>
          <w:i w:val="0"/>
          <w:lang w:val="en-GB"/>
        </w:rPr>
        <w:t>Act</w:t>
      </w:r>
      <w:r w:rsidR="007B7640" w:rsidRPr="00CD59CC">
        <w:rPr>
          <w:rFonts w:ascii="Arial" w:hAnsi="Arial" w:cs="Arial"/>
          <w:i w:val="0"/>
          <w:lang w:val="en-GB"/>
        </w:rPr>
        <w:t xml:space="preserve"> </w:t>
      </w:r>
      <w:r w:rsidRPr="00CD59CC">
        <w:rPr>
          <w:rFonts w:ascii="Arial" w:hAnsi="Arial" w:cs="Arial"/>
          <w:i w:val="0"/>
          <w:lang w:val="en-GB"/>
        </w:rPr>
        <w:t>only</w:t>
      </w:r>
      <w:r w:rsidR="007B7640" w:rsidRPr="00CD59CC">
        <w:rPr>
          <w:rFonts w:ascii="Arial" w:hAnsi="Arial" w:cs="Arial"/>
          <w:i w:val="0"/>
          <w:lang w:val="en-GB"/>
        </w:rPr>
        <w:t xml:space="preserve"> </w:t>
      </w:r>
      <w:r w:rsidRPr="00CD59CC">
        <w:rPr>
          <w:rFonts w:ascii="Arial" w:hAnsi="Arial" w:cs="Arial"/>
          <w:i w:val="0"/>
          <w:lang w:val="en-GB"/>
        </w:rPr>
        <w:t>says</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persons</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shall</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employed</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integrated</w:t>
      </w:r>
      <w:r w:rsidR="007B7640" w:rsidRPr="00CD59CC">
        <w:rPr>
          <w:rFonts w:ascii="Arial" w:hAnsi="Arial" w:cs="Arial"/>
          <w:i w:val="0"/>
          <w:lang w:val="en-GB"/>
        </w:rPr>
        <w:t xml:space="preserve"> </w:t>
      </w:r>
      <w:r w:rsidRPr="00CD59CC">
        <w:rPr>
          <w:rFonts w:ascii="Arial" w:hAnsi="Arial" w:cs="Arial"/>
          <w:i w:val="0"/>
          <w:lang w:val="en-GB"/>
        </w:rPr>
        <w:t>workplaces,</w:t>
      </w:r>
      <w:r w:rsidR="007B7640" w:rsidRPr="00CD59CC">
        <w:rPr>
          <w:rFonts w:ascii="Arial" w:hAnsi="Arial" w:cs="Arial"/>
          <w:i w:val="0"/>
          <w:lang w:val="en-GB"/>
        </w:rPr>
        <w:t xml:space="preserve"> </w:t>
      </w:r>
      <w:r w:rsidRPr="00CD59CC">
        <w:rPr>
          <w:rFonts w:ascii="Arial" w:hAnsi="Arial" w:cs="Arial"/>
          <w:lang w:val="en-GB"/>
        </w:rPr>
        <w:t>if</w:t>
      </w:r>
      <w:r w:rsidR="007B7640" w:rsidRPr="00CD59CC">
        <w:rPr>
          <w:rFonts w:ascii="Arial" w:hAnsi="Arial" w:cs="Arial"/>
          <w:lang w:val="en-GB"/>
        </w:rPr>
        <w:t xml:space="preserve"> </w:t>
      </w:r>
      <w:r w:rsidRPr="00CD59CC">
        <w:rPr>
          <w:rFonts w:ascii="Arial" w:hAnsi="Arial" w:cs="Arial"/>
          <w:lang w:val="en-GB"/>
        </w:rPr>
        <w:t>possible</w:t>
      </w:r>
      <w:r w:rsidRPr="00CD59CC">
        <w:rPr>
          <w:rFonts w:ascii="Arial" w:hAnsi="Arial" w:cs="Arial"/>
          <w:i w:val="0"/>
          <w:lang w:val="en-GB"/>
        </w:rPr>
        <w:t>.</w:t>
      </w:r>
      <w:r w:rsidR="007B7640" w:rsidRPr="00CD59CC">
        <w:rPr>
          <w:rFonts w:ascii="Arial" w:hAnsi="Arial" w:cs="Arial"/>
          <w:i w:val="0"/>
          <w:lang w:val="en-GB"/>
        </w:rPr>
        <w:t xml:space="preserve"> </w:t>
      </w:r>
    </w:p>
    <w:p w14:paraId="69D147B0" w14:textId="77777777" w:rsidR="003870FA" w:rsidRPr="00CD59CC" w:rsidRDefault="003870FA" w:rsidP="00CD59CC">
      <w:pPr>
        <w:pStyle w:val="BodyText"/>
        <w:rPr>
          <w:rFonts w:ascii="Arial" w:hAnsi="Arial" w:cs="Arial"/>
          <w:i w:val="0"/>
          <w:lang w:val="en-GB"/>
        </w:rPr>
      </w:pPr>
    </w:p>
    <w:p w14:paraId="1CB81C9C"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law</w:t>
      </w:r>
      <w:r w:rsidR="007B7640" w:rsidRPr="00CD59CC">
        <w:rPr>
          <w:rFonts w:ascii="Arial" w:hAnsi="Arial" w:cs="Arial"/>
          <w:i w:val="0"/>
          <w:lang w:val="en-GB"/>
        </w:rPr>
        <w:t xml:space="preserve"> </w:t>
      </w:r>
      <w:r w:rsidRPr="00CD59CC">
        <w:rPr>
          <w:rFonts w:ascii="Arial" w:hAnsi="Arial" w:cs="Arial"/>
          <w:i w:val="0"/>
          <w:lang w:val="en-GB"/>
        </w:rPr>
        <w:t>does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impose</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make</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accessible</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first</w:t>
      </w:r>
      <w:r w:rsidR="007B7640" w:rsidRPr="00CD59CC">
        <w:rPr>
          <w:rFonts w:ascii="Arial" w:hAnsi="Arial" w:cs="Arial"/>
          <w:i w:val="0"/>
          <w:lang w:val="en-GB"/>
        </w:rPr>
        <w:t xml:space="preserve"> </w:t>
      </w:r>
      <w:r w:rsidRPr="00CD59CC">
        <w:rPr>
          <w:rFonts w:ascii="Arial" w:hAnsi="Arial" w:cs="Arial"/>
          <w:i w:val="0"/>
          <w:lang w:val="en-GB"/>
        </w:rPr>
        <w:t>place</w:t>
      </w:r>
      <w:r w:rsidR="007B7640" w:rsidRPr="00CD59CC">
        <w:rPr>
          <w:rFonts w:ascii="Arial" w:hAnsi="Arial" w:cs="Arial"/>
          <w:i w:val="0"/>
          <w:lang w:val="en-GB"/>
        </w:rPr>
        <w:t xml:space="preserve"> </w:t>
      </w:r>
      <w:r w:rsidRPr="00CD59CC">
        <w:rPr>
          <w:rFonts w:ascii="Arial" w:hAnsi="Arial" w:cs="Arial"/>
          <w:i w:val="0"/>
          <w:lang w:val="en-GB"/>
        </w:rPr>
        <w:t>by</w:t>
      </w:r>
      <w:r w:rsidR="007B7640" w:rsidRPr="00CD59CC">
        <w:rPr>
          <w:rFonts w:ascii="Arial" w:hAnsi="Arial" w:cs="Arial"/>
          <w:i w:val="0"/>
          <w:lang w:val="en-GB"/>
        </w:rPr>
        <w:t xml:space="preserve"> </w:t>
      </w:r>
      <w:r w:rsidRPr="00CD59CC">
        <w:rPr>
          <w:rFonts w:ascii="Arial" w:hAnsi="Arial" w:cs="Arial"/>
          <w:i w:val="0"/>
          <w:lang w:val="en-GB"/>
        </w:rPr>
        <w:t>reasonably</w:t>
      </w:r>
      <w:r w:rsidR="007B7640" w:rsidRPr="00CD59CC">
        <w:rPr>
          <w:rFonts w:ascii="Arial" w:hAnsi="Arial" w:cs="Arial"/>
          <w:i w:val="0"/>
          <w:lang w:val="en-GB"/>
        </w:rPr>
        <w:t xml:space="preserve"> </w:t>
      </w:r>
      <w:r w:rsidRPr="00CD59CC">
        <w:rPr>
          <w:rFonts w:ascii="Arial" w:hAnsi="Arial" w:cs="Arial"/>
          <w:i w:val="0"/>
          <w:lang w:val="en-GB"/>
        </w:rPr>
        <w:t>adapting</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needs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person</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disability.</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wording</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text</w:t>
      </w:r>
      <w:r w:rsidR="007B7640" w:rsidRPr="00CD59CC">
        <w:rPr>
          <w:rFonts w:ascii="Arial" w:hAnsi="Arial" w:cs="Arial"/>
          <w:i w:val="0"/>
          <w:lang w:val="en-GB"/>
        </w:rPr>
        <w:t xml:space="preserve"> </w:t>
      </w:r>
      <w:r w:rsidRPr="00CD59CC">
        <w:rPr>
          <w:rFonts w:ascii="Arial" w:hAnsi="Arial" w:cs="Arial"/>
          <w:i w:val="0"/>
          <w:lang w:val="en-GB"/>
        </w:rPr>
        <w:t>implies</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need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make</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can</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reason</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giving</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disabled</w:t>
      </w:r>
      <w:r w:rsidR="007B7640" w:rsidRPr="00CD59CC">
        <w:rPr>
          <w:rFonts w:ascii="Arial" w:hAnsi="Arial" w:cs="Arial"/>
          <w:i w:val="0"/>
          <w:lang w:val="en-GB"/>
        </w:rPr>
        <w:t xml:space="preserve"> </w:t>
      </w:r>
      <w:r w:rsidRPr="00CD59CC">
        <w:rPr>
          <w:rFonts w:ascii="Arial" w:hAnsi="Arial" w:cs="Arial"/>
          <w:i w:val="0"/>
          <w:lang w:val="en-GB"/>
        </w:rPr>
        <w:t>candidate</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job,</w:t>
      </w:r>
      <w:r w:rsidR="007B7640" w:rsidRPr="00CD59CC">
        <w:rPr>
          <w:rFonts w:ascii="Arial" w:hAnsi="Arial" w:cs="Arial"/>
          <w:i w:val="0"/>
          <w:lang w:val="en-GB"/>
        </w:rPr>
        <w:t xml:space="preserve"> </w:t>
      </w:r>
      <w:r w:rsidRPr="00CD59CC">
        <w:rPr>
          <w:rFonts w:ascii="Arial" w:hAnsi="Arial" w:cs="Arial"/>
          <w:i w:val="0"/>
          <w:lang w:val="en-GB"/>
        </w:rPr>
        <w:t>but</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interpretation</w:t>
      </w:r>
      <w:r w:rsidR="007B7640" w:rsidRPr="00CD59CC">
        <w:rPr>
          <w:rFonts w:ascii="Arial" w:hAnsi="Arial" w:cs="Arial"/>
          <w:i w:val="0"/>
          <w:lang w:val="en-GB"/>
        </w:rPr>
        <w:t xml:space="preserve"> </w:t>
      </w:r>
      <w:r w:rsidRPr="00CD59CC">
        <w:rPr>
          <w:rFonts w:ascii="Arial" w:hAnsi="Arial" w:cs="Arial"/>
          <w:i w:val="0"/>
          <w:lang w:val="en-GB"/>
        </w:rPr>
        <w:t>has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been</w:t>
      </w:r>
      <w:r w:rsidR="007B7640" w:rsidRPr="00CD59CC">
        <w:rPr>
          <w:rFonts w:ascii="Arial" w:hAnsi="Arial" w:cs="Arial"/>
          <w:i w:val="0"/>
          <w:lang w:val="en-GB"/>
        </w:rPr>
        <w:t xml:space="preserve"> </w:t>
      </w:r>
      <w:r w:rsidRPr="00CD59CC">
        <w:rPr>
          <w:rFonts w:ascii="Arial" w:hAnsi="Arial" w:cs="Arial"/>
          <w:i w:val="0"/>
          <w:lang w:val="en-GB"/>
        </w:rPr>
        <w:t>confirmed</w:t>
      </w:r>
      <w:r w:rsidR="007B7640" w:rsidRPr="00CD59CC">
        <w:rPr>
          <w:rFonts w:ascii="Arial" w:hAnsi="Arial" w:cs="Arial"/>
          <w:i w:val="0"/>
          <w:lang w:val="en-GB"/>
        </w:rPr>
        <w:t xml:space="preserve"> </w:t>
      </w:r>
      <w:r w:rsidRPr="00CD59CC">
        <w:rPr>
          <w:rFonts w:ascii="Arial" w:hAnsi="Arial" w:cs="Arial"/>
          <w:i w:val="0"/>
          <w:lang w:val="en-GB"/>
        </w:rPr>
        <w:t>through</w:t>
      </w:r>
      <w:r w:rsidR="007B7640" w:rsidRPr="00CD59CC">
        <w:rPr>
          <w:rFonts w:ascii="Arial" w:hAnsi="Arial" w:cs="Arial"/>
          <w:i w:val="0"/>
          <w:lang w:val="en-GB"/>
        </w:rPr>
        <w:t xml:space="preserve"> </w:t>
      </w:r>
      <w:r w:rsidRPr="00CD59CC">
        <w:rPr>
          <w:rFonts w:ascii="Arial" w:hAnsi="Arial" w:cs="Arial"/>
          <w:i w:val="0"/>
          <w:lang w:val="en-GB"/>
        </w:rPr>
        <w:t>judicial</w:t>
      </w:r>
      <w:r w:rsidR="007B7640" w:rsidRPr="00CD59CC">
        <w:rPr>
          <w:rFonts w:ascii="Arial" w:hAnsi="Arial" w:cs="Arial"/>
          <w:i w:val="0"/>
          <w:lang w:val="en-GB"/>
        </w:rPr>
        <w:t xml:space="preserve"> </w:t>
      </w:r>
      <w:r w:rsidRPr="00CD59CC">
        <w:rPr>
          <w:rFonts w:ascii="Arial" w:hAnsi="Arial" w:cs="Arial"/>
          <w:i w:val="0"/>
          <w:lang w:val="en-GB"/>
        </w:rPr>
        <w:t>interpretation.</w:t>
      </w:r>
    </w:p>
    <w:p w14:paraId="5E2E45D7" w14:textId="77777777" w:rsidR="003870FA" w:rsidRPr="00CD59CC" w:rsidRDefault="003870FA" w:rsidP="00CD59CC">
      <w:pPr>
        <w:pStyle w:val="BodyText"/>
        <w:rPr>
          <w:rFonts w:ascii="Arial" w:hAnsi="Arial" w:cs="Arial"/>
          <w:i w:val="0"/>
          <w:lang w:val="en-GB"/>
        </w:rPr>
      </w:pPr>
    </w:p>
    <w:p w14:paraId="303A39A6"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Act</w:t>
      </w:r>
      <w:r w:rsidR="007B7640" w:rsidRPr="00CD59CC">
        <w:rPr>
          <w:rFonts w:ascii="Arial" w:hAnsi="Arial" w:cs="Arial"/>
          <w:i w:val="0"/>
          <w:lang w:val="en-GB"/>
        </w:rPr>
        <w:t xml:space="preserve"> </w:t>
      </w:r>
      <w:r w:rsidRPr="00CD59CC">
        <w:rPr>
          <w:rFonts w:ascii="Arial" w:hAnsi="Arial" w:cs="Arial"/>
          <w:i w:val="0"/>
          <w:lang w:val="en-GB"/>
        </w:rPr>
        <w:t>CXXI</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2007</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Amendment</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Certain</w:t>
      </w:r>
      <w:r w:rsidR="007B7640" w:rsidRPr="00CD59CC">
        <w:rPr>
          <w:rFonts w:ascii="Arial" w:hAnsi="Arial" w:cs="Arial"/>
          <w:i w:val="0"/>
          <w:lang w:val="en-GB"/>
        </w:rPr>
        <w:t xml:space="preserve"> </w:t>
      </w:r>
      <w:r w:rsidRPr="00CD59CC">
        <w:rPr>
          <w:rFonts w:ascii="Arial" w:hAnsi="Arial" w:cs="Arial"/>
          <w:i w:val="0"/>
          <w:lang w:val="en-GB"/>
        </w:rPr>
        <w:t>Social</w:t>
      </w:r>
      <w:r w:rsidR="007B7640" w:rsidRPr="00CD59CC">
        <w:rPr>
          <w:rFonts w:ascii="Arial" w:hAnsi="Arial" w:cs="Arial"/>
          <w:i w:val="0"/>
          <w:lang w:val="en-GB"/>
        </w:rPr>
        <w:t xml:space="preserve"> </w:t>
      </w:r>
      <w:r w:rsidRPr="00CD59CC">
        <w:rPr>
          <w:rFonts w:ascii="Arial" w:hAnsi="Arial" w:cs="Arial"/>
          <w:i w:val="0"/>
          <w:lang w:val="en-GB"/>
        </w:rPr>
        <w:t>Laws</w:t>
      </w:r>
      <w:r w:rsidR="007B7640" w:rsidRPr="00CD59CC">
        <w:rPr>
          <w:rFonts w:ascii="Arial" w:hAnsi="Arial" w:cs="Arial"/>
          <w:i w:val="0"/>
          <w:lang w:val="en-GB"/>
        </w:rPr>
        <w:t xml:space="preserve"> </w:t>
      </w:r>
      <w:r w:rsidRPr="00CD59CC">
        <w:rPr>
          <w:rFonts w:ascii="Arial" w:hAnsi="Arial" w:cs="Arial"/>
          <w:i w:val="0"/>
          <w:lang w:val="en-GB"/>
        </w:rPr>
        <w:t>amended</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RPD</w:t>
      </w:r>
      <w:r w:rsidR="007B7640" w:rsidRPr="00CD59CC">
        <w:rPr>
          <w:rFonts w:ascii="Arial" w:hAnsi="Arial" w:cs="Arial"/>
          <w:i w:val="0"/>
          <w:lang w:val="en-GB"/>
        </w:rPr>
        <w:t xml:space="preserve"> </w:t>
      </w:r>
      <w:r w:rsidRPr="00CD59CC">
        <w:rPr>
          <w:rFonts w:ascii="Arial" w:hAnsi="Arial" w:cs="Arial"/>
          <w:i w:val="0"/>
          <w:lang w:val="en-GB"/>
        </w:rPr>
        <w:t>Act</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1</w:t>
      </w:r>
      <w:r w:rsidR="007B7640" w:rsidRPr="00CD59CC">
        <w:rPr>
          <w:rFonts w:ascii="Arial" w:hAnsi="Arial" w:cs="Arial"/>
          <w:i w:val="0"/>
          <w:lang w:val="en-GB"/>
        </w:rPr>
        <w:t xml:space="preserve"> </w:t>
      </w:r>
      <w:r w:rsidRPr="00CD59CC">
        <w:rPr>
          <w:rFonts w:ascii="Arial" w:hAnsi="Arial" w:cs="Arial"/>
          <w:i w:val="0"/>
          <w:lang w:val="en-GB"/>
        </w:rPr>
        <w:t>January</w:t>
      </w:r>
      <w:r w:rsidR="007B7640" w:rsidRPr="00CD59CC">
        <w:rPr>
          <w:rFonts w:ascii="Arial" w:hAnsi="Arial" w:cs="Arial"/>
          <w:i w:val="0"/>
          <w:lang w:val="en-GB"/>
        </w:rPr>
        <w:t xml:space="preserve"> </w:t>
      </w:r>
      <w:r w:rsidRPr="00CD59CC">
        <w:rPr>
          <w:rFonts w:ascii="Arial" w:hAnsi="Arial" w:cs="Arial"/>
          <w:i w:val="0"/>
          <w:lang w:val="en-GB"/>
        </w:rPr>
        <w:t>2008,</w:t>
      </w:r>
      <w:r w:rsidR="007B7640" w:rsidRPr="00CD59CC">
        <w:rPr>
          <w:rFonts w:ascii="Arial" w:hAnsi="Arial" w:cs="Arial"/>
          <w:i w:val="0"/>
          <w:lang w:val="en-GB"/>
        </w:rPr>
        <w:t xml:space="preserve"> </w:t>
      </w:r>
      <w:r w:rsidRPr="00CD59CC">
        <w:rPr>
          <w:rFonts w:ascii="Arial" w:hAnsi="Arial" w:cs="Arial"/>
          <w:i w:val="0"/>
          <w:lang w:val="en-GB"/>
        </w:rPr>
        <w:t>adding</w:t>
      </w:r>
      <w:r w:rsidR="007B7640" w:rsidRPr="00CD59CC">
        <w:rPr>
          <w:rFonts w:ascii="Arial" w:hAnsi="Arial" w:cs="Arial"/>
          <w:i w:val="0"/>
          <w:lang w:val="en-GB"/>
        </w:rPr>
        <w:t xml:space="preserve"> </w:t>
      </w:r>
      <w:r w:rsidRPr="00CD59CC">
        <w:rPr>
          <w:rFonts w:ascii="Arial" w:hAnsi="Arial" w:cs="Arial"/>
          <w:i w:val="0"/>
          <w:lang w:val="en-GB"/>
        </w:rPr>
        <w:t>two</w:t>
      </w:r>
      <w:r w:rsidR="007B7640" w:rsidRPr="00CD59CC">
        <w:rPr>
          <w:rFonts w:ascii="Arial" w:hAnsi="Arial" w:cs="Arial"/>
          <w:i w:val="0"/>
          <w:lang w:val="en-GB"/>
        </w:rPr>
        <w:t xml:space="preserve"> </w:t>
      </w:r>
      <w:r w:rsidRPr="00CD59CC">
        <w:rPr>
          <w:rFonts w:ascii="Arial" w:hAnsi="Arial" w:cs="Arial"/>
          <w:i w:val="0"/>
          <w:lang w:val="en-GB"/>
        </w:rPr>
        <w:t>paragraphs.</w:t>
      </w:r>
      <w:r w:rsidR="007B7640" w:rsidRPr="00CD59CC">
        <w:rPr>
          <w:rFonts w:ascii="Arial" w:hAnsi="Arial" w:cs="Arial"/>
          <w:i w:val="0"/>
          <w:lang w:val="en-GB"/>
        </w:rPr>
        <w:t xml:space="preserve"> </w:t>
      </w: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Paragraph</w:t>
      </w:r>
      <w:r w:rsidR="007B7640" w:rsidRPr="00CD59CC">
        <w:rPr>
          <w:rFonts w:ascii="Arial" w:hAnsi="Arial" w:cs="Arial"/>
          <w:i w:val="0"/>
          <w:lang w:val="en-GB"/>
        </w:rPr>
        <w:t xml:space="preserve"> </w:t>
      </w:r>
      <w:r w:rsidRPr="00CD59CC">
        <w:rPr>
          <w:rFonts w:ascii="Arial" w:hAnsi="Arial" w:cs="Arial"/>
          <w:i w:val="0"/>
          <w:lang w:val="en-GB"/>
        </w:rPr>
        <w:t>(3),</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order</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enhance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access</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persons</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shall</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obliged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provide</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accessible</w:t>
      </w:r>
      <w:r w:rsidR="007B7640" w:rsidRPr="00CD59CC">
        <w:rPr>
          <w:rFonts w:ascii="Arial" w:hAnsi="Arial" w:cs="Arial"/>
          <w:i w:val="0"/>
          <w:lang w:val="en-GB"/>
        </w:rPr>
        <w:t xml:space="preserve"> </w:t>
      </w:r>
      <w:r w:rsidRPr="00CD59CC">
        <w:rPr>
          <w:rFonts w:ascii="Arial" w:hAnsi="Arial" w:cs="Arial"/>
          <w:i w:val="0"/>
          <w:lang w:val="en-GB"/>
        </w:rPr>
        <w:t>environment</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course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recruitment</w:t>
      </w:r>
      <w:r w:rsidR="007B7640" w:rsidRPr="00CD59CC">
        <w:rPr>
          <w:rFonts w:ascii="Arial" w:hAnsi="Arial" w:cs="Arial"/>
          <w:i w:val="0"/>
          <w:lang w:val="en-GB"/>
        </w:rPr>
        <w:t xml:space="preserve"> </w:t>
      </w:r>
      <w:r w:rsidRPr="00CD59CC">
        <w:rPr>
          <w:rFonts w:ascii="Arial" w:hAnsi="Arial" w:cs="Arial"/>
          <w:i w:val="0"/>
          <w:lang w:val="en-GB"/>
        </w:rPr>
        <w:t>procedure.</w:t>
      </w:r>
      <w:r w:rsidR="007B7640" w:rsidRPr="00CD59CC">
        <w:rPr>
          <w:rFonts w:ascii="Arial" w:hAnsi="Arial" w:cs="Arial"/>
          <w:i w:val="0"/>
          <w:lang w:val="en-GB"/>
        </w:rPr>
        <w:t xml:space="preserve"> </w:t>
      </w:r>
    </w:p>
    <w:p w14:paraId="44C26866" w14:textId="77777777" w:rsidR="003870FA" w:rsidRPr="00CD59CC" w:rsidRDefault="003870FA" w:rsidP="00CD59CC">
      <w:pPr>
        <w:pStyle w:val="BodyText"/>
        <w:rPr>
          <w:rFonts w:ascii="Arial" w:hAnsi="Arial" w:cs="Arial"/>
          <w:i w:val="0"/>
          <w:lang w:val="en-GB"/>
        </w:rPr>
      </w:pPr>
    </w:p>
    <w:p w14:paraId="712BFBC0"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Paragraph</w:t>
      </w:r>
      <w:r w:rsidR="007B7640" w:rsidRPr="00CD59CC">
        <w:rPr>
          <w:rFonts w:ascii="Arial" w:hAnsi="Arial" w:cs="Arial"/>
          <w:i w:val="0"/>
          <w:lang w:val="en-GB"/>
        </w:rPr>
        <w:t xml:space="preserve"> </w:t>
      </w:r>
      <w:r w:rsidRPr="00CD59CC">
        <w:rPr>
          <w:rFonts w:ascii="Arial" w:hAnsi="Arial" w:cs="Arial"/>
          <w:i w:val="0"/>
          <w:lang w:val="en-GB"/>
        </w:rPr>
        <w:t>(4)</w:t>
      </w:r>
      <w:r w:rsidR="007B7640" w:rsidRPr="00CD59CC">
        <w:rPr>
          <w:rFonts w:ascii="Arial" w:hAnsi="Arial" w:cs="Arial"/>
          <w:i w:val="0"/>
          <w:lang w:val="en-GB"/>
        </w:rPr>
        <w:t xml:space="preserve"> </w:t>
      </w:r>
      <w:r w:rsidRPr="00CD59CC">
        <w:rPr>
          <w:rFonts w:ascii="Arial" w:hAnsi="Arial" w:cs="Arial"/>
          <w:i w:val="0"/>
          <w:lang w:val="en-GB"/>
        </w:rPr>
        <w:t>states</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shall</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imposed</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he/she</w:t>
      </w:r>
      <w:r w:rsidR="007B7640" w:rsidRPr="00CD59CC">
        <w:rPr>
          <w:rFonts w:ascii="Arial" w:hAnsi="Arial" w:cs="Arial"/>
          <w:i w:val="0"/>
          <w:lang w:val="en-GB"/>
        </w:rPr>
        <w:t xml:space="preserve"> </w:t>
      </w:r>
      <w:r w:rsidRPr="00CD59CC">
        <w:rPr>
          <w:rFonts w:ascii="Arial" w:hAnsi="Arial" w:cs="Arial"/>
          <w:i w:val="0"/>
          <w:lang w:val="en-GB"/>
        </w:rPr>
        <w:t>publicly</w:t>
      </w:r>
      <w:r w:rsidR="007B7640" w:rsidRPr="00CD59CC">
        <w:rPr>
          <w:rFonts w:ascii="Arial" w:hAnsi="Arial" w:cs="Arial"/>
          <w:i w:val="0"/>
          <w:lang w:val="en-GB"/>
        </w:rPr>
        <w:t xml:space="preserve"> </w:t>
      </w:r>
      <w:r w:rsidRPr="00CD59CC">
        <w:rPr>
          <w:rFonts w:ascii="Arial" w:hAnsi="Arial" w:cs="Arial"/>
          <w:i w:val="0"/>
          <w:lang w:val="en-GB"/>
        </w:rPr>
        <w:t>advertised</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vacancy;</w:t>
      </w:r>
      <w:r w:rsidR="007B7640" w:rsidRPr="00CD59CC">
        <w:rPr>
          <w:rFonts w:ascii="Arial" w:hAnsi="Arial" w:cs="Arial"/>
          <w:i w:val="0"/>
          <w:lang w:val="en-GB"/>
        </w:rPr>
        <w:t xml:space="preserve"> </w:t>
      </w:r>
      <w:r w:rsidRPr="00CD59CC">
        <w:rPr>
          <w:rFonts w:ascii="Arial" w:hAnsi="Arial" w:cs="Arial"/>
          <w:i w:val="0"/>
          <w:lang w:val="en-GB"/>
        </w:rPr>
        <w:t>(b)</w:t>
      </w:r>
      <w:r w:rsidR="007B7640" w:rsidRPr="00CD59CC">
        <w:rPr>
          <w:rFonts w:ascii="Arial" w:hAnsi="Arial" w:cs="Arial"/>
          <w:i w:val="0"/>
          <w:lang w:val="en-GB"/>
        </w:rPr>
        <w:t xml:space="preserve"> </w:t>
      </w:r>
      <w:r w:rsidRPr="00CD59CC">
        <w:rPr>
          <w:rFonts w:ascii="Arial" w:hAnsi="Arial" w:cs="Arial"/>
          <w:i w:val="0"/>
          <w:lang w:val="en-GB"/>
        </w:rPr>
        <w:t>when</w:t>
      </w:r>
      <w:r w:rsidR="007B7640" w:rsidRPr="00CD59CC">
        <w:rPr>
          <w:rFonts w:ascii="Arial" w:hAnsi="Arial" w:cs="Arial"/>
          <w:i w:val="0"/>
          <w:lang w:val="en-GB"/>
        </w:rPr>
        <w:t xml:space="preserve"> </w:t>
      </w:r>
      <w:r w:rsidRPr="00CD59CC">
        <w:rPr>
          <w:rFonts w:ascii="Arial" w:hAnsi="Arial" w:cs="Arial"/>
          <w:i w:val="0"/>
          <w:lang w:val="en-GB"/>
        </w:rPr>
        <w:t>applying</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job,</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person</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disability</w:t>
      </w:r>
      <w:r w:rsidR="007B7640" w:rsidRPr="00CD59CC">
        <w:rPr>
          <w:rFonts w:ascii="Arial" w:hAnsi="Arial" w:cs="Arial"/>
          <w:i w:val="0"/>
          <w:lang w:val="en-GB"/>
        </w:rPr>
        <w:t xml:space="preserve"> </w:t>
      </w:r>
      <w:r w:rsidRPr="00CD59CC">
        <w:rPr>
          <w:rFonts w:ascii="Arial" w:hAnsi="Arial" w:cs="Arial"/>
          <w:i w:val="0"/>
          <w:lang w:val="en-GB"/>
        </w:rPr>
        <w:t>states</w:t>
      </w:r>
      <w:r w:rsidR="007B7640" w:rsidRPr="00CD59CC">
        <w:rPr>
          <w:rFonts w:ascii="Arial" w:hAnsi="Arial" w:cs="Arial"/>
          <w:i w:val="0"/>
          <w:lang w:val="en-GB"/>
        </w:rPr>
        <w:t xml:space="preserve"> </w:t>
      </w:r>
      <w:r w:rsidRPr="00CD59CC">
        <w:rPr>
          <w:rFonts w:ascii="Arial" w:hAnsi="Arial" w:cs="Arial"/>
          <w:i w:val="0"/>
          <w:lang w:val="en-GB"/>
        </w:rPr>
        <w:t>his/her</w:t>
      </w:r>
      <w:r w:rsidR="007B7640" w:rsidRPr="00CD59CC">
        <w:rPr>
          <w:rFonts w:ascii="Arial" w:hAnsi="Arial" w:cs="Arial"/>
          <w:i w:val="0"/>
          <w:lang w:val="en-GB"/>
        </w:rPr>
        <w:t xml:space="preserve"> </w:t>
      </w:r>
      <w:r w:rsidRPr="00CD59CC">
        <w:rPr>
          <w:rFonts w:ascii="Arial" w:hAnsi="Arial" w:cs="Arial"/>
          <w:i w:val="0"/>
          <w:lang w:val="en-GB"/>
        </w:rPr>
        <w:t>special</w:t>
      </w:r>
      <w:r w:rsidR="007B7640" w:rsidRPr="00CD59CC">
        <w:rPr>
          <w:rFonts w:ascii="Arial" w:hAnsi="Arial" w:cs="Arial"/>
          <w:i w:val="0"/>
          <w:lang w:val="en-GB"/>
        </w:rPr>
        <w:t xml:space="preserve"> </w:t>
      </w:r>
      <w:r w:rsidRPr="00CD59CC">
        <w:rPr>
          <w:rFonts w:ascii="Arial" w:hAnsi="Arial" w:cs="Arial"/>
          <w:i w:val="0"/>
          <w:lang w:val="en-GB"/>
        </w:rPr>
        <w:t>needs</w:t>
      </w:r>
      <w:r w:rsidR="007B7640" w:rsidRPr="00CD59CC">
        <w:rPr>
          <w:rFonts w:ascii="Arial" w:hAnsi="Arial" w:cs="Arial"/>
          <w:i w:val="0"/>
          <w:lang w:val="en-GB"/>
        </w:rPr>
        <w:t xml:space="preserve"> </w:t>
      </w:r>
      <w:r w:rsidRPr="00CD59CC">
        <w:rPr>
          <w:rFonts w:ascii="Arial" w:hAnsi="Arial" w:cs="Arial"/>
          <w:i w:val="0"/>
          <w:lang w:val="en-GB"/>
        </w:rPr>
        <w:t>related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job</w:t>
      </w:r>
      <w:r w:rsidR="007B7640" w:rsidRPr="00CD59CC">
        <w:rPr>
          <w:rFonts w:ascii="Arial" w:hAnsi="Arial" w:cs="Arial"/>
          <w:i w:val="0"/>
          <w:lang w:val="en-GB"/>
        </w:rPr>
        <w:t xml:space="preserve"> </w:t>
      </w:r>
      <w:r w:rsidRPr="00CD59CC">
        <w:rPr>
          <w:rFonts w:ascii="Arial" w:hAnsi="Arial" w:cs="Arial"/>
          <w:i w:val="0"/>
          <w:lang w:val="en-GB"/>
        </w:rPr>
        <w:t>interview;</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(c)</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those</w:t>
      </w:r>
      <w:r w:rsidR="007B7640" w:rsidRPr="00CD59CC">
        <w:rPr>
          <w:rFonts w:ascii="Arial" w:hAnsi="Arial" w:cs="Arial"/>
          <w:i w:val="0"/>
          <w:lang w:val="en-GB"/>
        </w:rPr>
        <w:t xml:space="preserve"> </w:t>
      </w:r>
      <w:r w:rsidRPr="00CD59CC">
        <w:rPr>
          <w:rFonts w:ascii="Arial" w:hAnsi="Arial" w:cs="Arial"/>
          <w:i w:val="0"/>
          <w:lang w:val="en-GB"/>
        </w:rPr>
        <w:t>needs</w:t>
      </w:r>
      <w:r w:rsidR="007B7640" w:rsidRPr="00CD59CC">
        <w:rPr>
          <w:rFonts w:ascii="Arial" w:hAnsi="Arial" w:cs="Arial"/>
          <w:i w:val="0"/>
          <w:lang w:val="en-GB"/>
        </w:rPr>
        <w:t xml:space="preserve"> </w:t>
      </w:r>
      <w:r w:rsidRPr="00CD59CC">
        <w:rPr>
          <w:rFonts w:ascii="Arial" w:hAnsi="Arial" w:cs="Arial"/>
          <w:i w:val="0"/>
          <w:lang w:val="en-GB"/>
        </w:rPr>
        <w:t>does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impose</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disproportionate</w:t>
      </w:r>
      <w:r w:rsidR="007B7640" w:rsidRPr="00CD59CC">
        <w:rPr>
          <w:rFonts w:ascii="Arial" w:hAnsi="Arial" w:cs="Arial"/>
          <w:i w:val="0"/>
          <w:lang w:val="en-GB"/>
        </w:rPr>
        <w:t xml:space="preserve"> </w:t>
      </w:r>
      <w:r w:rsidRPr="00CD59CC">
        <w:rPr>
          <w:rFonts w:ascii="Arial" w:hAnsi="Arial" w:cs="Arial"/>
          <w:i w:val="0"/>
          <w:lang w:val="en-GB"/>
        </w:rPr>
        <w:t>burden</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burden</w:t>
      </w:r>
      <w:r w:rsidR="007B7640" w:rsidRPr="00CD59CC">
        <w:rPr>
          <w:rFonts w:ascii="Arial" w:hAnsi="Arial" w:cs="Arial"/>
          <w:i w:val="0"/>
          <w:lang w:val="en-GB"/>
        </w:rPr>
        <w:t xml:space="preserve"> </w:t>
      </w:r>
      <w:r w:rsidRPr="00CD59CC">
        <w:rPr>
          <w:rFonts w:ascii="Arial" w:hAnsi="Arial" w:cs="Arial"/>
          <w:i w:val="0"/>
          <w:lang w:val="en-GB"/>
        </w:rPr>
        <w:t>shall</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regarded</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disproportionate</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compliance</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would</w:t>
      </w:r>
      <w:r w:rsidR="007B7640" w:rsidRPr="00CD59CC">
        <w:rPr>
          <w:rFonts w:ascii="Arial" w:hAnsi="Arial" w:cs="Arial"/>
          <w:i w:val="0"/>
          <w:lang w:val="en-GB"/>
        </w:rPr>
        <w:t xml:space="preserve"> </w:t>
      </w:r>
      <w:r w:rsidRPr="00CD59CC">
        <w:rPr>
          <w:rFonts w:ascii="Arial" w:hAnsi="Arial" w:cs="Arial"/>
          <w:i w:val="0"/>
          <w:lang w:val="en-GB"/>
        </w:rPr>
        <w:t>make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continued</w:t>
      </w:r>
      <w:r w:rsidR="007B7640" w:rsidRPr="00CD59CC">
        <w:rPr>
          <w:rFonts w:ascii="Arial" w:hAnsi="Arial" w:cs="Arial"/>
          <w:i w:val="0"/>
          <w:lang w:val="en-GB"/>
        </w:rPr>
        <w:t xml:space="preserve"> </w:t>
      </w:r>
      <w:r w:rsidRPr="00CD59CC">
        <w:rPr>
          <w:rFonts w:ascii="Arial" w:hAnsi="Arial" w:cs="Arial"/>
          <w:i w:val="0"/>
          <w:lang w:val="en-GB"/>
        </w:rPr>
        <w:t>operation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impossible.</w:t>
      </w:r>
    </w:p>
    <w:p w14:paraId="3F65E7C4" w14:textId="77777777" w:rsidR="003870FA" w:rsidRPr="00CD59CC" w:rsidRDefault="003870FA" w:rsidP="00CD59CC">
      <w:pPr>
        <w:pStyle w:val="BodyText"/>
        <w:rPr>
          <w:rFonts w:ascii="Arial" w:hAnsi="Arial" w:cs="Arial"/>
          <w:lang w:val="en-GB"/>
        </w:rPr>
      </w:pPr>
    </w:p>
    <w:p w14:paraId="43791D26"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lastRenderedPageBreak/>
        <w:t>To</w:t>
      </w:r>
      <w:r w:rsidR="007B7640" w:rsidRPr="00CD59CC">
        <w:rPr>
          <w:rFonts w:ascii="Arial" w:hAnsi="Arial" w:cs="Arial"/>
          <w:i w:val="0"/>
          <w:lang w:val="en-GB"/>
        </w:rPr>
        <w:t xml:space="preserve"> </w:t>
      </w:r>
      <w:r w:rsidRPr="00CD59CC">
        <w:rPr>
          <w:rFonts w:ascii="Arial" w:hAnsi="Arial" w:cs="Arial"/>
          <w:i w:val="0"/>
          <w:lang w:val="en-GB"/>
        </w:rPr>
        <w:t>summarise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situation,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following</w:t>
      </w:r>
      <w:r w:rsidR="007B7640" w:rsidRPr="00CD59CC">
        <w:rPr>
          <w:rFonts w:ascii="Arial" w:hAnsi="Arial" w:cs="Arial"/>
          <w:i w:val="0"/>
          <w:lang w:val="en-GB"/>
        </w:rPr>
        <w:t xml:space="preserve"> </w:t>
      </w:r>
      <w:r w:rsidRPr="00CD59CC">
        <w:rPr>
          <w:rFonts w:ascii="Arial" w:hAnsi="Arial" w:cs="Arial"/>
          <w:i w:val="0"/>
          <w:lang w:val="en-GB"/>
        </w:rPr>
        <w:t>can</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said.</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we</w:t>
      </w:r>
      <w:r w:rsidR="007B7640" w:rsidRPr="00CD59CC">
        <w:rPr>
          <w:rFonts w:ascii="Arial" w:hAnsi="Arial" w:cs="Arial"/>
          <w:i w:val="0"/>
          <w:lang w:val="en-GB"/>
        </w:rPr>
        <w:t xml:space="preserve"> </w:t>
      </w:r>
      <w:r w:rsidRPr="00CD59CC">
        <w:rPr>
          <w:rFonts w:ascii="Arial" w:hAnsi="Arial" w:cs="Arial"/>
          <w:i w:val="0"/>
          <w:lang w:val="en-GB"/>
        </w:rPr>
        <w:t>interpret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text</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law</w:t>
      </w:r>
      <w:r w:rsidR="007B7640" w:rsidRPr="00CD59CC">
        <w:rPr>
          <w:rFonts w:ascii="Arial" w:hAnsi="Arial" w:cs="Arial"/>
          <w:i w:val="0"/>
          <w:lang w:val="en-GB"/>
        </w:rPr>
        <w:t xml:space="preserve"> </w:t>
      </w:r>
      <w:r w:rsidRPr="00CD59CC">
        <w:rPr>
          <w:rFonts w:ascii="Arial" w:hAnsi="Arial" w:cs="Arial"/>
          <w:i w:val="0"/>
          <w:lang w:val="en-GB"/>
        </w:rPr>
        <w:t>strictly,</w:t>
      </w:r>
      <w:r w:rsidR="007B7640" w:rsidRPr="00CD59CC">
        <w:rPr>
          <w:rFonts w:ascii="Arial" w:hAnsi="Arial" w:cs="Arial"/>
          <w:i w:val="0"/>
          <w:lang w:val="en-GB"/>
        </w:rPr>
        <w:t xml:space="preserve"> </w:t>
      </w:r>
      <w:r w:rsidRPr="00CD59CC">
        <w:rPr>
          <w:rFonts w:ascii="Arial" w:hAnsi="Arial" w:cs="Arial"/>
          <w:i w:val="0"/>
          <w:lang w:val="en-GB"/>
        </w:rPr>
        <w:t>there</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provide</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accessible</w:t>
      </w:r>
      <w:r w:rsidR="007B7640" w:rsidRPr="00CD59CC">
        <w:rPr>
          <w:rFonts w:ascii="Arial" w:hAnsi="Arial" w:cs="Arial"/>
          <w:i w:val="0"/>
          <w:lang w:val="en-GB"/>
        </w:rPr>
        <w:t xml:space="preserve"> </w:t>
      </w:r>
      <w:r w:rsidRPr="00CD59CC">
        <w:rPr>
          <w:rFonts w:ascii="Arial" w:hAnsi="Arial" w:cs="Arial"/>
          <w:i w:val="0"/>
          <w:lang w:val="en-GB"/>
        </w:rPr>
        <w:t>environment</w:t>
      </w:r>
      <w:r w:rsidR="007B7640" w:rsidRPr="00CD59CC">
        <w:rPr>
          <w:rFonts w:ascii="Arial" w:hAnsi="Arial" w:cs="Arial"/>
          <w:i w:val="0"/>
          <w:lang w:val="en-GB"/>
        </w:rPr>
        <w:t xml:space="preserve"> </w:t>
      </w:r>
      <w:r w:rsidRPr="00CD59CC">
        <w:rPr>
          <w:rFonts w:ascii="Arial" w:hAnsi="Arial" w:cs="Arial"/>
          <w:i w:val="0"/>
          <w:lang w:val="en-GB"/>
        </w:rPr>
        <w:t>at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recruitment</w:t>
      </w:r>
      <w:r w:rsidR="007B7640" w:rsidRPr="00CD59CC">
        <w:rPr>
          <w:rFonts w:ascii="Arial" w:hAnsi="Arial" w:cs="Arial"/>
          <w:i w:val="0"/>
          <w:lang w:val="en-GB"/>
        </w:rPr>
        <w:t xml:space="preserve"> </w:t>
      </w:r>
      <w:r w:rsidRPr="00CD59CC">
        <w:rPr>
          <w:rFonts w:ascii="Arial" w:hAnsi="Arial" w:cs="Arial"/>
          <w:i w:val="0"/>
          <w:lang w:val="en-GB"/>
        </w:rPr>
        <w:t>stage</w:t>
      </w:r>
      <w:r w:rsidR="007B7640" w:rsidRPr="00CD59CC">
        <w:rPr>
          <w:rFonts w:ascii="Arial" w:hAnsi="Arial" w:cs="Arial"/>
          <w:i w:val="0"/>
          <w:lang w:val="en-GB"/>
        </w:rPr>
        <w:t xml:space="preserve"> </w:t>
      </w:r>
      <w:r w:rsidRPr="00CD59CC">
        <w:rPr>
          <w:rFonts w:ascii="Arial" w:hAnsi="Arial" w:cs="Arial"/>
          <w:i w:val="0"/>
          <w:lang w:val="en-GB"/>
        </w:rPr>
        <w:t>(e.g.</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interview),</w:t>
      </w:r>
      <w:r w:rsidR="007B7640" w:rsidRPr="00CD59CC">
        <w:rPr>
          <w:rFonts w:ascii="Arial" w:hAnsi="Arial" w:cs="Arial"/>
          <w:i w:val="0"/>
          <w:lang w:val="en-GB"/>
        </w:rPr>
        <w:t xml:space="preserve"> </w:t>
      </w:r>
      <w:r w:rsidRPr="00CD59CC">
        <w:rPr>
          <w:rFonts w:ascii="Arial" w:hAnsi="Arial" w:cs="Arial"/>
          <w:i w:val="0"/>
          <w:lang w:val="en-GB"/>
        </w:rPr>
        <w:t>but</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provide</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accessible</w:t>
      </w:r>
      <w:r w:rsidR="007B7640" w:rsidRPr="00CD59CC">
        <w:rPr>
          <w:rFonts w:ascii="Arial" w:hAnsi="Arial" w:cs="Arial"/>
          <w:i w:val="0"/>
          <w:lang w:val="en-GB"/>
        </w:rPr>
        <w:t xml:space="preserve"> </w:t>
      </w:r>
      <w:r w:rsidRPr="00CD59CC">
        <w:rPr>
          <w:rFonts w:ascii="Arial" w:hAnsi="Arial" w:cs="Arial"/>
          <w:i w:val="0"/>
          <w:lang w:val="en-GB"/>
        </w:rPr>
        <w:t>environment</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enable</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applicant</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disability</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do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job.</w:t>
      </w:r>
      <w:r w:rsidR="007B7640" w:rsidRPr="00CD59CC">
        <w:rPr>
          <w:rFonts w:ascii="Arial" w:hAnsi="Arial" w:cs="Arial"/>
          <w:i w:val="0"/>
          <w:lang w:val="en-GB"/>
        </w:rPr>
        <w:t xml:space="preserve"> </w:t>
      </w:r>
    </w:p>
    <w:p w14:paraId="18601792" w14:textId="77777777" w:rsidR="003870FA" w:rsidRPr="00CD59CC" w:rsidRDefault="003870FA" w:rsidP="00CD59CC">
      <w:pPr>
        <w:pStyle w:val="BodyText"/>
        <w:rPr>
          <w:rFonts w:ascii="Arial" w:hAnsi="Arial" w:cs="Arial"/>
          <w:i w:val="0"/>
          <w:lang w:val="en-GB"/>
        </w:rPr>
      </w:pPr>
    </w:p>
    <w:p w14:paraId="3974EA92"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Therefore,</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person</w:t>
      </w:r>
      <w:r w:rsidR="007B7640" w:rsidRPr="00CD59CC">
        <w:rPr>
          <w:rFonts w:ascii="Arial" w:hAnsi="Arial" w:cs="Arial"/>
          <w:i w:val="0"/>
          <w:lang w:val="en-GB"/>
        </w:rPr>
        <w:t xml:space="preserve"> </w:t>
      </w:r>
      <w:r w:rsidRPr="00CD59CC">
        <w:rPr>
          <w:rFonts w:ascii="Arial" w:hAnsi="Arial" w:cs="Arial"/>
          <w:i w:val="0"/>
          <w:lang w:val="en-GB"/>
        </w:rPr>
        <w:t>could</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qualified</w:t>
      </w:r>
      <w:r w:rsidR="007B7640" w:rsidRPr="00CD59CC">
        <w:rPr>
          <w:rFonts w:ascii="Arial" w:hAnsi="Arial" w:cs="Arial"/>
          <w:i w:val="0"/>
          <w:lang w:val="en-GB"/>
        </w:rPr>
        <w:t xml:space="preserve"> </w:t>
      </w:r>
      <w:r w:rsidRPr="00CD59CC">
        <w:rPr>
          <w:rFonts w:ascii="Arial" w:hAnsi="Arial" w:cs="Arial"/>
          <w:i w:val="0"/>
          <w:lang w:val="en-GB"/>
        </w:rPr>
        <w:t>–</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they</w:t>
      </w:r>
      <w:r w:rsidR="007B7640" w:rsidRPr="00CD59CC">
        <w:rPr>
          <w:rFonts w:ascii="Arial" w:hAnsi="Arial" w:cs="Arial"/>
          <w:i w:val="0"/>
          <w:lang w:val="en-GB"/>
        </w:rPr>
        <w:t xml:space="preserve"> </w:t>
      </w:r>
      <w:r w:rsidRPr="00CD59CC">
        <w:rPr>
          <w:rFonts w:ascii="Arial" w:hAnsi="Arial" w:cs="Arial"/>
          <w:i w:val="0"/>
          <w:lang w:val="en-GB"/>
        </w:rPr>
        <w:t>could</w:t>
      </w:r>
      <w:r w:rsidR="007B7640" w:rsidRPr="00CD59CC">
        <w:rPr>
          <w:rFonts w:ascii="Arial" w:hAnsi="Arial" w:cs="Arial"/>
          <w:i w:val="0"/>
          <w:lang w:val="en-GB"/>
        </w:rPr>
        <w:t xml:space="preserve"> </w:t>
      </w:r>
      <w:r w:rsidRPr="00CD59CC">
        <w:rPr>
          <w:rFonts w:ascii="Arial" w:hAnsi="Arial" w:cs="Arial"/>
          <w:i w:val="0"/>
          <w:lang w:val="en-GB"/>
        </w:rPr>
        <w:t>perform</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job</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was</w:t>
      </w:r>
      <w:r w:rsidR="007B7640" w:rsidRPr="00CD59CC">
        <w:rPr>
          <w:rFonts w:ascii="Arial" w:hAnsi="Arial" w:cs="Arial"/>
          <w:i w:val="0"/>
          <w:lang w:val="en-GB"/>
        </w:rPr>
        <w:t xml:space="preserve"> </w:t>
      </w:r>
      <w:r w:rsidRPr="00CD59CC">
        <w:rPr>
          <w:rFonts w:ascii="Arial" w:hAnsi="Arial" w:cs="Arial"/>
          <w:i w:val="0"/>
          <w:lang w:val="en-GB"/>
        </w:rPr>
        <w:t>made</w:t>
      </w:r>
      <w:r w:rsidR="007B7640" w:rsidRPr="00CD59CC">
        <w:rPr>
          <w:rFonts w:ascii="Arial" w:hAnsi="Arial" w:cs="Arial"/>
          <w:i w:val="0"/>
          <w:lang w:val="en-GB"/>
        </w:rPr>
        <w:t xml:space="preserve"> </w:t>
      </w:r>
      <w:r w:rsidRPr="00CD59CC">
        <w:rPr>
          <w:rFonts w:ascii="Arial" w:hAnsi="Arial" w:cs="Arial"/>
          <w:i w:val="0"/>
          <w:lang w:val="en-GB"/>
        </w:rPr>
        <w:t>–</w:t>
      </w:r>
      <w:r w:rsidR="007B7640" w:rsidRPr="00CD59CC">
        <w:rPr>
          <w:rFonts w:ascii="Arial" w:hAnsi="Arial" w:cs="Arial"/>
          <w:i w:val="0"/>
          <w:lang w:val="en-GB"/>
        </w:rPr>
        <w:t xml:space="preserve"> </w:t>
      </w:r>
      <w:r w:rsidRPr="00CD59CC">
        <w:rPr>
          <w:rFonts w:ascii="Arial" w:hAnsi="Arial" w:cs="Arial"/>
          <w:i w:val="0"/>
          <w:lang w:val="en-GB"/>
        </w:rPr>
        <w:t>but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can</w:t>
      </w:r>
      <w:r w:rsidR="007B7640" w:rsidRPr="00CD59CC">
        <w:rPr>
          <w:rFonts w:ascii="Arial" w:hAnsi="Arial" w:cs="Arial"/>
          <w:i w:val="0"/>
          <w:lang w:val="en-GB"/>
        </w:rPr>
        <w:t xml:space="preserve"> </w:t>
      </w:r>
      <w:r w:rsidRPr="00CD59CC">
        <w:rPr>
          <w:rFonts w:ascii="Arial" w:hAnsi="Arial" w:cs="Arial"/>
          <w:i w:val="0"/>
          <w:lang w:val="en-GB"/>
        </w:rPr>
        <w:t>reject</w:t>
      </w:r>
      <w:r w:rsidR="007B7640" w:rsidRPr="00CD59CC">
        <w:rPr>
          <w:rFonts w:ascii="Arial" w:hAnsi="Arial" w:cs="Arial"/>
          <w:i w:val="0"/>
          <w:lang w:val="en-GB"/>
        </w:rPr>
        <w:t xml:space="preserve"> </w:t>
      </w:r>
      <w:r w:rsidRPr="00CD59CC">
        <w:rPr>
          <w:rFonts w:ascii="Arial" w:hAnsi="Arial" w:cs="Arial"/>
          <w:i w:val="0"/>
          <w:lang w:val="en-GB"/>
        </w:rPr>
        <w:t>them</w:t>
      </w:r>
      <w:r w:rsidR="007B7640" w:rsidRPr="00CD59CC">
        <w:rPr>
          <w:rFonts w:ascii="Arial" w:hAnsi="Arial" w:cs="Arial"/>
          <w:i w:val="0"/>
          <w:lang w:val="en-GB"/>
        </w:rPr>
        <w:t xml:space="preserve"> </w:t>
      </w:r>
      <w:r w:rsidRPr="00CD59CC">
        <w:rPr>
          <w:rFonts w:ascii="Arial" w:hAnsi="Arial" w:cs="Arial"/>
          <w:i w:val="0"/>
          <w:lang w:val="en-GB"/>
        </w:rPr>
        <w:t>because</w:t>
      </w:r>
      <w:r w:rsidR="007B7640" w:rsidRPr="00CD59CC">
        <w:rPr>
          <w:rFonts w:ascii="Arial" w:hAnsi="Arial" w:cs="Arial"/>
          <w:i w:val="0"/>
          <w:lang w:val="en-GB"/>
        </w:rPr>
        <w:t xml:space="preserve"> </w:t>
      </w:r>
      <w:r w:rsidRPr="00CD59CC">
        <w:rPr>
          <w:rFonts w:ascii="Arial" w:hAnsi="Arial" w:cs="Arial"/>
          <w:i w:val="0"/>
          <w:lang w:val="en-GB"/>
        </w:rPr>
        <w:t>they</w:t>
      </w:r>
      <w:r w:rsidR="007B7640" w:rsidRPr="00CD59CC">
        <w:rPr>
          <w:rFonts w:ascii="Arial" w:hAnsi="Arial" w:cs="Arial"/>
          <w:i w:val="0"/>
          <w:lang w:val="en-GB"/>
        </w:rPr>
        <w:t xml:space="preserve"> </w:t>
      </w:r>
      <w:r w:rsidRPr="00CD59CC">
        <w:rPr>
          <w:rFonts w:ascii="Arial" w:hAnsi="Arial" w:cs="Arial"/>
          <w:i w:val="0"/>
          <w:lang w:val="en-GB"/>
        </w:rPr>
        <w:t>need</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without</w:t>
      </w:r>
      <w:r w:rsidR="007B7640" w:rsidRPr="00CD59CC">
        <w:rPr>
          <w:rFonts w:ascii="Arial" w:hAnsi="Arial" w:cs="Arial"/>
          <w:i w:val="0"/>
          <w:lang w:val="en-GB"/>
        </w:rPr>
        <w:t xml:space="preserve"> </w:t>
      </w:r>
      <w:r w:rsidRPr="00CD59CC">
        <w:rPr>
          <w:rFonts w:ascii="Arial" w:hAnsi="Arial" w:cs="Arial"/>
          <w:i w:val="0"/>
          <w:lang w:val="en-GB"/>
        </w:rPr>
        <w:t>which</w:t>
      </w:r>
      <w:r w:rsidR="007B7640" w:rsidRPr="00CD59CC">
        <w:rPr>
          <w:rFonts w:ascii="Arial" w:hAnsi="Arial" w:cs="Arial"/>
          <w:i w:val="0"/>
          <w:lang w:val="en-GB"/>
        </w:rPr>
        <w:t xml:space="preserve"> </w:t>
      </w:r>
      <w:r w:rsidRPr="00CD59CC">
        <w:rPr>
          <w:rFonts w:ascii="Arial" w:hAnsi="Arial" w:cs="Arial"/>
          <w:i w:val="0"/>
          <w:lang w:val="en-GB"/>
        </w:rPr>
        <w:t>they</w:t>
      </w:r>
      <w:r w:rsidR="007B7640" w:rsidRPr="00CD59CC">
        <w:rPr>
          <w:rFonts w:ascii="Arial" w:hAnsi="Arial" w:cs="Arial"/>
          <w:i w:val="0"/>
          <w:lang w:val="en-GB"/>
        </w:rPr>
        <w:t xml:space="preserve"> </w:t>
      </w:r>
      <w:r w:rsidRPr="00CD59CC">
        <w:rPr>
          <w:rFonts w:ascii="Arial" w:hAnsi="Arial" w:cs="Arial"/>
          <w:i w:val="0"/>
          <w:lang w:val="en-GB"/>
        </w:rPr>
        <w:t>cannot</w:t>
      </w:r>
      <w:r w:rsidR="007B7640" w:rsidRPr="00CD59CC">
        <w:rPr>
          <w:rFonts w:ascii="Arial" w:hAnsi="Arial" w:cs="Arial"/>
          <w:i w:val="0"/>
          <w:lang w:val="en-GB"/>
        </w:rPr>
        <w:t xml:space="preserve"> </w:t>
      </w:r>
      <w:r w:rsidRPr="00CD59CC">
        <w:rPr>
          <w:rFonts w:ascii="Arial" w:hAnsi="Arial" w:cs="Arial"/>
          <w:i w:val="0"/>
          <w:lang w:val="en-GB"/>
        </w:rPr>
        <w:t>perform</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job,</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does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wish</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provide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law</w:t>
      </w:r>
      <w:r w:rsidR="007B7640" w:rsidRPr="00CD59CC">
        <w:rPr>
          <w:rFonts w:ascii="Arial" w:hAnsi="Arial" w:cs="Arial"/>
          <w:i w:val="0"/>
          <w:lang w:val="en-GB"/>
        </w:rPr>
        <w:t xml:space="preserve"> </w:t>
      </w:r>
      <w:r w:rsidRPr="00CD59CC">
        <w:rPr>
          <w:rFonts w:ascii="Arial" w:hAnsi="Arial" w:cs="Arial"/>
          <w:i w:val="0"/>
          <w:lang w:val="en-GB"/>
        </w:rPr>
        <w:t>definitely</w:t>
      </w:r>
      <w:r w:rsidR="007B7640" w:rsidRPr="00CD59CC">
        <w:rPr>
          <w:rFonts w:ascii="Arial" w:hAnsi="Arial" w:cs="Arial"/>
          <w:i w:val="0"/>
          <w:lang w:val="en-GB"/>
        </w:rPr>
        <w:t xml:space="preserve"> </w:t>
      </w:r>
      <w:r w:rsidRPr="00CD59CC">
        <w:rPr>
          <w:rFonts w:ascii="Arial" w:hAnsi="Arial" w:cs="Arial"/>
          <w:i w:val="0"/>
          <w:lang w:val="en-GB"/>
        </w:rPr>
        <w:t>does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regulate</w:t>
      </w:r>
      <w:r w:rsidR="007B7640" w:rsidRPr="00CD59CC">
        <w:rPr>
          <w:rFonts w:ascii="Arial" w:hAnsi="Arial" w:cs="Arial"/>
          <w:i w:val="0"/>
          <w:lang w:val="en-GB"/>
        </w:rPr>
        <w:t xml:space="preserve"> </w:t>
      </w:r>
      <w:r w:rsidRPr="00CD59CC">
        <w:rPr>
          <w:rFonts w:ascii="Arial" w:hAnsi="Arial" w:cs="Arial"/>
          <w:i w:val="0"/>
          <w:lang w:val="en-GB"/>
        </w:rPr>
        <w:t>whether</w:t>
      </w:r>
      <w:r w:rsidR="007B7640" w:rsidRPr="00CD59CC">
        <w:rPr>
          <w:rFonts w:ascii="Arial" w:hAnsi="Arial" w:cs="Arial"/>
          <w:i w:val="0"/>
          <w:lang w:val="en-GB"/>
        </w:rPr>
        <w:t xml:space="preserve"> </w:t>
      </w:r>
      <w:r w:rsidRPr="00CD59CC">
        <w:rPr>
          <w:rFonts w:ascii="Arial" w:hAnsi="Arial" w:cs="Arial"/>
          <w:i w:val="0"/>
          <w:lang w:val="en-GB"/>
        </w:rPr>
        <w:t>there</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limit</w:t>
      </w:r>
      <w:r w:rsidR="007B7640" w:rsidRPr="00CD59CC">
        <w:rPr>
          <w:rFonts w:ascii="Arial" w:hAnsi="Arial" w:cs="Arial"/>
          <w:i w:val="0"/>
          <w:lang w:val="en-GB"/>
        </w:rPr>
        <w:t xml:space="preserve"> </w:t>
      </w:r>
      <w:r w:rsidRPr="00CD59CC">
        <w:rPr>
          <w:rFonts w:ascii="Arial" w:hAnsi="Arial" w:cs="Arial"/>
          <w:i w:val="0"/>
          <w:lang w:val="en-GB"/>
        </w:rPr>
        <w:t>beyond</w:t>
      </w:r>
      <w:r w:rsidR="007B7640" w:rsidRPr="00CD59CC">
        <w:rPr>
          <w:rFonts w:ascii="Arial" w:hAnsi="Arial" w:cs="Arial"/>
          <w:i w:val="0"/>
          <w:lang w:val="en-GB"/>
        </w:rPr>
        <w:t xml:space="preserve"> </w:t>
      </w:r>
      <w:r w:rsidRPr="00CD59CC">
        <w:rPr>
          <w:rFonts w:ascii="Arial" w:hAnsi="Arial" w:cs="Arial"/>
          <w:i w:val="0"/>
          <w:lang w:val="en-GB"/>
        </w:rPr>
        <w:t>which</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could</w:t>
      </w:r>
      <w:r w:rsidR="007B7640" w:rsidRPr="00CD59CC">
        <w:rPr>
          <w:rFonts w:ascii="Arial" w:hAnsi="Arial" w:cs="Arial"/>
          <w:i w:val="0"/>
          <w:lang w:val="en-GB"/>
        </w:rPr>
        <w:t xml:space="preserve"> </w:t>
      </w:r>
      <w:r w:rsidRPr="00CD59CC">
        <w:rPr>
          <w:rFonts w:ascii="Arial" w:hAnsi="Arial" w:cs="Arial"/>
          <w:i w:val="0"/>
          <w:lang w:val="en-GB"/>
        </w:rPr>
        <w:t>refer</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disproportionate</w:t>
      </w:r>
      <w:r w:rsidR="007B7640" w:rsidRPr="00CD59CC">
        <w:rPr>
          <w:rFonts w:ascii="Arial" w:hAnsi="Arial" w:cs="Arial"/>
          <w:i w:val="0"/>
          <w:lang w:val="en-GB"/>
        </w:rPr>
        <w:t xml:space="preserve"> </w:t>
      </w:r>
      <w:r w:rsidRPr="00CD59CC">
        <w:rPr>
          <w:rFonts w:ascii="Arial" w:hAnsi="Arial" w:cs="Arial"/>
          <w:i w:val="0"/>
          <w:lang w:val="en-GB"/>
        </w:rPr>
        <w:t>burden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reject</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basis,</w:t>
      </w:r>
      <w:r w:rsidR="007B7640" w:rsidRPr="00CD59CC">
        <w:rPr>
          <w:rFonts w:ascii="Arial" w:hAnsi="Arial" w:cs="Arial"/>
          <w:i w:val="0"/>
          <w:lang w:val="en-GB"/>
        </w:rPr>
        <w:t xml:space="preserve"> </w:t>
      </w:r>
      <w:r w:rsidRPr="00CD59CC">
        <w:rPr>
          <w:rFonts w:ascii="Arial" w:hAnsi="Arial" w:cs="Arial"/>
          <w:i w:val="0"/>
          <w:lang w:val="en-GB"/>
        </w:rPr>
        <w:t>which</w:t>
      </w:r>
      <w:r w:rsidR="007B7640" w:rsidRPr="00CD59CC">
        <w:rPr>
          <w:rFonts w:ascii="Arial" w:hAnsi="Arial" w:cs="Arial"/>
          <w:i w:val="0"/>
          <w:lang w:val="en-GB"/>
        </w:rPr>
        <w:t xml:space="preserve"> </w:t>
      </w:r>
      <w:r w:rsidRPr="00CD59CC">
        <w:rPr>
          <w:rFonts w:ascii="Arial" w:hAnsi="Arial" w:cs="Arial"/>
          <w:i w:val="0"/>
          <w:lang w:val="en-GB"/>
        </w:rPr>
        <w:t>seems</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imply</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legislators</w:t>
      </w:r>
      <w:r w:rsidR="007B7640" w:rsidRPr="00CD59CC">
        <w:rPr>
          <w:rFonts w:ascii="Arial" w:hAnsi="Arial" w:cs="Arial"/>
          <w:i w:val="0"/>
          <w:lang w:val="en-GB"/>
        </w:rPr>
        <w:t xml:space="preserve"> </w:t>
      </w:r>
      <w:r w:rsidRPr="00CD59CC">
        <w:rPr>
          <w:rFonts w:ascii="Arial" w:hAnsi="Arial" w:cs="Arial"/>
          <w:i w:val="0"/>
          <w:lang w:val="en-GB"/>
        </w:rPr>
        <w:t>envisaged</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narrow</w:t>
      </w:r>
      <w:r w:rsidR="007B7640" w:rsidRPr="00CD59CC">
        <w:rPr>
          <w:rFonts w:ascii="Arial" w:hAnsi="Arial" w:cs="Arial"/>
          <w:i w:val="0"/>
          <w:lang w:val="en-GB"/>
        </w:rPr>
        <w:t xml:space="preserve"> </w:t>
      </w:r>
      <w:r w:rsidRPr="00CD59CC">
        <w:rPr>
          <w:rFonts w:ascii="Arial" w:hAnsi="Arial" w:cs="Arial"/>
          <w:i w:val="0"/>
          <w:lang w:val="en-GB"/>
        </w:rPr>
        <w:t>interpretation</w:t>
      </w:r>
      <w:r w:rsidR="007B7640" w:rsidRPr="00CD59CC">
        <w:rPr>
          <w:rFonts w:ascii="Arial" w:hAnsi="Arial" w:cs="Arial"/>
          <w:i w:val="0"/>
          <w:lang w:val="en-GB"/>
        </w:rPr>
        <w:t xml:space="preserve"> </w:t>
      </w:r>
      <w:r w:rsidRPr="00CD59CC">
        <w:rPr>
          <w:rFonts w:ascii="Arial" w:hAnsi="Arial" w:cs="Arial"/>
          <w:i w:val="0"/>
          <w:lang w:val="en-GB"/>
        </w:rPr>
        <w:t>(because</w:t>
      </w:r>
      <w:r w:rsidR="007B7640" w:rsidRPr="00CD59CC">
        <w:rPr>
          <w:rFonts w:ascii="Arial" w:hAnsi="Arial" w:cs="Arial"/>
          <w:i w:val="0"/>
          <w:lang w:val="en-GB"/>
        </w:rPr>
        <w:t xml:space="preserve"> </w:t>
      </w:r>
      <w:r w:rsidRPr="00CD59CC">
        <w:rPr>
          <w:rFonts w:ascii="Arial" w:hAnsi="Arial" w:cs="Arial"/>
          <w:i w:val="0"/>
          <w:lang w:val="en-GB"/>
        </w:rPr>
        <w:t>otherwise</w:t>
      </w:r>
      <w:r w:rsidR="007B7640" w:rsidRPr="00CD59CC">
        <w:rPr>
          <w:rFonts w:ascii="Arial" w:hAnsi="Arial" w:cs="Arial"/>
          <w:i w:val="0"/>
          <w:lang w:val="en-GB"/>
        </w:rPr>
        <w:t xml:space="preserve"> </w:t>
      </w:r>
      <w:r w:rsidRPr="00CD59CC">
        <w:rPr>
          <w:rFonts w:ascii="Arial" w:hAnsi="Arial" w:cs="Arial"/>
          <w:i w:val="0"/>
          <w:lang w:val="en-GB"/>
        </w:rPr>
        <w:t>we</w:t>
      </w:r>
      <w:r w:rsidR="007B7640" w:rsidRPr="00CD59CC">
        <w:rPr>
          <w:rFonts w:ascii="Arial" w:hAnsi="Arial" w:cs="Arial"/>
          <w:i w:val="0"/>
          <w:lang w:val="en-GB"/>
        </w:rPr>
        <w:t xml:space="preserve"> </w:t>
      </w:r>
      <w:r w:rsidRPr="00CD59CC">
        <w:rPr>
          <w:rFonts w:ascii="Arial" w:hAnsi="Arial" w:cs="Arial"/>
          <w:i w:val="0"/>
          <w:lang w:val="en-GB"/>
        </w:rPr>
        <w:t>would</w:t>
      </w:r>
      <w:r w:rsidR="007B7640" w:rsidRPr="00CD59CC">
        <w:rPr>
          <w:rFonts w:ascii="Arial" w:hAnsi="Arial" w:cs="Arial"/>
          <w:i w:val="0"/>
          <w:lang w:val="en-GB"/>
        </w:rPr>
        <w:t xml:space="preserve"> </w:t>
      </w:r>
      <w:r w:rsidRPr="00CD59CC">
        <w:rPr>
          <w:rFonts w:ascii="Arial" w:hAnsi="Arial" w:cs="Arial"/>
          <w:i w:val="0"/>
          <w:lang w:val="en-GB"/>
        </w:rPr>
        <w:t>have</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situation</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which</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employers</w:t>
      </w:r>
      <w:r w:rsidR="007B7640" w:rsidRPr="00CD59CC">
        <w:rPr>
          <w:rFonts w:ascii="Arial" w:hAnsi="Arial" w:cs="Arial"/>
          <w:i w:val="0"/>
          <w:lang w:val="en-GB"/>
        </w:rPr>
        <w:t xml:space="preserve"> </w:t>
      </w:r>
      <w:r w:rsidRPr="00CD59CC">
        <w:rPr>
          <w:rFonts w:ascii="Arial" w:hAnsi="Arial" w:cs="Arial"/>
          <w:i w:val="0"/>
          <w:lang w:val="en-GB"/>
        </w:rPr>
        <w:t>could</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required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make</w:t>
      </w:r>
      <w:r w:rsidR="007B7640" w:rsidRPr="00CD59CC">
        <w:rPr>
          <w:rFonts w:ascii="Arial" w:hAnsi="Arial" w:cs="Arial"/>
          <w:i w:val="0"/>
          <w:lang w:val="en-GB"/>
        </w:rPr>
        <w:t xml:space="preserve"> </w:t>
      </w:r>
      <w:r w:rsidRPr="00CD59CC">
        <w:rPr>
          <w:rFonts w:ascii="Arial" w:hAnsi="Arial" w:cs="Arial"/>
          <w:i w:val="0"/>
          <w:lang w:val="en-GB"/>
        </w:rPr>
        <w:t>any</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irrespective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burden</w:t>
      </w:r>
      <w:r w:rsidR="007B7640" w:rsidRPr="00CD59CC">
        <w:rPr>
          <w:rFonts w:ascii="Arial" w:hAnsi="Arial" w:cs="Arial"/>
          <w:i w:val="0"/>
          <w:lang w:val="en-GB"/>
        </w:rPr>
        <w:t xml:space="preserve"> </w:t>
      </w:r>
      <w:r w:rsidRPr="00CD59CC">
        <w:rPr>
          <w:rFonts w:ascii="Arial" w:hAnsi="Arial" w:cs="Arial"/>
          <w:i w:val="0"/>
          <w:lang w:val="en-GB"/>
        </w:rPr>
        <w:t>it</w:t>
      </w:r>
      <w:r w:rsidR="007B7640" w:rsidRPr="00CD59CC">
        <w:rPr>
          <w:rFonts w:ascii="Arial" w:hAnsi="Arial" w:cs="Arial"/>
          <w:i w:val="0"/>
          <w:lang w:val="en-GB"/>
        </w:rPr>
        <w:t xml:space="preserve"> </w:t>
      </w:r>
      <w:r w:rsidRPr="00CD59CC">
        <w:rPr>
          <w:rFonts w:ascii="Arial" w:hAnsi="Arial" w:cs="Arial"/>
          <w:i w:val="0"/>
          <w:lang w:val="en-GB"/>
        </w:rPr>
        <w:t>poses</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them).</w:t>
      </w:r>
    </w:p>
    <w:p w14:paraId="5557B529" w14:textId="77777777" w:rsidR="003870FA" w:rsidRPr="00CD59CC" w:rsidRDefault="003870FA" w:rsidP="00CD59CC">
      <w:pPr>
        <w:pStyle w:val="BodyText"/>
        <w:rPr>
          <w:rFonts w:ascii="Arial" w:hAnsi="Arial" w:cs="Arial"/>
          <w:lang w:val="en-GB"/>
        </w:rPr>
      </w:pPr>
    </w:p>
    <w:p w14:paraId="20CDC2BC"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2010</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then</w:t>
      </w:r>
      <w:r w:rsidR="007B7640" w:rsidRPr="00CD59CC">
        <w:rPr>
          <w:rFonts w:ascii="Arial" w:hAnsi="Arial" w:cs="Arial"/>
          <w:i w:val="0"/>
          <w:lang w:val="en-GB"/>
        </w:rPr>
        <w:t xml:space="preserve"> </w:t>
      </w:r>
      <w:r w:rsidRPr="00CD59CC">
        <w:rPr>
          <w:rFonts w:ascii="Arial" w:hAnsi="Arial" w:cs="Arial"/>
          <w:i w:val="0"/>
          <w:lang w:val="en-GB"/>
        </w:rPr>
        <w:t>Ministry</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Social</w:t>
      </w:r>
      <w:r w:rsidR="007B7640" w:rsidRPr="00CD59CC">
        <w:rPr>
          <w:rFonts w:ascii="Arial" w:hAnsi="Arial" w:cs="Arial"/>
          <w:i w:val="0"/>
          <w:lang w:val="en-GB"/>
        </w:rPr>
        <w:t xml:space="preserve"> </w:t>
      </w:r>
      <w:r w:rsidRPr="00CD59CC">
        <w:rPr>
          <w:rFonts w:ascii="Arial" w:hAnsi="Arial" w:cs="Arial"/>
          <w:i w:val="0"/>
          <w:lang w:val="en-GB"/>
        </w:rPr>
        <w:t>Affairs</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Labour</w:t>
      </w:r>
      <w:r w:rsidR="007B7640" w:rsidRPr="00CD59CC">
        <w:rPr>
          <w:rFonts w:ascii="Arial" w:hAnsi="Arial" w:cs="Arial"/>
          <w:i w:val="0"/>
          <w:lang w:val="en-GB"/>
        </w:rPr>
        <w:t xml:space="preserve"> </w:t>
      </w:r>
      <w:r w:rsidRPr="00CD59CC">
        <w:rPr>
          <w:rFonts w:ascii="Arial" w:hAnsi="Arial" w:cs="Arial"/>
          <w:i w:val="0"/>
          <w:lang w:val="en-GB"/>
        </w:rPr>
        <w:t>claimed</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their</w:t>
      </w:r>
      <w:r w:rsidR="007B7640" w:rsidRPr="00CD59CC">
        <w:rPr>
          <w:rFonts w:ascii="Arial" w:hAnsi="Arial" w:cs="Arial"/>
          <w:i w:val="0"/>
          <w:lang w:val="en-GB"/>
        </w:rPr>
        <w:t xml:space="preserve"> </w:t>
      </w:r>
      <w:r w:rsidRPr="00CD59CC">
        <w:rPr>
          <w:rFonts w:ascii="Arial" w:hAnsi="Arial" w:cs="Arial"/>
          <w:i w:val="0"/>
          <w:lang w:val="en-GB"/>
        </w:rPr>
        <w:t>view</w:t>
      </w:r>
      <w:r w:rsidR="007B7640" w:rsidRPr="00CD59CC">
        <w:rPr>
          <w:rFonts w:ascii="Arial" w:hAnsi="Arial" w:cs="Arial"/>
          <w:i w:val="0"/>
          <w:lang w:val="en-GB"/>
        </w:rPr>
        <w:t xml:space="preserve"> </w:t>
      </w:r>
      <w:r w:rsidRPr="00CD59CC">
        <w:rPr>
          <w:rFonts w:ascii="Arial" w:hAnsi="Arial" w:cs="Arial"/>
          <w:i w:val="0"/>
          <w:lang w:val="en-GB"/>
        </w:rPr>
        <w:t>Article</w:t>
      </w:r>
      <w:r w:rsidR="007B7640" w:rsidRPr="00CD59CC">
        <w:rPr>
          <w:rFonts w:ascii="Arial" w:hAnsi="Arial" w:cs="Arial"/>
          <w:i w:val="0"/>
          <w:lang w:val="en-GB"/>
        </w:rPr>
        <w:t xml:space="preserve"> </w:t>
      </w:r>
      <w:r w:rsidRPr="00CD59CC">
        <w:rPr>
          <w:rFonts w:ascii="Arial" w:hAnsi="Arial" w:cs="Arial"/>
          <w:i w:val="0"/>
          <w:lang w:val="en-GB"/>
        </w:rPr>
        <w:t>15</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RPD</w:t>
      </w:r>
      <w:r w:rsidR="007B7640" w:rsidRPr="00CD59CC">
        <w:rPr>
          <w:rFonts w:ascii="Arial" w:hAnsi="Arial" w:cs="Arial"/>
          <w:i w:val="0"/>
          <w:lang w:val="en-GB"/>
        </w:rPr>
        <w:t xml:space="preserve"> </w:t>
      </w:r>
      <w:r w:rsidRPr="00CD59CC">
        <w:rPr>
          <w:rFonts w:ascii="Arial" w:hAnsi="Arial" w:cs="Arial"/>
          <w:i w:val="0"/>
          <w:lang w:val="en-GB"/>
        </w:rPr>
        <w:t>Act</w:t>
      </w:r>
      <w:r w:rsidR="007B7640" w:rsidRPr="00CD59CC">
        <w:rPr>
          <w:rFonts w:ascii="Arial" w:hAnsi="Arial" w:cs="Arial"/>
          <w:i w:val="0"/>
          <w:lang w:val="en-GB"/>
        </w:rPr>
        <w:t xml:space="preserve"> </w:t>
      </w:r>
      <w:r w:rsidRPr="00CD59CC">
        <w:rPr>
          <w:rFonts w:ascii="Arial" w:hAnsi="Arial" w:cs="Arial"/>
          <w:i w:val="0"/>
          <w:lang w:val="en-GB"/>
        </w:rPr>
        <w:t>imposes</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duty</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relation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all</w:t>
      </w:r>
      <w:r w:rsidR="007B7640" w:rsidRPr="00CD59CC">
        <w:rPr>
          <w:rFonts w:ascii="Arial" w:hAnsi="Arial" w:cs="Arial"/>
          <w:i w:val="0"/>
          <w:lang w:val="en-GB"/>
        </w:rPr>
        <w:t xml:space="preserve"> </w:t>
      </w:r>
      <w:r w:rsidRPr="00CD59CC">
        <w:rPr>
          <w:rFonts w:ascii="Arial" w:hAnsi="Arial" w:cs="Arial"/>
          <w:i w:val="0"/>
          <w:lang w:val="en-GB"/>
        </w:rPr>
        <w:t>aspects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access</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p>
    <w:p w14:paraId="10B45BCD" w14:textId="77777777" w:rsidR="003870FA" w:rsidRPr="00CD59CC" w:rsidRDefault="003870FA" w:rsidP="00CD59CC">
      <w:pPr>
        <w:pStyle w:val="BodyText"/>
        <w:rPr>
          <w:rFonts w:ascii="Arial" w:hAnsi="Arial" w:cs="Arial"/>
          <w:i w:val="0"/>
          <w:lang w:val="en-GB"/>
        </w:rPr>
      </w:pPr>
    </w:p>
    <w:p w14:paraId="72326F1B"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Organisations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disabled</w:t>
      </w:r>
      <w:r w:rsidR="007B7640" w:rsidRPr="00CD59CC">
        <w:rPr>
          <w:rFonts w:ascii="Arial" w:hAnsi="Arial" w:cs="Arial"/>
          <w:i w:val="0"/>
          <w:lang w:val="en-GB"/>
        </w:rPr>
        <w:t xml:space="preserve"> </w:t>
      </w:r>
      <w:r w:rsidRPr="00CD59CC">
        <w:rPr>
          <w:rFonts w:ascii="Arial" w:hAnsi="Arial" w:cs="Arial"/>
          <w:i w:val="0"/>
          <w:lang w:val="en-GB"/>
        </w:rPr>
        <w:t>persons</w:t>
      </w:r>
      <w:r w:rsidR="007B7640" w:rsidRPr="00CD59CC">
        <w:rPr>
          <w:rFonts w:ascii="Arial" w:hAnsi="Arial" w:cs="Arial"/>
          <w:i w:val="0"/>
          <w:lang w:val="en-GB"/>
        </w:rPr>
        <w:t xml:space="preserve"> </w:t>
      </w:r>
      <w:r w:rsidRPr="00CD59CC">
        <w:rPr>
          <w:rFonts w:ascii="Arial" w:hAnsi="Arial" w:cs="Arial"/>
          <w:i w:val="0"/>
          <w:lang w:val="en-GB"/>
        </w:rPr>
        <w:t>are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different</w:t>
      </w:r>
      <w:r w:rsidR="007B7640" w:rsidRPr="00CD59CC">
        <w:rPr>
          <w:rFonts w:ascii="Arial" w:hAnsi="Arial" w:cs="Arial"/>
          <w:i w:val="0"/>
          <w:lang w:val="en-GB"/>
        </w:rPr>
        <w:t xml:space="preserve"> </w:t>
      </w:r>
      <w:r w:rsidRPr="00CD59CC">
        <w:rPr>
          <w:rFonts w:ascii="Arial" w:hAnsi="Arial" w:cs="Arial"/>
          <w:i w:val="0"/>
          <w:lang w:val="en-GB"/>
        </w:rPr>
        <w:t>view</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share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doubts</w:t>
      </w:r>
      <w:r w:rsidR="007B7640" w:rsidRPr="00CD59CC">
        <w:rPr>
          <w:rFonts w:ascii="Arial" w:hAnsi="Arial" w:cs="Arial"/>
          <w:i w:val="0"/>
          <w:lang w:val="en-GB"/>
        </w:rPr>
        <w:t xml:space="preserve"> </w:t>
      </w:r>
      <w:r w:rsidRPr="00CD59CC">
        <w:rPr>
          <w:rFonts w:ascii="Arial" w:hAnsi="Arial" w:cs="Arial"/>
          <w:i w:val="0"/>
          <w:lang w:val="en-GB"/>
        </w:rPr>
        <w:t>concerning</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proper</w:t>
      </w:r>
      <w:r w:rsidR="007B7640" w:rsidRPr="00CD59CC">
        <w:rPr>
          <w:rFonts w:ascii="Arial" w:hAnsi="Arial" w:cs="Arial"/>
          <w:i w:val="0"/>
          <w:lang w:val="en-GB"/>
        </w:rPr>
        <w:t xml:space="preserve"> </w:t>
      </w:r>
      <w:r w:rsidRPr="00CD59CC">
        <w:rPr>
          <w:rFonts w:ascii="Arial" w:hAnsi="Arial" w:cs="Arial"/>
          <w:i w:val="0"/>
          <w:lang w:val="en-GB"/>
        </w:rPr>
        <w:t>transposition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August</w:t>
      </w:r>
      <w:r w:rsidR="007B7640" w:rsidRPr="00CD59CC">
        <w:rPr>
          <w:rFonts w:ascii="Arial" w:hAnsi="Arial" w:cs="Arial"/>
          <w:i w:val="0"/>
          <w:lang w:val="en-GB"/>
        </w:rPr>
        <w:t xml:space="preserve"> </w:t>
      </w:r>
      <w:r w:rsidRPr="00CD59CC">
        <w:rPr>
          <w:rFonts w:ascii="Arial" w:hAnsi="Arial" w:cs="Arial"/>
          <w:i w:val="0"/>
          <w:lang w:val="en-GB"/>
        </w:rPr>
        <w:t>2009,</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National</w:t>
      </w:r>
      <w:r w:rsidR="007B7640" w:rsidRPr="00CD59CC">
        <w:rPr>
          <w:rFonts w:ascii="Arial" w:hAnsi="Arial" w:cs="Arial"/>
          <w:i w:val="0"/>
          <w:lang w:val="en-GB"/>
        </w:rPr>
        <w:t xml:space="preserve"> </w:t>
      </w:r>
      <w:r w:rsidRPr="00CD59CC">
        <w:rPr>
          <w:rFonts w:ascii="Arial" w:hAnsi="Arial" w:cs="Arial"/>
          <w:i w:val="0"/>
          <w:lang w:val="en-GB"/>
        </w:rPr>
        <w:t>Federation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Disabled</w:t>
      </w:r>
      <w:r w:rsidR="007B7640" w:rsidRPr="00CD59CC">
        <w:rPr>
          <w:rFonts w:ascii="Arial" w:hAnsi="Arial" w:cs="Arial"/>
          <w:i w:val="0"/>
          <w:lang w:val="en-GB"/>
        </w:rPr>
        <w:t xml:space="preserve"> </w:t>
      </w:r>
      <w:r w:rsidRPr="00CD59CC">
        <w:rPr>
          <w:rFonts w:ascii="Arial" w:hAnsi="Arial" w:cs="Arial"/>
          <w:i w:val="0"/>
          <w:lang w:val="en-GB"/>
        </w:rPr>
        <w:t>Persons'</w:t>
      </w:r>
      <w:r w:rsidR="007B7640" w:rsidRPr="00CD59CC">
        <w:rPr>
          <w:rFonts w:ascii="Arial" w:hAnsi="Arial" w:cs="Arial"/>
          <w:i w:val="0"/>
          <w:lang w:val="en-GB"/>
        </w:rPr>
        <w:t xml:space="preserve"> </w:t>
      </w:r>
      <w:r w:rsidRPr="00CD59CC">
        <w:rPr>
          <w:rFonts w:ascii="Arial" w:hAnsi="Arial" w:cs="Arial"/>
          <w:i w:val="0"/>
          <w:lang w:val="en-GB"/>
        </w:rPr>
        <w:t>Associations</w:t>
      </w:r>
      <w:r w:rsidR="007B7640" w:rsidRPr="00CD59CC">
        <w:rPr>
          <w:rFonts w:ascii="Arial" w:hAnsi="Arial" w:cs="Arial"/>
          <w:i w:val="0"/>
          <w:lang w:val="en-GB"/>
        </w:rPr>
        <w:t xml:space="preserve"> </w:t>
      </w:r>
      <w:r w:rsidRPr="00CD59CC">
        <w:rPr>
          <w:rFonts w:ascii="Arial" w:hAnsi="Arial" w:cs="Arial"/>
          <w:i w:val="0"/>
          <w:lang w:val="en-GB"/>
        </w:rPr>
        <w:t>turned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Equal</w:t>
      </w:r>
      <w:r w:rsidR="007B7640" w:rsidRPr="00CD59CC">
        <w:rPr>
          <w:rFonts w:ascii="Arial" w:hAnsi="Arial" w:cs="Arial"/>
          <w:i w:val="0"/>
          <w:lang w:val="en-GB"/>
        </w:rPr>
        <w:t xml:space="preserve"> </w:t>
      </w:r>
      <w:r w:rsidRPr="00CD59CC">
        <w:rPr>
          <w:rFonts w:ascii="Arial" w:hAnsi="Arial" w:cs="Arial"/>
          <w:i w:val="0"/>
          <w:lang w:val="en-GB"/>
        </w:rPr>
        <w:t>Treatment</w:t>
      </w:r>
      <w:r w:rsidR="007B7640" w:rsidRPr="00CD59CC">
        <w:rPr>
          <w:rFonts w:ascii="Arial" w:hAnsi="Arial" w:cs="Arial"/>
          <w:i w:val="0"/>
          <w:lang w:val="en-GB"/>
        </w:rPr>
        <w:t xml:space="preserve"> </w:t>
      </w:r>
      <w:r w:rsidRPr="00CD59CC">
        <w:rPr>
          <w:rFonts w:ascii="Arial" w:hAnsi="Arial" w:cs="Arial"/>
          <w:i w:val="0"/>
          <w:lang w:val="en-GB"/>
        </w:rPr>
        <w:t>Authority</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requested</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using</w:t>
      </w:r>
      <w:r w:rsidR="007B7640" w:rsidRPr="00CD59CC">
        <w:rPr>
          <w:rFonts w:ascii="Arial" w:hAnsi="Arial" w:cs="Arial"/>
          <w:i w:val="0"/>
          <w:lang w:val="en-GB"/>
        </w:rPr>
        <w:t xml:space="preserve"> </w:t>
      </w:r>
      <w:r w:rsidRPr="00CD59CC">
        <w:rPr>
          <w:rFonts w:ascii="Arial" w:hAnsi="Arial" w:cs="Arial"/>
          <w:i w:val="0"/>
          <w:lang w:val="en-GB"/>
        </w:rPr>
        <w:t>its</w:t>
      </w:r>
      <w:r w:rsidR="007B7640" w:rsidRPr="00CD59CC">
        <w:rPr>
          <w:rFonts w:ascii="Arial" w:hAnsi="Arial" w:cs="Arial"/>
          <w:i w:val="0"/>
          <w:lang w:val="en-GB"/>
        </w:rPr>
        <w:t xml:space="preserve"> </w:t>
      </w:r>
      <w:r w:rsidRPr="00CD59CC">
        <w:rPr>
          <w:rFonts w:ascii="Arial" w:hAnsi="Arial" w:cs="Arial"/>
          <w:i w:val="0"/>
          <w:lang w:val="en-GB"/>
        </w:rPr>
        <w:t>statutory</w:t>
      </w:r>
      <w:r w:rsidR="007B7640" w:rsidRPr="00CD59CC">
        <w:rPr>
          <w:rFonts w:ascii="Arial" w:hAnsi="Arial" w:cs="Arial"/>
          <w:i w:val="0"/>
          <w:lang w:val="en-GB"/>
        </w:rPr>
        <w:t xml:space="preserve"> </w:t>
      </w:r>
      <w:r w:rsidRPr="00CD59CC">
        <w:rPr>
          <w:rFonts w:ascii="Arial" w:hAnsi="Arial" w:cs="Arial"/>
          <w:i w:val="0"/>
          <w:lang w:val="en-GB"/>
        </w:rPr>
        <w:t>right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Authority</w:t>
      </w:r>
      <w:r w:rsidR="007B7640" w:rsidRPr="00CD59CC">
        <w:rPr>
          <w:rFonts w:ascii="Arial" w:hAnsi="Arial" w:cs="Arial"/>
          <w:i w:val="0"/>
          <w:lang w:val="en-GB"/>
        </w:rPr>
        <w:t xml:space="preserve"> </w:t>
      </w:r>
      <w:r w:rsidRPr="00CD59CC">
        <w:rPr>
          <w:rFonts w:ascii="Arial" w:hAnsi="Arial" w:cs="Arial"/>
          <w:i w:val="0"/>
          <w:lang w:val="en-GB"/>
        </w:rPr>
        <w:t>together</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its</w:t>
      </w:r>
      <w:r w:rsidR="007B7640" w:rsidRPr="00CD59CC">
        <w:rPr>
          <w:rFonts w:ascii="Arial" w:hAnsi="Arial" w:cs="Arial"/>
          <w:i w:val="0"/>
          <w:lang w:val="en-GB"/>
        </w:rPr>
        <w:t xml:space="preserve"> </w:t>
      </w:r>
      <w:r w:rsidRPr="00CD59CC">
        <w:rPr>
          <w:rFonts w:ascii="Arial" w:hAnsi="Arial" w:cs="Arial"/>
          <w:i w:val="0"/>
          <w:lang w:val="en-GB"/>
        </w:rPr>
        <w:t>Advisory</w:t>
      </w:r>
      <w:r w:rsidR="007B7640" w:rsidRPr="00CD59CC">
        <w:rPr>
          <w:rFonts w:ascii="Arial" w:hAnsi="Arial" w:cs="Arial"/>
          <w:i w:val="0"/>
          <w:lang w:val="en-GB"/>
        </w:rPr>
        <w:t xml:space="preserve"> </w:t>
      </w:r>
      <w:r w:rsidRPr="00CD59CC">
        <w:rPr>
          <w:rFonts w:ascii="Arial" w:hAnsi="Arial" w:cs="Arial"/>
          <w:i w:val="0"/>
          <w:lang w:val="en-GB"/>
        </w:rPr>
        <w:t>Board</w:t>
      </w:r>
      <w:r w:rsidR="007B7640" w:rsidRPr="00CD59CC">
        <w:rPr>
          <w:rFonts w:ascii="Arial" w:hAnsi="Arial" w:cs="Arial"/>
          <w:i w:val="0"/>
          <w:lang w:val="en-GB"/>
        </w:rPr>
        <w:t xml:space="preserve"> </w:t>
      </w:r>
      <w:r w:rsidRPr="00CD59CC">
        <w:rPr>
          <w:rFonts w:ascii="Arial" w:hAnsi="Arial" w:cs="Arial"/>
          <w:i w:val="0"/>
          <w:lang w:val="en-GB"/>
        </w:rPr>
        <w:t>initiate</w:t>
      </w:r>
      <w:r w:rsidR="007B7640" w:rsidRPr="00CD59CC">
        <w:rPr>
          <w:rFonts w:ascii="Arial" w:hAnsi="Arial" w:cs="Arial"/>
          <w:i w:val="0"/>
          <w:lang w:val="en-GB"/>
        </w:rPr>
        <w:t xml:space="preserve"> </w:t>
      </w:r>
      <w:r w:rsidRPr="00CD59CC">
        <w:rPr>
          <w:rFonts w:ascii="Arial" w:hAnsi="Arial" w:cs="Arial"/>
          <w:i w:val="0"/>
          <w:lang w:val="en-GB"/>
        </w:rPr>
        <w:t>legal</w:t>
      </w:r>
      <w:r w:rsidR="007B7640" w:rsidRPr="00CD59CC">
        <w:rPr>
          <w:rFonts w:ascii="Arial" w:hAnsi="Arial" w:cs="Arial"/>
          <w:i w:val="0"/>
          <w:lang w:val="en-GB"/>
        </w:rPr>
        <w:t xml:space="preserve"> </w:t>
      </w:r>
      <w:r w:rsidRPr="00CD59CC">
        <w:rPr>
          <w:rFonts w:ascii="Arial" w:hAnsi="Arial" w:cs="Arial"/>
          <w:i w:val="0"/>
          <w:lang w:val="en-GB"/>
        </w:rPr>
        <w:t>amendments</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order</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introduce</w:t>
      </w:r>
      <w:r w:rsidR="007B7640" w:rsidRPr="00CD59CC">
        <w:rPr>
          <w:rFonts w:ascii="Arial" w:hAnsi="Arial" w:cs="Arial"/>
          <w:i w:val="0"/>
          <w:lang w:val="en-GB"/>
        </w:rPr>
        <w:t xml:space="preserve"> </w:t>
      </w:r>
      <w:r w:rsidRPr="00CD59CC">
        <w:rPr>
          <w:rFonts w:ascii="Arial" w:hAnsi="Arial" w:cs="Arial"/>
          <w:i w:val="0"/>
          <w:lang w:val="en-GB"/>
        </w:rPr>
        <w:t>into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Hungarian</w:t>
      </w:r>
      <w:r w:rsidR="007B7640" w:rsidRPr="00CD59CC">
        <w:rPr>
          <w:rFonts w:ascii="Arial" w:hAnsi="Arial" w:cs="Arial"/>
          <w:i w:val="0"/>
          <w:lang w:val="en-GB"/>
        </w:rPr>
        <w:t xml:space="preserve"> </w:t>
      </w:r>
      <w:r w:rsidRPr="00CD59CC">
        <w:rPr>
          <w:rFonts w:ascii="Arial" w:hAnsi="Arial" w:cs="Arial"/>
          <w:i w:val="0"/>
          <w:lang w:val="en-GB"/>
        </w:rPr>
        <w:t>legal</w:t>
      </w:r>
      <w:r w:rsidR="007B7640" w:rsidRPr="00CD59CC">
        <w:rPr>
          <w:rFonts w:ascii="Arial" w:hAnsi="Arial" w:cs="Arial"/>
          <w:i w:val="0"/>
          <w:lang w:val="en-GB"/>
        </w:rPr>
        <w:t xml:space="preserve"> </w:t>
      </w:r>
      <w:r w:rsidRPr="00CD59CC">
        <w:rPr>
          <w:rFonts w:ascii="Arial" w:hAnsi="Arial" w:cs="Arial"/>
          <w:i w:val="0"/>
          <w:lang w:val="en-GB"/>
        </w:rPr>
        <w:t>system</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either</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relation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or</w:t>
      </w:r>
      <w:r w:rsidR="007B7640" w:rsidRPr="00CD59CC">
        <w:rPr>
          <w:rFonts w:ascii="Arial" w:hAnsi="Arial" w:cs="Arial"/>
          <w:i w:val="0"/>
          <w:lang w:val="en-GB"/>
        </w:rPr>
        <w:t xml:space="preserve"> </w:t>
      </w:r>
      <w:r w:rsidRPr="00CD59CC">
        <w:rPr>
          <w:rFonts w:ascii="Arial" w:hAnsi="Arial" w:cs="Arial"/>
          <w:i w:val="0"/>
          <w:lang w:val="en-GB"/>
        </w:rPr>
        <w:t>preferably</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general</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scope</w:t>
      </w:r>
      <w:r w:rsidR="007B7640" w:rsidRPr="00CD59CC">
        <w:rPr>
          <w:rFonts w:ascii="Arial" w:hAnsi="Arial" w:cs="Arial"/>
          <w:i w:val="0"/>
          <w:lang w:val="en-GB"/>
        </w:rPr>
        <w:t xml:space="preserve"> </w:t>
      </w:r>
      <w:r w:rsidRPr="00CD59CC">
        <w:rPr>
          <w:rFonts w:ascii="Arial" w:hAnsi="Arial" w:cs="Arial"/>
          <w:i w:val="0"/>
          <w:lang w:val="en-GB"/>
        </w:rPr>
        <w:t>outside</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well).</w:t>
      </w:r>
      <w:r w:rsidR="007B7640" w:rsidRPr="00CD59CC">
        <w:rPr>
          <w:rFonts w:ascii="Arial" w:hAnsi="Arial" w:cs="Arial"/>
          <w:i w:val="0"/>
          <w:lang w:val="en-GB"/>
        </w:rPr>
        <w:t xml:space="preserve"> </w:t>
      </w:r>
    </w:p>
    <w:p w14:paraId="13DD6263" w14:textId="77777777" w:rsidR="003870FA" w:rsidRPr="00CD59CC" w:rsidRDefault="003870FA" w:rsidP="00CD59CC">
      <w:pPr>
        <w:pStyle w:val="BodyText"/>
        <w:rPr>
          <w:rFonts w:ascii="Arial" w:hAnsi="Arial" w:cs="Arial"/>
          <w:i w:val="0"/>
          <w:lang w:val="en-GB"/>
        </w:rPr>
      </w:pPr>
    </w:p>
    <w:p w14:paraId="2F1421F2"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23</w:t>
      </w:r>
      <w:r w:rsidR="007B7640" w:rsidRPr="00CD59CC">
        <w:rPr>
          <w:rFonts w:ascii="Arial" w:hAnsi="Arial" w:cs="Arial"/>
          <w:i w:val="0"/>
          <w:lang w:val="en-GB"/>
        </w:rPr>
        <w:t xml:space="preserve"> </w:t>
      </w:r>
      <w:r w:rsidRPr="00CD59CC">
        <w:rPr>
          <w:rFonts w:ascii="Arial" w:hAnsi="Arial" w:cs="Arial"/>
          <w:i w:val="0"/>
          <w:lang w:val="en-GB"/>
        </w:rPr>
        <w:t>November</w:t>
      </w:r>
      <w:r w:rsidR="007B7640" w:rsidRPr="00CD59CC">
        <w:rPr>
          <w:rFonts w:ascii="Arial" w:hAnsi="Arial" w:cs="Arial"/>
          <w:i w:val="0"/>
          <w:lang w:val="en-GB"/>
        </w:rPr>
        <w:t xml:space="preserve"> </w:t>
      </w:r>
      <w:r w:rsidRPr="00CD59CC">
        <w:rPr>
          <w:rFonts w:ascii="Arial" w:hAnsi="Arial" w:cs="Arial"/>
          <w:i w:val="0"/>
          <w:lang w:val="en-GB"/>
        </w:rPr>
        <w:t>2009,</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Equal</w:t>
      </w:r>
      <w:r w:rsidR="007B7640" w:rsidRPr="00CD59CC">
        <w:rPr>
          <w:rFonts w:ascii="Arial" w:hAnsi="Arial" w:cs="Arial"/>
          <w:i w:val="0"/>
          <w:lang w:val="en-GB"/>
        </w:rPr>
        <w:t xml:space="preserve"> </w:t>
      </w:r>
      <w:r w:rsidRPr="00CD59CC">
        <w:rPr>
          <w:rFonts w:ascii="Arial" w:hAnsi="Arial" w:cs="Arial"/>
          <w:i w:val="0"/>
          <w:lang w:val="en-GB"/>
        </w:rPr>
        <w:t>Treatment</w:t>
      </w:r>
      <w:r w:rsidR="007B7640" w:rsidRPr="00CD59CC">
        <w:rPr>
          <w:rFonts w:ascii="Arial" w:hAnsi="Arial" w:cs="Arial"/>
          <w:i w:val="0"/>
          <w:lang w:val="en-GB"/>
        </w:rPr>
        <w:t xml:space="preserve"> </w:t>
      </w:r>
      <w:r w:rsidRPr="00CD59CC">
        <w:rPr>
          <w:rFonts w:ascii="Arial" w:hAnsi="Arial" w:cs="Arial"/>
          <w:i w:val="0"/>
          <w:lang w:val="en-GB"/>
        </w:rPr>
        <w:t>Advisory</w:t>
      </w:r>
      <w:r w:rsidR="007B7640" w:rsidRPr="00CD59CC">
        <w:rPr>
          <w:rFonts w:ascii="Arial" w:hAnsi="Arial" w:cs="Arial"/>
          <w:i w:val="0"/>
          <w:lang w:val="en-GB"/>
        </w:rPr>
        <w:t xml:space="preserve"> </w:t>
      </w:r>
      <w:r w:rsidRPr="00CD59CC">
        <w:rPr>
          <w:rFonts w:ascii="Arial" w:hAnsi="Arial" w:cs="Arial"/>
          <w:i w:val="0"/>
          <w:lang w:val="en-GB"/>
        </w:rPr>
        <w:t>Board</w:t>
      </w:r>
      <w:r w:rsidR="007B7640" w:rsidRPr="00CD59CC">
        <w:rPr>
          <w:rFonts w:ascii="Arial" w:hAnsi="Arial" w:cs="Arial"/>
          <w:i w:val="0"/>
          <w:lang w:val="en-GB"/>
        </w:rPr>
        <w:t xml:space="preserve"> </w:t>
      </w:r>
      <w:r w:rsidRPr="00CD59CC">
        <w:rPr>
          <w:rFonts w:ascii="Arial" w:hAnsi="Arial" w:cs="Arial"/>
          <w:i w:val="0"/>
          <w:lang w:val="en-GB"/>
        </w:rPr>
        <w:t>adopted</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resolution</w:t>
      </w:r>
      <w:r w:rsidR="007B7640" w:rsidRPr="00CD59CC">
        <w:rPr>
          <w:rFonts w:ascii="Arial" w:hAnsi="Arial" w:cs="Arial"/>
          <w:i w:val="0"/>
          <w:lang w:val="en-GB"/>
        </w:rPr>
        <w:t xml:space="preserve"> </w:t>
      </w:r>
      <w:r w:rsidRPr="00CD59CC">
        <w:rPr>
          <w:rFonts w:ascii="Arial" w:hAnsi="Arial" w:cs="Arial"/>
          <w:i w:val="0"/>
          <w:lang w:val="en-GB"/>
        </w:rPr>
        <w:t>(no.</w:t>
      </w:r>
      <w:r w:rsidR="007B7640" w:rsidRPr="00CD59CC">
        <w:rPr>
          <w:rFonts w:ascii="Arial" w:hAnsi="Arial" w:cs="Arial"/>
          <w:i w:val="0"/>
          <w:lang w:val="en-GB"/>
        </w:rPr>
        <w:t xml:space="preserve"> </w:t>
      </w:r>
      <w:r w:rsidRPr="00CD59CC">
        <w:rPr>
          <w:rFonts w:ascii="Arial" w:hAnsi="Arial" w:cs="Arial"/>
          <w:i w:val="0"/>
          <w:lang w:val="en-GB"/>
        </w:rPr>
        <w:t>6/2009)</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need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amend</w:t>
      </w:r>
      <w:r w:rsidR="007B7640" w:rsidRPr="00CD59CC">
        <w:rPr>
          <w:rFonts w:ascii="Arial" w:hAnsi="Arial" w:cs="Arial"/>
          <w:i w:val="0"/>
          <w:lang w:val="en-GB"/>
        </w:rPr>
        <w:t xml:space="preserve"> </w:t>
      </w:r>
      <w:r w:rsidRPr="00CD59CC">
        <w:rPr>
          <w:rFonts w:ascii="Arial" w:hAnsi="Arial" w:cs="Arial"/>
          <w:i w:val="0"/>
          <w:lang w:val="en-GB"/>
        </w:rPr>
        <w:t>Hungarian</w:t>
      </w:r>
      <w:r w:rsidR="007B7640" w:rsidRPr="00CD59CC">
        <w:rPr>
          <w:rFonts w:ascii="Arial" w:hAnsi="Arial" w:cs="Arial"/>
          <w:i w:val="0"/>
          <w:lang w:val="en-GB"/>
        </w:rPr>
        <w:t xml:space="preserve"> </w:t>
      </w:r>
      <w:r w:rsidRPr="00CD59CC">
        <w:rPr>
          <w:rFonts w:ascii="Arial" w:hAnsi="Arial" w:cs="Arial"/>
          <w:i w:val="0"/>
          <w:lang w:val="en-GB"/>
        </w:rPr>
        <w:t>legislation</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order</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appropriately</w:t>
      </w:r>
      <w:r w:rsidR="007B7640" w:rsidRPr="00CD59CC">
        <w:rPr>
          <w:rFonts w:ascii="Arial" w:hAnsi="Arial" w:cs="Arial"/>
          <w:i w:val="0"/>
          <w:lang w:val="en-GB"/>
        </w:rPr>
        <w:t xml:space="preserve"> </w:t>
      </w:r>
      <w:r w:rsidRPr="00CD59CC">
        <w:rPr>
          <w:rFonts w:ascii="Arial" w:hAnsi="Arial" w:cs="Arial"/>
          <w:i w:val="0"/>
          <w:lang w:val="en-GB"/>
        </w:rPr>
        <w:t>transpose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lang w:val="en-GB"/>
        </w:rPr>
        <w:t>acquis</w:t>
      </w:r>
      <w:r w:rsidRPr="00CD59CC">
        <w:rPr>
          <w:rFonts w:ascii="Arial" w:hAnsi="Arial" w:cs="Arial"/>
          <w:i w:val="0"/>
          <w:lang w:val="en-GB"/>
        </w:rPr>
        <w: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resolution</w:t>
      </w:r>
      <w:r w:rsidR="007B7640" w:rsidRPr="00CD59CC">
        <w:rPr>
          <w:rFonts w:ascii="Arial" w:hAnsi="Arial" w:cs="Arial"/>
          <w:i w:val="0"/>
          <w:lang w:val="en-GB"/>
        </w:rPr>
        <w:t xml:space="preserve"> </w:t>
      </w:r>
      <w:r w:rsidRPr="00CD59CC">
        <w:rPr>
          <w:rFonts w:ascii="Arial" w:hAnsi="Arial" w:cs="Arial"/>
          <w:i w:val="0"/>
          <w:lang w:val="en-GB"/>
        </w:rPr>
        <w:t>contains</w:t>
      </w:r>
      <w:r w:rsidR="007B7640" w:rsidRPr="00CD59CC">
        <w:rPr>
          <w:rFonts w:ascii="Arial" w:hAnsi="Arial" w:cs="Arial"/>
          <w:i w:val="0"/>
          <w:lang w:val="en-GB"/>
        </w:rPr>
        <w:t xml:space="preserve"> </w:t>
      </w:r>
      <w:r w:rsidRPr="00CD59CC">
        <w:rPr>
          <w:rFonts w:ascii="Arial" w:hAnsi="Arial" w:cs="Arial"/>
          <w:i w:val="0"/>
          <w:lang w:val="en-GB"/>
        </w:rPr>
        <w:t>two</w:t>
      </w:r>
      <w:r w:rsidR="007B7640" w:rsidRPr="00CD59CC">
        <w:rPr>
          <w:rFonts w:ascii="Arial" w:hAnsi="Arial" w:cs="Arial"/>
          <w:i w:val="0"/>
          <w:lang w:val="en-GB"/>
        </w:rPr>
        <w:t xml:space="preserve"> </w:t>
      </w:r>
      <w:r w:rsidRPr="00CD59CC">
        <w:rPr>
          <w:rFonts w:ascii="Arial" w:hAnsi="Arial" w:cs="Arial"/>
          <w:i w:val="0"/>
          <w:lang w:val="en-GB"/>
        </w:rPr>
        <w:t>versions</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amendment</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ETA:</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first</w:t>
      </w:r>
      <w:r w:rsidR="007B7640" w:rsidRPr="00CD59CC">
        <w:rPr>
          <w:rFonts w:ascii="Arial" w:hAnsi="Arial" w:cs="Arial"/>
          <w:i w:val="0"/>
          <w:lang w:val="en-GB"/>
        </w:rPr>
        <w:t xml:space="preserve"> </w:t>
      </w:r>
      <w:r w:rsidRPr="00CD59CC">
        <w:rPr>
          <w:rFonts w:ascii="Arial" w:hAnsi="Arial" w:cs="Arial"/>
          <w:i w:val="0"/>
          <w:lang w:val="en-GB"/>
        </w:rPr>
        <w:t>one</w:t>
      </w:r>
      <w:r w:rsidR="007B7640" w:rsidRPr="00CD59CC">
        <w:rPr>
          <w:rFonts w:ascii="Arial" w:hAnsi="Arial" w:cs="Arial"/>
          <w:i w:val="0"/>
          <w:lang w:val="en-GB"/>
        </w:rPr>
        <w:t xml:space="preserve"> </w:t>
      </w:r>
      <w:r w:rsidRPr="00CD59CC">
        <w:rPr>
          <w:rFonts w:ascii="Arial" w:hAnsi="Arial" w:cs="Arial"/>
          <w:i w:val="0"/>
          <w:lang w:val="en-GB"/>
        </w:rPr>
        <w:t>concerns</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field</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alternative</w:t>
      </w:r>
      <w:r w:rsidR="007B7640" w:rsidRPr="00CD59CC">
        <w:rPr>
          <w:rFonts w:ascii="Arial" w:hAnsi="Arial" w:cs="Arial"/>
          <w:i w:val="0"/>
          <w:lang w:val="en-GB"/>
        </w:rPr>
        <w:t xml:space="preserve"> </w:t>
      </w:r>
      <w:r w:rsidRPr="00CD59CC">
        <w:rPr>
          <w:rFonts w:ascii="Arial" w:hAnsi="Arial" w:cs="Arial"/>
          <w:i w:val="0"/>
          <w:lang w:val="en-GB"/>
        </w:rPr>
        <w:t>recommendation</w:t>
      </w:r>
      <w:r w:rsidR="007B7640" w:rsidRPr="00CD59CC">
        <w:rPr>
          <w:rFonts w:ascii="Arial" w:hAnsi="Arial" w:cs="Arial"/>
          <w:i w:val="0"/>
          <w:lang w:val="en-GB"/>
        </w:rPr>
        <w:t xml:space="preserve"> </w:t>
      </w:r>
      <w:r w:rsidRPr="00CD59CC">
        <w:rPr>
          <w:rFonts w:ascii="Arial" w:hAnsi="Arial" w:cs="Arial"/>
          <w:i w:val="0"/>
          <w:lang w:val="en-GB"/>
        </w:rPr>
        <w:t>–</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view</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foreseeable</w:t>
      </w:r>
      <w:r w:rsidR="007B7640" w:rsidRPr="00CD59CC">
        <w:rPr>
          <w:rFonts w:ascii="Arial" w:hAnsi="Arial" w:cs="Arial"/>
          <w:i w:val="0"/>
          <w:lang w:val="en-GB"/>
        </w:rPr>
        <w:t xml:space="preserve"> </w:t>
      </w:r>
      <w:r w:rsidRPr="00CD59CC">
        <w:rPr>
          <w:rFonts w:ascii="Arial" w:hAnsi="Arial" w:cs="Arial"/>
          <w:i w:val="0"/>
          <w:lang w:val="en-GB"/>
        </w:rPr>
        <w:t>developments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acquis</w:t>
      </w:r>
      <w:r w:rsidR="007B7640" w:rsidRPr="00CD59CC">
        <w:rPr>
          <w:rFonts w:ascii="Arial" w:hAnsi="Arial" w:cs="Arial"/>
          <w:i w:val="0"/>
          <w:lang w:val="en-GB"/>
        </w:rPr>
        <w:t xml:space="preserve"> </w:t>
      </w:r>
      <w:r w:rsidRPr="00CD59CC">
        <w:rPr>
          <w:rFonts w:ascii="Arial" w:hAnsi="Arial" w:cs="Arial"/>
          <w:i w:val="0"/>
          <w:lang w:val="en-GB"/>
        </w:rPr>
        <w:t>–</w:t>
      </w:r>
      <w:r w:rsidR="007B7640" w:rsidRPr="00CD59CC">
        <w:rPr>
          <w:rFonts w:ascii="Arial" w:hAnsi="Arial" w:cs="Arial"/>
          <w:i w:val="0"/>
          <w:lang w:val="en-GB"/>
        </w:rPr>
        <w:t xml:space="preserve"> </w:t>
      </w:r>
      <w:r w:rsidRPr="00CD59CC">
        <w:rPr>
          <w:rFonts w:ascii="Arial" w:hAnsi="Arial" w:cs="Arial"/>
          <w:i w:val="0"/>
          <w:lang w:val="en-GB"/>
        </w:rPr>
        <w:t>proposes</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codification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general</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fields</w:t>
      </w:r>
      <w:r w:rsidR="007B7640" w:rsidRPr="00CD59CC">
        <w:rPr>
          <w:rFonts w:ascii="Arial" w:hAnsi="Arial" w:cs="Arial"/>
          <w:i w:val="0"/>
          <w:lang w:val="en-GB"/>
        </w:rPr>
        <w:t xml:space="preserve"> </w:t>
      </w:r>
      <w:r w:rsidRPr="00CD59CC">
        <w:rPr>
          <w:rFonts w:ascii="Arial" w:hAnsi="Arial" w:cs="Arial"/>
          <w:i w:val="0"/>
          <w:lang w:val="en-GB"/>
        </w:rPr>
        <w:t>beyond</w:t>
      </w:r>
      <w:r w:rsidR="007B7640" w:rsidRPr="00CD59CC">
        <w:rPr>
          <w:rFonts w:ascii="Arial" w:hAnsi="Arial" w:cs="Arial"/>
          <w:i w:val="0"/>
          <w:lang w:val="en-GB"/>
        </w:rPr>
        <w:t xml:space="preserve"> </w:t>
      </w:r>
      <w:r w:rsidRPr="00CD59CC">
        <w:rPr>
          <w:rFonts w:ascii="Arial" w:hAnsi="Arial" w:cs="Arial"/>
          <w:i w:val="0"/>
          <w:lang w:val="en-GB"/>
        </w:rPr>
        <w:t>employment).</w:t>
      </w:r>
      <w:r w:rsidRPr="00CD59CC">
        <w:rPr>
          <w:rStyle w:val="FootnoteReference"/>
          <w:rFonts w:ascii="Arial" w:hAnsi="Arial" w:cs="Arial"/>
          <w:i w:val="0"/>
          <w:lang w:val="en-GB"/>
        </w:rPr>
        <w:footnoteReference w:id="50"/>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resolution</w:t>
      </w:r>
      <w:r w:rsidR="007B7640" w:rsidRPr="00CD59CC">
        <w:rPr>
          <w:rFonts w:ascii="Arial" w:hAnsi="Arial" w:cs="Arial"/>
          <w:i w:val="0"/>
          <w:lang w:val="en-GB"/>
        </w:rPr>
        <w:t xml:space="preserve"> </w:t>
      </w:r>
      <w:r w:rsidRPr="00CD59CC">
        <w:rPr>
          <w:rFonts w:ascii="Arial" w:hAnsi="Arial" w:cs="Arial"/>
          <w:i w:val="0"/>
          <w:lang w:val="en-GB"/>
        </w:rPr>
        <w:t>was</w:t>
      </w:r>
      <w:r w:rsidR="007B7640" w:rsidRPr="00CD59CC">
        <w:rPr>
          <w:rFonts w:ascii="Arial" w:hAnsi="Arial" w:cs="Arial"/>
          <w:i w:val="0"/>
          <w:lang w:val="en-GB"/>
        </w:rPr>
        <w:t xml:space="preserve"> </w:t>
      </w:r>
      <w:r w:rsidRPr="00CD59CC">
        <w:rPr>
          <w:rFonts w:ascii="Arial" w:hAnsi="Arial" w:cs="Arial"/>
          <w:i w:val="0"/>
          <w:lang w:val="en-GB"/>
        </w:rPr>
        <w:t>sent</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Minister</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Justice</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Law</w:t>
      </w:r>
      <w:r w:rsidR="007B7640" w:rsidRPr="00CD59CC">
        <w:rPr>
          <w:rFonts w:ascii="Arial" w:hAnsi="Arial" w:cs="Arial"/>
          <w:i w:val="0"/>
          <w:lang w:val="en-GB"/>
        </w:rPr>
        <w:t xml:space="preserve"> </w:t>
      </w:r>
      <w:r w:rsidRPr="00CD59CC">
        <w:rPr>
          <w:rFonts w:ascii="Arial" w:hAnsi="Arial" w:cs="Arial"/>
          <w:i w:val="0"/>
          <w:lang w:val="en-GB"/>
        </w:rPr>
        <w:t>Enforcement</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Minister</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Social</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Labour</w:t>
      </w:r>
      <w:r w:rsidR="007B7640" w:rsidRPr="00CD59CC">
        <w:rPr>
          <w:rFonts w:ascii="Arial" w:hAnsi="Arial" w:cs="Arial"/>
          <w:i w:val="0"/>
          <w:lang w:val="en-GB"/>
        </w:rPr>
        <w:t xml:space="preserve"> </w:t>
      </w:r>
      <w:r w:rsidRPr="00CD59CC">
        <w:rPr>
          <w:rFonts w:ascii="Arial" w:hAnsi="Arial" w:cs="Arial"/>
          <w:i w:val="0"/>
          <w:lang w:val="en-GB"/>
        </w:rPr>
        <w:t>Affairs</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consideration.</w:t>
      </w:r>
      <w:r w:rsidR="007B7640" w:rsidRPr="00CD59CC">
        <w:rPr>
          <w:rFonts w:ascii="Arial" w:hAnsi="Arial" w:cs="Arial"/>
          <w:i w:val="0"/>
          <w:lang w:val="en-GB"/>
        </w:rPr>
        <w:t xml:space="preserve"> </w:t>
      </w:r>
    </w:p>
    <w:p w14:paraId="3266FA4F" w14:textId="77777777" w:rsidR="003870FA" w:rsidRPr="00CD59CC" w:rsidRDefault="003870FA" w:rsidP="00CD59CC">
      <w:pPr>
        <w:pStyle w:val="BodyText"/>
        <w:rPr>
          <w:rFonts w:ascii="Arial" w:hAnsi="Arial" w:cs="Arial"/>
          <w:i w:val="0"/>
          <w:lang w:val="en-GB"/>
        </w:rPr>
      </w:pPr>
    </w:p>
    <w:p w14:paraId="339D87C9"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10</w:t>
      </w:r>
      <w:r w:rsidR="007B7640" w:rsidRPr="00CD59CC">
        <w:rPr>
          <w:rFonts w:ascii="Arial" w:hAnsi="Arial" w:cs="Arial"/>
          <w:i w:val="0"/>
          <w:lang w:val="en-GB"/>
        </w:rPr>
        <w:t xml:space="preserve"> </w:t>
      </w:r>
      <w:r w:rsidRPr="00CD59CC">
        <w:rPr>
          <w:rFonts w:ascii="Arial" w:hAnsi="Arial" w:cs="Arial"/>
          <w:i w:val="0"/>
          <w:lang w:val="en-GB"/>
        </w:rPr>
        <w:t>March</w:t>
      </w:r>
      <w:r w:rsidR="007B7640" w:rsidRPr="00CD59CC">
        <w:rPr>
          <w:rFonts w:ascii="Arial" w:hAnsi="Arial" w:cs="Arial"/>
          <w:i w:val="0"/>
          <w:lang w:val="en-GB"/>
        </w:rPr>
        <w:t xml:space="preserve"> </w:t>
      </w:r>
      <w:r w:rsidRPr="00CD59CC">
        <w:rPr>
          <w:rFonts w:ascii="Arial" w:hAnsi="Arial" w:cs="Arial"/>
          <w:i w:val="0"/>
          <w:lang w:val="en-GB"/>
        </w:rPr>
        <w:t>2010,</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Minister</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Justice</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Law</w:t>
      </w:r>
      <w:r w:rsidR="007B7640" w:rsidRPr="00CD59CC">
        <w:rPr>
          <w:rFonts w:ascii="Arial" w:hAnsi="Arial" w:cs="Arial"/>
          <w:i w:val="0"/>
          <w:lang w:val="en-GB"/>
        </w:rPr>
        <w:t xml:space="preserve"> </w:t>
      </w:r>
      <w:r w:rsidRPr="00CD59CC">
        <w:rPr>
          <w:rFonts w:ascii="Arial" w:hAnsi="Arial" w:cs="Arial"/>
          <w:i w:val="0"/>
          <w:lang w:val="en-GB"/>
        </w:rPr>
        <w:t>Enforcement</w:t>
      </w:r>
      <w:r w:rsidR="007B7640" w:rsidRPr="00CD59CC">
        <w:rPr>
          <w:rFonts w:ascii="Arial" w:hAnsi="Arial" w:cs="Arial"/>
          <w:i w:val="0"/>
          <w:lang w:val="en-GB"/>
        </w:rPr>
        <w:t xml:space="preserve"> </w:t>
      </w:r>
      <w:r w:rsidRPr="00CD59CC">
        <w:rPr>
          <w:rFonts w:ascii="Arial" w:hAnsi="Arial" w:cs="Arial"/>
          <w:i w:val="0"/>
          <w:lang w:val="en-GB"/>
        </w:rPr>
        <w:t>replied</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his</w:t>
      </w:r>
      <w:r w:rsidR="007B7640" w:rsidRPr="00CD59CC">
        <w:rPr>
          <w:rFonts w:ascii="Arial" w:hAnsi="Arial" w:cs="Arial"/>
          <w:i w:val="0"/>
          <w:lang w:val="en-GB"/>
        </w:rPr>
        <w:t xml:space="preserve"> </w:t>
      </w:r>
      <w:r w:rsidRPr="00CD59CC">
        <w:rPr>
          <w:rFonts w:ascii="Arial" w:hAnsi="Arial" w:cs="Arial"/>
          <w:i w:val="0"/>
          <w:lang w:val="en-GB"/>
        </w:rPr>
        <w:t>view</w:t>
      </w:r>
      <w:r w:rsidR="007B7640" w:rsidRPr="00CD59CC">
        <w:rPr>
          <w:rFonts w:ascii="Arial" w:hAnsi="Arial" w:cs="Arial"/>
          <w:i w:val="0"/>
          <w:lang w:val="en-GB"/>
        </w:rPr>
        <w:t xml:space="preserve"> </w:t>
      </w:r>
      <w:r w:rsidRPr="00CD59CC">
        <w:rPr>
          <w:rFonts w:ascii="Arial" w:hAnsi="Arial" w:cs="Arial"/>
          <w:i w:val="0"/>
          <w:lang w:val="en-GB"/>
        </w:rPr>
        <w:t>there</w:t>
      </w:r>
      <w:r w:rsidR="007B7640" w:rsidRPr="00CD59CC">
        <w:rPr>
          <w:rFonts w:ascii="Arial" w:hAnsi="Arial" w:cs="Arial"/>
          <w:i w:val="0"/>
          <w:lang w:val="en-GB"/>
        </w:rPr>
        <w:t xml:space="preserve"> </w:t>
      </w:r>
      <w:r w:rsidRPr="00CD59CC">
        <w:rPr>
          <w:rFonts w:ascii="Arial" w:hAnsi="Arial" w:cs="Arial"/>
          <w:i w:val="0"/>
          <w:lang w:val="en-GB"/>
        </w:rPr>
        <w:t>was</w:t>
      </w:r>
      <w:r w:rsidR="007B7640" w:rsidRPr="00CD59CC">
        <w:rPr>
          <w:rFonts w:ascii="Arial" w:hAnsi="Arial" w:cs="Arial"/>
          <w:i w:val="0"/>
          <w:lang w:val="en-GB"/>
        </w:rPr>
        <w:t xml:space="preserve"> </w:t>
      </w:r>
      <w:r w:rsidRPr="00CD59CC">
        <w:rPr>
          <w:rFonts w:ascii="Arial" w:hAnsi="Arial" w:cs="Arial"/>
          <w:i w:val="0"/>
          <w:lang w:val="en-GB"/>
        </w:rPr>
        <w:t>no</w:t>
      </w:r>
      <w:r w:rsidR="007B7640" w:rsidRPr="00CD59CC">
        <w:rPr>
          <w:rFonts w:ascii="Arial" w:hAnsi="Arial" w:cs="Arial"/>
          <w:i w:val="0"/>
          <w:lang w:val="en-GB"/>
        </w:rPr>
        <w:t xml:space="preserve"> </w:t>
      </w:r>
      <w:r w:rsidRPr="00CD59CC">
        <w:rPr>
          <w:rFonts w:ascii="Arial" w:hAnsi="Arial" w:cs="Arial"/>
          <w:i w:val="0"/>
          <w:lang w:val="en-GB"/>
        </w:rPr>
        <w:t>need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amend</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legislation</w:t>
      </w:r>
      <w:r w:rsidR="007B7640" w:rsidRPr="00CD59CC">
        <w:rPr>
          <w:rFonts w:ascii="Arial" w:hAnsi="Arial" w:cs="Arial"/>
          <w:i w:val="0"/>
          <w:lang w:val="en-GB"/>
        </w:rPr>
        <w:t xml:space="preserve"> </w:t>
      </w:r>
      <w:r w:rsidRPr="00CD59CC">
        <w:rPr>
          <w:rFonts w:ascii="Arial" w:hAnsi="Arial" w:cs="Arial"/>
          <w:i w:val="0"/>
          <w:lang w:val="en-GB"/>
        </w:rPr>
        <w:t>concerning</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since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Hungarian</w:t>
      </w:r>
      <w:r w:rsidR="007B7640" w:rsidRPr="00CD59CC">
        <w:rPr>
          <w:rFonts w:ascii="Arial" w:hAnsi="Arial" w:cs="Arial"/>
          <w:i w:val="0"/>
          <w:lang w:val="en-GB"/>
        </w:rPr>
        <w:t xml:space="preserve"> </w:t>
      </w:r>
      <w:r w:rsidRPr="00CD59CC">
        <w:rPr>
          <w:rFonts w:ascii="Arial" w:hAnsi="Arial" w:cs="Arial"/>
          <w:i w:val="0"/>
          <w:lang w:val="en-GB"/>
        </w:rPr>
        <w:t>legal</w:t>
      </w:r>
      <w:r w:rsidR="007B7640" w:rsidRPr="00CD59CC">
        <w:rPr>
          <w:rFonts w:ascii="Arial" w:hAnsi="Arial" w:cs="Arial"/>
          <w:i w:val="0"/>
          <w:lang w:val="en-GB"/>
        </w:rPr>
        <w:t xml:space="preserve"> </w:t>
      </w:r>
      <w:r w:rsidRPr="00CD59CC">
        <w:rPr>
          <w:rFonts w:ascii="Arial" w:hAnsi="Arial" w:cs="Arial"/>
          <w:i w:val="0"/>
          <w:lang w:val="en-GB"/>
        </w:rPr>
        <w:t>framework</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harmony</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lang w:val="en-GB"/>
        </w:rPr>
        <w:t>acquis</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regard,</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proved</w:t>
      </w:r>
      <w:r w:rsidR="007B7640" w:rsidRPr="00CD59CC">
        <w:rPr>
          <w:rFonts w:ascii="Arial" w:hAnsi="Arial" w:cs="Arial"/>
          <w:i w:val="0"/>
          <w:lang w:val="en-GB"/>
        </w:rPr>
        <w:t xml:space="preserve"> </w:t>
      </w:r>
      <w:r w:rsidRPr="00CD59CC">
        <w:rPr>
          <w:rFonts w:ascii="Arial" w:hAnsi="Arial" w:cs="Arial"/>
          <w:i w:val="0"/>
          <w:lang w:val="en-GB"/>
        </w:rPr>
        <w:t>by</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fact</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infringement</w:t>
      </w:r>
      <w:r w:rsidR="007B7640" w:rsidRPr="00CD59CC">
        <w:rPr>
          <w:rFonts w:ascii="Arial" w:hAnsi="Arial" w:cs="Arial"/>
          <w:i w:val="0"/>
          <w:lang w:val="en-GB"/>
        </w:rPr>
        <w:t xml:space="preserve"> </w:t>
      </w:r>
      <w:r w:rsidRPr="00CD59CC">
        <w:rPr>
          <w:rFonts w:ascii="Arial" w:hAnsi="Arial" w:cs="Arial"/>
          <w:i w:val="0"/>
          <w:lang w:val="en-GB"/>
        </w:rPr>
        <w:t>procedure</w:t>
      </w:r>
      <w:r w:rsidR="007B7640" w:rsidRPr="00CD59CC">
        <w:rPr>
          <w:rFonts w:ascii="Arial" w:hAnsi="Arial" w:cs="Arial"/>
          <w:i w:val="0"/>
          <w:lang w:val="en-GB"/>
        </w:rPr>
        <w:t xml:space="preserve"> </w:t>
      </w:r>
      <w:r w:rsidRPr="00CD59CC">
        <w:rPr>
          <w:rFonts w:ascii="Arial" w:hAnsi="Arial" w:cs="Arial"/>
          <w:i w:val="0"/>
          <w:lang w:val="en-GB"/>
        </w:rPr>
        <w:t>launched</w:t>
      </w:r>
      <w:r w:rsidR="007B7640" w:rsidRPr="00CD59CC">
        <w:rPr>
          <w:rFonts w:ascii="Arial" w:hAnsi="Arial" w:cs="Arial"/>
          <w:i w:val="0"/>
          <w:lang w:val="en-GB"/>
        </w:rPr>
        <w:t xml:space="preserve"> </w:t>
      </w:r>
      <w:r w:rsidRPr="00CD59CC">
        <w:rPr>
          <w:rFonts w:ascii="Arial" w:hAnsi="Arial" w:cs="Arial"/>
          <w:i w:val="0"/>
          <w:lang w:val="en-GB"/>
        </w:rPr>
        <w:t>against</w:t>
      </w:r>
      <w:r w:rsidR="007B7640" w:rsidRPr="00CD59CC">
        <w:rPr>
          <w:rFonts w:ascii="Arial" w:hAnsi="Arial" w:cs="Arial"/>
          <w:i w:val="0"/>
          <w:lang w:val="en-GB"/>
        </w:rPr>
        <w:t xml:space="preserve"> </w:t>
      </w:r>
      <w:r w:rsidRPr="00CD59CC">
        <w:rPr>
          <w:rFonts w:ascii="Arial" w:hAnsi="Arial" w:cs="Arial"/>
          <w:i w:val="0"/>
          <w:lang w:val="en-GB"/>
        </w:rPr>
        <w:t>Hungary</w:t>
      </w:r>
      <w:r w:rsidR="007B7640" w:rsidRPr="00CD59CC">
        <w:rPr>
          <w:rFonts w:ascii="Arial" w:hAnsi="Arial" w:cs="Arial"/>
          <w:i w:val="0"/>
          <w:lang w:val="en-GB"/>
        </w:rPr>
        <w:t xml:space="preserve"> </w:t>
      </w:r>
      <w:r w:rsidRPr="00CD59CC">
        <w:rPr>
          <w:rFonts w:ascii="Arial" w:hAnsi="Arial" w:cs="Arial"/>
          <w:i w:val="0"/>
          <w:lang w:val="en-GB"/>
        </w:rPr>
        <w:t>by</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Commission</w:t>
      </w:r>
      <w:r w:rsidR="007B7640" w:rsidRPr="00CD59CC">
        <w:rPr>
          <w:rFonts w:ascii="Arial" w:hAnsi="Arial" w:cs="Arial"/>
          <w:i w:val="0"/>
          <w:lang w:val="en-GB"/>
        </w:rPr>
        <w:t xml:space="preserve"> </w:t>
      </w:r>
      <w:r w:rsidRPr="00CD59CC">
        <w:rPr>
          <w:rFonts w:ascii="Arial" w:hAnsi="Arial" w:cs="Arial"/>
          <w:i w:val="0"/>
          <w:lang w:val="en-GB"/>
        </w:rPr>
        <w:t>partly</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relation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issue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was</w:t>
      </w:r>
      <w:r w:rsidR="007B7640" w:rsidRPr="00CD59CC">
        <w:rPr>
          <w:rFonts w:ascii="Arial" w:hAnsi="Arial" w:cs="Arial"/>
          <w:i w:val="0"/>
          <w:lang w:val="en-GB"/>
        </w:rPr>
        <w:t xml:space="preserve"> </w:t>
      </w:r>
      <w:r w:rsidRPr="00CD59CC">
        <w:rPr>
          <w:rFonts w:ascii="Arial" w:hAnsi="Arial" w:cs="Arial"/>
          <w:i w:val="0"/>
          <w:lang w:val="en-GB"/>
        </w:rPr>
        <w:t>closed</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no</w:t>
      </w:r>
      <w:r w:rsidR="007B7640" w:rsidRPr="00CD59CC">
        <w:rPr>
          <w:rFonts w:ascii="Arial" w:hAnsi="Arial" w:cs="Arial"/>
          <w:i w:val="0"/>
          <w:lang w:val="en-GB"/>
        </w:rPr>
        <w:t xml:space="preserve"> </w:t>
      </w:r>
      <w:r w:rsidRPr="00CD59CC">
        <w:rPr>
          <w:rFonts w:ascii="Arial" w:hAnsi="Arial" w:cs="Arial"/>
          <w:i w:val="0"/>
          <w:lang w:val="en-GB"/>
        </w:rPr>
        <w:t>violation</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regard</w:t>
      </w:r>
      <w:r w:rsidR="007B7640" w:rsidRPr="00CD59CC">
        <w:rPr>
          <w:rFonts w:ascii="Arial" w:hAnsi="Arial" w:cs="Arial"/>
          <w:i w:val="0"/>
          <w:lang w:val="en-GB"/>
        </w:rPr>
        <w:t xml:space="preserve"> </w:t>
      </w:r>
      <w:r w:rsidRPr="00CD59CC">
        <w:rPr>
          <w:rFonts w:ascii="Arial" w:hAnsi="Arial" w:cs="Arial"/>
          <w:i w:val="0"/>
          <w:lang w:val="en-GB"/>
        </w:rPr>
        <w:t>was</w:t>
      </w:r>
      <w:r w:rsidR="007B7640" w:rsidRPr="00CD59CC">
        <w:rPr>
          <w:rFonts w:ascii="Arial" w:hAnsi="Arial" w:cs="Arial"/>
          <w:i w:val="0"/>
          <w:lang w:val="en-GB"/>
        </w:rPr>
        <w:t xml:space="preserve"> </w:t>
      </w:r>
      <w:r w:rsidRPr="00CD59CC">
        <w:rPr>
          <w:rFonts w:ascii="Arial" w:hAnsi="Arial" w:cs="Arial"/>
          <w:i w:val="0"/>
          <w:lang w:val="en-GB"/>
        </w:rPr>
        <w:lastRenderedPageBreak/>
        <w:t>established.</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regard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codification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fields</w:t>
      </w:r>
      <w:r w:rsidR="007B7640" w:rsidRPr="00CD59CC">
        <w:rPr>
          <w:rFonts w:ascii="Arial" w:hAnsi="Arial" w:cs="Arial"/>
          <w:i w:val="0"/>
          <w:lang w:val="en-GB"/>
        </w:rPr>
        <w:t xml:space="preserve"> </w:t>
      </w:r>
      <w:r w:rsidRPr="00CD59CC">
        <w:rPr>
          <w:rFonts w:ascii="Arial" w:hAnsi="Arial" w:cs="Arial"/>
          <w:i w:val="0"/>
          <w:lang w:val="en-GB"/>
        </w:rPr>
        <w:t>other</w:t>
      </w:r>
      <w:r w:rsidR="007B7640" w:rsidRPr="00CD59CC">
        <w:rPr>
          <w:rFonts w:ascii="Arial" w:hAnsi="Arial" w:cs="Arial"/>
          <w:i w:val="0"/>
          <w:lang w:val="en-GB"/>
        </w:rPr>
        <w:t xml:space="preserve"> </w:t>
      </w:r>
      <w:r w:rsidRPr="00CD59CC">
        <w:rPr>
          <w:rFonts w:ascii="Arial" w:hAnsi="Arial" w:cs="Arial"/>
          <w:i w:val="0"/>
          <w:lang w:val="en-GB"/>
        </w:rPr>
        <w:t>than</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Minister</w:t>
      </w:r>
      <w:r w:rsidR="007B7640" w:rsidRPr="00CD59CC">
        <w:rPr>
          <w:rFonts w:ascii="Arial" w:hAnsi="Arial" w:cs="Arial"/>
          <w:i w:val="0"/>
          <w:lang w:val="en-GB"/>
        </w:rPr>
        <w:t xml:space="preserve"> </w:t>
      </w:r>
      <w:r w:rsidRPr="00CD59CC">
        <w:rPr>
          <w:rFonts w:ascii="Arial" w:hAnsi="Arial" w:cs="Arial"/>
          <w:i w:val="0"/>
          <w:lang w:val="en-GB"/>
        </w:rPr>
        <w:t>was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opinion</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question</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timely,</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process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drafting</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new</w:t>
      </w:r>
      <w:r w:rsidR="007B7640" w:rsidRPr="00CD59CC">
        <w:rPr>
          <w:rFonts w:ascii="Arial" w:hAnsi="Arial" w:cs="Arial"/>
          <w:i w:val="0"/>
          <w:lang w:val="en-GB"/>
        </w:rPr>
        <w:t xml:space="preserve"> </w:t>
      </w:r>
      <w:r w:rsidRPr="00CD59CC">
        <w:rPr>
          <w:rFonts w:ascii="Arial" w:hAnsi="Arial" w:cs="Arial"/>
          <w:i w:val="0"/>
          <w:lang w:val="en-GB"/>
        </w:rPr>
        <w:t>anti-discrimination</w:t>
      </w:r>
      <w:r w:rsidR="007B7640" w:rsidRPr="00CD59CC">
        <w:rPr>
          <w:rFonts w:ascii="Arial" w:hAnsi="Arial" w:cs="Arial"/>
          <w:i w:val="0"/>
          <w:lang w:val="en-GB"/>
        </w:rPr>
        <w:t xml:space="preserve"> </w:t>
      </w:r>
      <w:r w:rsidRPr="00CD59CC">
        <w:rPr>
          <w:rFonts w:ascii="Arial" w:hAnsi="Arial" w:cs="Arial"/>
          <w:i w:val="0"/>
          <w:lang w:val="en-GB"/>
        </w:rPr>
        <w:t>directive</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full</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uncertainties.</w:t>
      </w:r>
      <w:r w:rsidR="007B7640" w:rsidRPr="00CD59CC">
        <w:rPr>
          <w:rFonts w:ascii="Arial" w:hAnsi="Arial" w:cs="Arial"/>
          <w:i w:val="0"/>
          <w:lang w:val="en-GB"/>
        </w:rPr>
        <w:t xml:space="preserve"> </w:t>
      </w:r>
    </w:p>
    <w:p w14:paraId="3D6EF0C1" w14:textId="77777777" w:rsidR="003870FA" w:rsidRPr="00CD59CC" w:rsidRDefault="003870FA" w:rsidP="00CD59CC">
      <w:pPr>
        <w:pStyle w:val="BodyText"/>
        <w:rPr>
          <w:rFonts w:ascii="Arial" w:hAnsi="Arial" w:cs="Arial"/>
          <w:lang w:val="en-GB"/>
        </w:rPr>
      </w:pPr>
    </w:p>
    <w:p w14:paraId="6416E192"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ambiguity</w:t>
      </w:r>
      <w:r w:rsidR="007B7640" w:rsidRPr="00CD59CC">
        <w:rPr>
          <w:rFonts w:ascii="Arial" w:hAnsi="Arial" w:cs="Arial"/>
          <w:i w:val="0"/>
          <w:lang w:val="en-GB"/>
        </w:rPr>
        <w:t xml:space="preserve"> </w:t>
      </w:r>
      <w:r w:rsidRPr="00CD59CC">
        <w:rPr>
          <w:rFonts w:ascii="Arial" w:hAnsi="Arial" w:cs="Arial"/>
          <w:i w:val="0"/>
          <w:lang w:val="en-GB"/>
        </w:rPr>
        <w:t>has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been</w:t>
      </w:r>
      <w:r w:rsidR="007B7640" w:rsidRPr="00CD59CC">
        <w:rPr>
          <w:rFonts w:ascii="Arial" w:hAnsi="Arial" w:cs="Arial"/>
          <w:i w:val="0"/>
          <w:lang w:val="en-GB"/>
        </w:rPr>
        <w:t xml:space="preserve"> </w:t>
      </w:r>
      <w:r w:rsidRPr="00CD59CC">
        <w:rPr>
          <w:rFonts w:ascii="Arial" w:hAnsi="Arial" w:cs="Arial"/>
          <w:i w:val="0"/>
          <w:lang w:val="en-GB"/>
        </w:rPr>
        <w:t>solved</w:t>
      </w:r>
      <w:r w:rsidR="007B7640" w:rsidRPr="00CD59CC">
        <w:rPr>
          <w:rFonts w:ascii="Arial" w:hAnsi="Arial" w:cs="Arial"/>
          <w:i w:val="0"/>
          <w:lang w:val="en-GB"/>
        </w:rPr>
        <w:t xml:space="preserve"> </w:t>
      </w:r>
      <w:r w:rsidRPr="00CD59CC">
        <w:rPr>
          <w:rFonts w:ascii="Arial" w:hAnsi="Arial" w:cs="Arial"/>
          <w:i w:val="0"/>
          <w:lang w:val="en-GB"/>
        </w:rPr>
        <w:t>by</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coming</w:t>
      </w:r>
      <w:r w:rsidR="007B7640" w:rsidRPr="00CD59CC">
        <w:rPr>
          <w:rFonts w:ascii="Arial" w:hAnsi="Arial" w:cs="Arial"/>
          <w:i w:val="0"/>
          <w:lang w:val="en-GB"/>
        </w:rPr>
        <w:t xml:space="preserve"> </w:t>
      </w:r>
      <w:r w:rsidRPr="00CD59CC">
        <w:rPr>
          <w:rFonts w:ascii="Arial" w:hAnsi="Arial" w:cs="Arial"/>
          <w:i w:val="0"/>
          <w:lang w:val="en-GB"/>
        </w:rPr>
        <w:t>into</w:t>
      </w:r>
      <w:r w:rsidR="007B7640" w:rsidRPr="00CD59CC">
        <w:rPr>
          <w:rFonts w:ascii="Arial" w:hAnsi="Arial" w:cs="Arial"/>
          <w:i w:val="0"/>
          <w:lang w:val="en-GB"/>
        </w:rPr>
        <w:t xml:space="preserve"> </w:t>
      </w:r>
      <w:r w:rsidRPr="00CD59CC">
        <w:rPr>
          <w:rFonts w:ascii="Arial" w:hAnsi="Arial" w:cs="Arial"/>
          <w:i w:val="0"/>
          <w:lang w:val="en-GB"/>
        </w:rPr>
        <w:t>force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Labour</w:t>
      </w:r>
      <w:r w:rsidR="007B7640" w:rsidRPr="00CD59CC">
        <w:rPr>
          <w:rFonts w:ascii="Arial" w:hAnsi="Arial" w:cs="Arial"/>
          <w:i w:val="0"/>
          <w:lang w:val="en-GB"/>
        </w:rPr>
        <w:t xml:space="preserve"> </w:t>
      </w:r>
      <w:r w:rsidRPr="00CD59CC">
        <w:rPr>
          <w:rFonts w:ascii="Arial" w:hAnsi="Arial" w:cs="Arial"/>
          <w:i w:val="0"/>
          <w:lang w:val="en-GB"/>
        </w:rPr>
        <w:t>Code</w:t>
      </w:r>
      <w:r w:rsidR="007B7640" w:rsidRPr="00CD59CC">
        <w:rPr>
          <w:rFonts w:ascii="Arial" w:hAnsi="Arial" w:cs="Arial"/>
          <w:i w:val="0"/>
          <w:lang w:val="en-GB"/>
        </w:rPr>
        <w:t xml:space="preserve"> </w:t>
      </w:r>
      <w:r w:rsidRPr="00CD59CC">
        <w:rPr>
          <w:rFonts w:ascii="Arial" w:hAnsi="Arial" w:cs="Arial"/>
          <w:i w:val="0"/>
          <w:lang w:val="en-GB"/>
        </w:rPr>
        <w:t>either.</w:t>
      </w:r>
      <w:r w:rsidR="007B7640" w:rsidRPr="00CD59CC">
        <w:rPr>
          <w:rFonts w:ascii="Arial" w:hAnsi="Arial" w:cs="Arial"/>
          <w:i w:val="0"/>
          <w:lang w:val="en-GB"/>
        </w:rPr>
        <w:t xml:space="preserve"> </w:t>
      </w: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Article</w:t>
      </w:r>
      <w:r w:rsidR="007B7640" w:rsidRPr="00CD59CC">
        <w:rPr>
          <w:rFonts w:ascii="Arial" w:hAnsi="Arial" w:cs="Arial"/>
          <w:i w:val="0"/>
          <w:lang w:val="en-GB"/>
        </w:rPr>
        <w:t xml:space="preserve"> </w:t>
      </w:r>
      <w:r w:rsidRPr="00CD59CC">
        <w:rPr>
          <w:rFonts w:ascii="Arial" w:hAnsi="Arial" w:cs="Arial"/>
          <w:i w:val="0"/>
          <w:lang w:val="en-GB"/>
        </w:rPr>
        <w:t>51</w:t>
      </w:r>
      <w:r w:rsidR="007B7640" w:rsidRPr="00CD59CC">
        <w:rPr>
          <w:rFonts w:ascii="Arial" w:hAnsi="Arial" w:cs="Arial"/>
          <w:i w:val="0"/>
          <w:lang w:val="en-GB"/>
        </w:rPr>
        <w:t xml:space="preserve"> </w:t>
      </w:r>
      <w:r w:rsidRPr="00CD59CC">
        <w:rPr>
          <w:rFonts w:ascii="Arial" w:hAnsi="Arial" w:cs="Arial"/>
          <w:i w:val="0"/>
          <w:lang w:val="en-GB"/>
        </w:rPr>
        <w:t>Paragraph</w:t>
      </w:r>
      <w:r w:rsidR="007B7640" w:rsidRPr="00CD59CC">
        <w:rPr>
          <w:rFonts w:ascii="Arial" w:hAnsi="Arial" w:cs="Arial"/>
          <w:i w:val="0"/>
          <w:lang w:val="en-GB"/>
        </w:rPr>
        <w:t xml:space="preserve"> </w:t>
      </w:r>
      <w:r w:rsidRPr="00CD59CC">
        <w:rPr>
          <w:rFonts w:ascii="Arial" w:hAnsi="Arial" w:cs="Arial"/>
          <w:i w:val="0"/>
          <w:lang w:val="en-GB"/>
        </w:rPr>
        <w:t>(5)</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Code,</w:t>
      </w:r>
      <w:r w:rsidR="007B7640" w:rsidRPr="00CD59CC">
        <w:rPr>
          <w:rFonts w:ascii="Arial" w:hAnsi="Arial" w:cs="Arial"/>
          <w:i w:val="0"/>
          <w:lang w:val="en-GB"/>
        </w:rPr>
        <w:t xml:space="preserve"> </w:t>
      </w:r>
      <w:r w:rsidRPr="00CD59CC">
        <w:rPr>
          <w:rFonts w:ascii="Arial" w:hAnsi="Arial" w:cs="Arial"/>
          <w:i w:val="0"/>
          <w:lang w:val="en-GB"/>
        </w:rPr>
        <w:t>“when</w:t>
      </w:r>
      <w:r w:rsidR="007B7640" w:rsidRPr="00CD59CC">
        <w:rPr>
          <w:rFonts w:ascii="Arial" w:hAnsi="Arial" w:cs="Arial"/>
          <w:i w:val="0"/>
          <w:lang w:val="en-GB"/>
        </w:rPr>
        <w:t xml:space="preserve"> </w:t>
      </w:r>
      <w:r w:rsidRPr="00CD59CC">
        <w:rPr>
          <w:rFonts w:ascii="Arial" w:hAnsi="Arial" w:cs="Arial"/>
          <w:i w:val="0"/>
          <w:lang w:val="en-GB"/>
        </w:rPr>
        <w:t>employing</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person</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disability,</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conditions</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shall</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guaranteed”.</w:t>
      </w:r>
      <w:r w:rsidR="007B7640" w:rsidRPr="00CD59CC">
        <w:rPr>
          <w:rFonts w:ascii="Arial" w:hAnsi="Arial" w:cs="Arial"/>
          <w:i w:val="0"/>
          <w:lang w:val="en-GB"/>
        </w:rPr>
        <w:t xml:space="preserve">   </w:t>
      </w:r>
    </w:p>
    <w:p w14:paraId="5CD8867D" w14:textId="77777777" w:rsidR="003870FA" w:rsidRPr="00CD59CC" w:rsidRDefault="003870FA" w:rsidP="00CD59CC">
      <w:pPr>
        <w:pStyle w:val="BodyText"/>
        <w:rPr>
          <w:rFonts w:ascii="Arial" w:hAnsi="Arial" w:cs="Arial"/>
          <w:lang w:val="en-GB"/>
        </w:rPr>
      </w:pPr>
    </w:p>
    <w:p w14:paraId="79AC4B30"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any</w:t>
      </w:r>
      <w:r w:rsidR="007B7640" w:rsidRPr="00CD59CC">
        <w:rPr>
          <w:rFonts w:ascii="Arial" w:hAnsi="Arial" w:cs="Arial"/>
          <w:i w:val="0"/>
          <w:lang w:val="en-GB"/>
        </w:rPr>
        <w:t xml:space="preserve"> </w:t>
      </w:r>
      <w:r w:rsidRPr="00CD59CC">
        <w:rPr>
          <w:rFonts w:ascii="Arial" w:hAnsi="Arial" w:cs="Arial"/>
          <w:i w:val="0"/>
          <w:lang w:val="en-GB"/>
        </w:rPr>
        <w:t>case,</w:t>
      </w:r>
      <w:r w:rsidR="007B7640" w:rsidRPr="00CD59CC">
        <w:rPr>
          <w:rFonts w:ascii="Arial" w:hAnsi="Arial" w:cs="Arial"/>
          <w:i w:val="0"/>
          <w:lang w:val="en-GB"/>
        </w:rPr>
        <w:t xml:space="preserve"> </w:t>
      </w:r>
      <w:r w:rsidRPr="00CD59CC">
        <w:rPr>
          <w:rFonts w:ascii="Arial" w:hAnsi="Arial" w:cs="Arial"/>
          <w:i w:val="0"/>
          <w:lang w:val="en-GB"/>
        </w:rPr>
        <w:t>based</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horizontal</w:t>
      </w:r>
      <w:r w:rsidR="007B7640" w:rsidRPr="00CD59CC">
        <w:rPr>
          <w:rFonts w:ascii="Arial" w:hAnsi="Arial" w:cs="Arial"/>
          <w:i w:val="0"/>
          <w:lang w:val="en-GB"/>
        </w:rPr>
        <w:t xml:space="preserve"> </w:t>
      </w:r>
      <w:r w:rsidRPr="00CD59CC">
        <w:rPr>
          <w:rFonts w:ascii="Arial" w:hAnsi="Arial" w:cs="Arial"/>
          <w:i w:val="0"/>
          <w:lang w:val="en-GB"/>
        </w:rPr>
        <w:t>direct</w:t>
      </w:r>
      <w:r w:rsidR="007B7640" w:rsidRPr="00CD59CC">
        <w:rPr>
          <w:rFonts w:ascii="Arial" w:hAnsi="Arial" w:cs="Arial"/>
          <w:i w:val="0"/>
          <w:lang w:val="en-GB"/>
        </w:rPr>
        <w:t xml:space="preserve"> </w:t>
      </w:r>
      <w:r w:rsidRPr="00CD59CC">
        <w:rPr>
          <w:rFonts w:ascii="Arial" w:hAnsi="Arial" w:cs="Arial"/>
          <w:i w:val="0"/>
          <w:lang w:val="en-GB"/>
        </w:rPr>
        <w:t>effect</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anti-discrimination</w:t>
      </w:r>
      <w:r w:rsidR="007B7640" w:rsidRPr="00CD59CC">
        <w:rPr>
          <w:rFonts w:ascii="Arial" w:hAnsi="Arial" w:cs="Arial"/>
          <w:i w:val="0"/>
          <w:lang w:val="en-GB"/>
        </w:rPr>
        <w:t xml:space="preserve"> </w:t>
      </w:r>
      <w:r w:rsidRPr="00CD59CC">
        <w:rPr>
          <w:rFonts w:ascii="Arial" w:hAnsi="Arial" w:cs="Arial"/>
          <w:i w:val="0"/>
          <w:lang w:val="en-GB"/>
        </w:rPr>
        <w:t>directives</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established</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Mangold</w:t>
      </w:r>
      <w:r w:rsidR="007B7640" w:rsidRPr="00CD59CC">
        <w:rPr>
          <w:rFonts w:ascii="Arial" w:hAnsi="Arial" w:cs="Arial"/>
          <w:i w:val="0"/>
          <w:lang w:val="en-GB"/>
        </w:rPr>
        <w:t xml:space="preserve"> </w:t>
      </w:r>
      <w:r w:rsidRPr="00CD59CC">
        <w:rPr>
          <w:rFonts w:ascii="Arial" w:hAnsi="Arial" w:cs="Arial"/>
          <w:i w:val="0"/>
          <w:lang w:val="en-GB"/>
        </w:rPr>
        <w:t>case),</w:t>
      </w:r>
      <w:r w:rsidR="007B7640" w:rsidRPr="00CD59CC">
        <w:rPr>
          <w:rFonts w:ascii="Arial" w:hAnsi="Arial" w:cs="Arial"/>
          <w:i w:val="0"/>
          <w:lang w:val="en-GB"/>
        </w:rPr>
        <w:t xml:space="preserve"> </w:t>
      </w:r>
      <w:r w:rsidRPr="00CD59CC">
        <w:rPr>
          <w:rFonts w:ascii="Arial" w:hAnsi="Arial" w:cs="Arial"/>
          <w:i w:val="0"/>
          <w:lang w:val="en-GB"/>
        </w:rPr>
        <w:t>it</w:t>
      </w:r>
      <w:r w:rsidR="007B7640" w:rsidRPr="00CD59CC">
        <w:rPr>
          <w:rFonts w:ascii="Arial" w:hAnsi="Arial" w:cs="Arial"/>
          <w:i w:val="0"/>
          <w:lang w:val="en-GB"/>
        </w:rPr>
        <w:t xml:space="preserve"> </w:t>
      </w:r>
      <w:r w:rsidRPr="00CD59CC">
        <w:rPr>
          <w:rFonts w:ascii="Arial" w:hAnsi="Arial" w:cs="Arial"/>
          <w:i w:val="0"/>
          <w:lang w:val="en-GB"/>
        </w:rPr>
        <w:t>would</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possible</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person</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disability</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act</w:t>
      </w:r>
      <w:r w:rsidR="007B7640" w:rsidRPr="00CD59CC">
        <w:rPr>
          <w:rFonts w:ascii="Arial" w:hAnsi="Arial" w:cs="Arial"/>
          <w:i w:val="0"/>
          <w:lang w:val="en-GB"/>
        </w:rPr>
        <w:t xml:space="preserve"> </w:t>
      </w:r>
      <w:r w:rsidRPr="00CD59CC">
        <w:rPr>
          <w:rFonts w:ascii="Arial" w:hAnsi="Arial" w:cs="Arial"/>
          <w:i w:val="0"/>
          <w:lang w:val="en-GB"/>
        </w:rPr>
        <w:t>against</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rejection</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based</w:t>
      </w:r>
      <w:r w:rsidR="007B7640" w:rsidRPr="00CD59CC">
        <w:rPr>
          <w:rFonts w:ascii="Arial" w:hAnsi="Arial" w:cs="Arial"/>
          <w:i w:val="0"/>
          <w:lang w:val="en-GB"/>
        </w:rPr>
        <w:t xml:space="preserve"> </w:t>
      </w:r>
      <w:r w:rsidRPr="00CD59CC">
        <w:rPr>
          <w:rFonts w:ascii="Arial" w:hAnsi="Arial" w:cs="Arial"/>
          <w:i w:val="0"/>
          <w:lang w:val="en-GB"/>
        </w:rPr>
        <w:t>by</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difficulties</w:t>
      </w:r>
      <w:r w:rsidR="007B7640" w:rsidRPr="00CD59CC">
        <w:rPr>
          <w:rFonts w:ascii="Arial" w:hAnsi="Arial" w:cs="Arial"/>
          <w:i w:val="0"/>
          <w:lang w:val="en-GB"/>
        </w:rPr>
        <w:t xml:space="preserve"> </w:t>
      </w:r>
      <w:r w:rsidRPr="00CD59CC">
        <w:rPr>
          <w:rFonts w:ascii="Arial" w:hAnsi="Arial" w:cs="Arial"/>
          <w:i w:val="0"/>
          <w:lang w:val="en-GB"/>
        </w:rPr>
        <w:t>he/she</w:t>
      </w:r>
      <w:r w:rsidR="007B7640" w:rsidRPr="00CD59CC">
        <w:rPr>
          <w:rFonts w:ascii="Arial" w:hAnsi="Arial" w:cs="Arial"/>
          <w:i w:val="0"/>
          <w:lang w:val="en-GB"/>
        </w:rPr>
        <w:t xml:space="preserve"> </w:t>
      </w:r>
      <w:r w:rsidRPr="00CD59CC">
        <w:rPr>
          <w:rFonts w:ascii="Arial" w:hAnsi="Arial" w:cs="Arial"/>
          <w:i w:val="0"/>
          <w:lang w:val="en-GB"/>
        </w:rPr>
        <w:t>would</w:t>
      </w:r>
      <w:r w:rsidR="007B7640" w:rsidRPr="00CD59CC">
        <w:rPr>
          <w:rFonts w:ascii="Arial" w:hAnsi="Arial" w:cs="Arial"/>
          <w:i w:val="0"/>
          <w:lang w:val="en-GB"/>
        </w:rPr>
        <w:t xml:space="preserve"> </w:t>
      </w:r>
      <w:r w:rsidRPr="00CD59CC">
        <w:rPr>
          <w:rFonts w:ascii="Arial" w:hAnsi="Arial" w:cs="Arial"/>
          <w:i w:val="0"/>
          <w:lang w:val="en-GB"/>
        </w:rPr>
        <w:t>face</w:t>
      </w:r>
      <w:r w:rsidR="007B7640" w:rsidRPr="00CD59CC">
        <w:rPr>
          <w:rFonts w:ascii="Arial" w:hAnsi="Arial" w:cs="Arial"/>
          <w:i w:val="0"/>
          <w:lang w:val="en-GB"/>
        </w:rPr>
        <w:t xml:space="preserve"> </w:t>
      </w:r>
      <w:r w:rsidRPr="00CD59CC">
        <w:rPr>
          <w:rFonts w:ascii="Arial" w:hAnsi="Arial" w:cs="Arial"/>
          <w:i w:val="0"/>
          <w:lang w:val="en-GB"/>
        </w:rPr>
        <w:t>because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need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make</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However,</w:t>
      </w:r>
      <w:r w:rsidR="007B7640" w:rsidRPr="00CD59CC">
        <w:rPr>
          <w:rFonts w:ascii="Arial" w:hAnsi="Arial" w:cs="Arial"/>
          <w:i w:val="0"/>
          <w:lang w:val="en-GB"/>
        </w:rPr>
        <w:t xml:space="preserve"> </w:t>
      </w:r>
      <w:r w:rsidRPr="00CD59CC">
        <w:rPr>
          <w:rFonts w:ascii="Arial" w:hAnsi="Arial" w:cs="Arial"/>
          <w:i w:val="0"/>
          <w:lang w:val="en-GB"/>
        </w:rPr>
        <w:t>it</w:t>
      </w:r>
      <w:r w:rsidR="007B7640" w:rsidRPr="00CD59CC">
        <w:rPr>
          <w:rFonts w:ascii="Arial" w:hAnsi="Arial" w:cs="Arial"/>
          <w:i w:val="0"/>
          <w:lang w:val="en-GB"/>
        </w:rPr>
        <w:t xml:space="preserve"> </w:t>
      </w:r>
      <w:r w:rsidRPr="00CD59CC">
        <w:rPr>
          <w:rFonts w:ascii="Arial" w:hAnsi="Arial" w:cs="Arial"/>
          <w:i w:val="0"/>
          <w:lang w:val="en-GB"/>
        </w:rPr>
        <w:t>may</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all</w:t>
      </w:r>
      <w:r w:rsidR="007B7640" w:rsidRPr="00CD59CC">
        <w:rPr>
          <w:rFonts w:ascii="Arial" w:hAnsi="Arial" w:cs="Arial"/>
          <w:i w:val="0"/>
          <w:lang w:val="en-GB"/>
        </w:rPr>
        <w:t xml:space="preserve"> </w:t>
      </w:r>
      <w:r w:rsidRPr="00CD59CC">
        <w:rPr>
          <w:rFonts w:ascii="Arial" w:hAnsi="Arial" w:cs="Arial"/>
          <w:i w:val="0"/>
          <w:lang w:val="en-GB"/>
        </w:rPr>
        <w:t>cases</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advisable</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formulate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law</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way</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makes</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more</w:t>
      </w:r>
      <w:r w:rsidR="007B7640" w:rsidRPr="00CD59CC">
        <w:rPr>
          <w:rFonts w:ascii="Arial" w:hAnsi="Arial" w:cs="Arial"/>
          <w:i w:val="0"/>
          <w:lang w:val="en-GB"/>
        </w:rPr>
        <w:t xml:space="preserve"> </w:t>
      </w:r>
      <w:r w:rsidRPr="00CD59CC">
        <w:rPr>
          <w:rFonts w:ascii="Arial" w:hAnsi="Arial" w:cs="Arial"/>
          <w:i w:val="0"/>
          <w:lang w:val="en-GB"/>
        </w:rPr>
        <w:t>explicit</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relation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access</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w:t>
      </w:r>
      <w:r w:rsidR="007B7640" w:rsidRPr="00CD59CC">
        <w:rPr>
          <w:rFonts w:ascii="Arial" w:hAnsi="Arial" w:cs="Arial"/>
          <w:i w:val="0"/>
          <w:lang w:val="en-GB"/>
        </w:rPr>
        <w:t xml:space="preserve"> </w:t>
      </w:r>
      <w:r w:rsidRPr="00CD59CC">
        <w:rPr>
          <w:rFonts w:ascii="Arial" w:hAnsi="Arial" w:cs="Arial"/>
          <w:i w:val="0"/>
          <w:lang w:val="en-GB"/>
        </w:rPr>
        <w:t>e.g.</w:t>
      </w:r>
      <w:r w:rsidR="007B7640" w:rsidRPr="00CD59CC">
        <w:rPr>
          <w:rFonts w:ascii="Arial" w:hAnsi="Arial" w:cs="Arial"/>
          <w:i w:val="0"/>
          <w:lang w:val="en-GB"/>
        </w:rPr>
        <w:t xml:space="preserve"> </w:t>
      </w:r>
      <w:r w:rsidRPr="00CD59CC">
        <w:rPr>
          <w:rFonts w:ascii="Arial" w:hAnsi="Arial" w:cs="Arial"/>
          <w:i w:val="0"/>
          <w:lang w:val="en-GB"/>
        </w:rPr>
        <w:t>by</w:t>
      </w:r>
      <w:r w:rsidR="007B7640" w:rsidRPr="00CD59CC">
        <w:rPr>
          <w:rFonts w:ascii="Arial" w:hAnsi="Arial" w:cs="Arial"/>
          <w:i w:val="0"/>
          <w:lang w:val="en-GB"/>
        </w:rPr>
        <w:t xml:space="preserve"> </w:t>
      </w:r>
      <w:r w:rsidRPr="00CD59CC">
        <w:rPr>
          <w:rFonts w:ascii="Arial" w:hAnsi="Arial" w:cs="Arial"/>
          <w:i w:val="0"/>
          <w:lang w:val="en-GB"/>
        </w:rPr>
        <w:t>appropriately</w:t>
      </w:r>
      <w:r w:rsidR="007B7640" w:rsidRPr="00CD59CC">
        <w:rPr>
          <w:rFonts w:ascii="Arial" w:hAnsi="Arial" w:cs="Arial"/>
          <w:i w:val="0"/>
          <w:lang w:val="en-GB"/>
        </w:rPr>
        <w:t xml:space="preserve"> </w:t>
      </w:r>
      <w:r w:rsidRPr="00CD59CC">
        <w:rPr>
          <w:rFonts w:ascii="Arial" w:hAnsi="Arial" w:cs="Arial"/>
          <w:i w:val="0"/>
          <w:lang w:val="en-GB"/>
        </w:rPr>
        <w:t>adapting</w:t>
      </w:r>
      <w:r w:rsidR="007B7640" w:rsidRPr="00CD59CC">
        <w:rPr>
          <w:rFonts w:ascii="Arial" w:hAnsi="Arial" w:cs="Arial"/>
          <w:i w:val="0"/>
          <w:lang w:val="en-GB"/>
        </w:rPr>
        <w:t xml:space="preserve"> </w:t>
      </w:r>
      <w:r w:rsidRPr="00CD59CC">
        <w:rPr>
          <w:rFonts w:ascii="Arial" w:hAnsi="Arial" w:cs="Arial"/>
          <w:i w:val="0"/>
          <w:lang w:val="en-GB"/>
        </w:rPr>
        <w:t>Article</w:t>
      </w:r>
      <w:r w:rsidR="007B7640" w:rsidRPr="00CD59CC">
        <w:rPr>
          <w:rFonts w:ascii="Arial" w:hAnsi="Arial" w:cs="Arial"/>
          <w:i w:val="0"/>
          <w:lang w:val="en-GB"/>
        </w:rPr>
        <w:t xml:space="preserve"> </w:t>
      </w:r>
      <w:r w:rsidRPr="00CD59CC">
        <w:rPr>
          <w:rFonts w:ascii="Arial" w:hAnsi="Arial" w:cs="Arial"/>
          <w:i w:val="0"/>
          <w:lang w:val="en-GB"/>
        </w:rPr>
        <w:t>5</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Directive</w:t>
      </w:r>
      <w:r w:rsidR="007B7640" w:rsidRPr="00CD59CC">
        <w:rPr>
          <w:rFonts w:ascii="Arial" w:hAnsi="Arial" w:cs="Arial"/>
          <w:i w:val="0"/>
          <w:lang w:val="en-GB"/>
        </w:rPr>
        <w:t xml:space="preserve"> </w:t>
      </w:r>
      <w:r w:rsidRPr="00CD59CC">
        <w:rPr>
          <w:rFonts w:ascii="Arial" w:hAnsi="Arial" w:cs="Arial"/>
          <w:i w:val="0"/>
          <w:lang w:val="en-GB"/>
        </w:rPr>
        <w:t>2000/78/EC.</w:t>
      </w:r>
    </w:p>
    <w:p w14:paraId="61CD7236" w14:textId="77777777" w:rsidR="003870FA" w:rsidRPr="00CD59CC" w:rsidRDefault="003870FA" w:rsidP="00CD59CC">
      <w:pPr>
        <w:pStyle w:val="BodyText"/>
        <w:rPr>
          <w:rFonts w:ascii="Arial" w:hAnsi="Arial" w:cs="Arial"/>
          <w:i w:val="0"/>
          <w:lang w:val="en-GB"/>
        </w:rPr>
      </w:pPr>
    </w:p>
    <w:p w14:paraId="21A37289" w14:textId="7DD3B3CD" w:rsidR="003870FA" w:rsidRPr="00CD59CC" w:rsidRDefault="003870FA" w:rsidP="00CD59CC">
      <w:pPr>
        <w:pStyle w:val="BodyText"/>
        <w:rPr>
          <w:rFonts w:ascii="Arial" w:hAnsi="Arial" w:cs="Arial"/>
          <w:i w:val="0"/>
          <w:lang w:val="en-GB"/>
        </w:rPr>
      </w:pP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Article</w:t>
      </w:r>
      <w:r w:rsidR="007B7640" w:rsidRPr="00CD59CC">
        <w:rPr>
          <w:rFonts w:ascii="Arial" w:hAnsi="Arial" w:cs="Arial"/>
          <w:i w:val="0"/>
          <w:lang w:val="en-GB"/>
        </w:rPr>
        <w:t xml:space="preserve"> </w:t>
      </w:r>
      <w:r w:rsidRPr="00CD59CC">
        <w:rPr>
          <w:rFonts w:ascii="Arial" w:hAnsi="Arial" w:cs="Arial"/>
          <w:i w:val="0"/>
          <w:lang w:val="en-GB"/>
        </w:rPr>
        <w:t>16,</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person</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disability</w:t>
      </w:r>
      <w:r w:rsidR="007B7640" w:rsidRPr="00CD59CC">
        <w:rPr>
          <w:rFonts w:ascii="Arial" w:hAnsi="Arial" w:cs="Arial"/>
          <w:i w:val="0"/>
          <w:lang w:val="en-GB"/>
        </w:rPr>
        <w:t xml:space="preserve"> </w:t>
      </w:r>
      <w:r w:rsidRPr="00CD59CC">
        <w:rPr>
          <w:rFonts w:ascii="Arial" w:hAnsi="Arial" w:cs="Arial"/>
          <w:i w:val="0"/>
          <w:lang w:val="en-GB"/>
        </w:rPr>
        <w:t>cannot</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employed</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framework</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integrated</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r w:rsidRPr="00CD59CC">
        <w:rPr>
          <w:rFonts w:ascii="Arial" w:hAnsi="Arial" w:cs="Arial"/>
          <w:i w:val="0"/>
          <w:lang w:val="en-GB"/>
        </w:rPr>
        <w:t>his/her</w:t>
      </w:r>
      <w:r w:rsidR="007B7640" w:rsidRPr="00CD59CC">
        <w:rPr>
          <w:rFonts w:ascii="Arial" w:hAnsi="Arial" w:cs="Arial"/>
          <w:i w:val="0"/>
          <w:lang w:val="en-GB"/>
        </w:rPr>
        <w:t xml:space="preserve"> </w:t>
      </w:r>
      <w:r w:rsidRPr="00CD59CC">
        <w:rPr>
          <w:rFonts w:ascii="Arial" w:hAnsi="Arial" w:cs="Arial"/>
          <w:i w:val="0"/>
          <w:lang w:val="en-GB"/>
        </w:rPr>
        <w:t>right</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work</w:t>
      </w:r>
      <w:r w:rsidR="007B7640" w:rsidRPr="00CD59CC">
        <w:rPr>
          <w:rFonts w:ascii="Arial" w:hAnsi="Arial" w:cs="Arial"/>
          <w:i w:val="0"/>
          <w:lang w:val="en-GB"/>
        </w:rPr>
        <w:t xml:space="preserve"> </w:t>
      </w:r>
      <w:r w:rsidRPr="00CD59CC">
        <w:rPr>
          <w:rFonts w:ascii="Arial" w:hAnsi="Arial" w:cs="Arial"/>
          <w:i w:val="0"/>
          <w:lang w:val="en-GB"/>
        </w:rPr>
        <w:t>must</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far</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possible</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ensured</w:t>
      </w:r>
      <w:r w:rsidR="007B7640" w:rsidRPr="00CD59CC">
        <w:rPr>
          <w:rFonts w:ascii="Arial" w:hAnsi="Arial" w:cs="Arial"/>
          <w:i w:val="0"/>
          <w:lang w:val="en-GB"/>
        </w:rPr>
        <w:t xml:space="preserve"> </w:t>
      </w:r>
      <w:r w:rsidR="00402BB4" w:rsidRPr="00CD59CC">
        <w:rPr>
          <w:rFonts w:ascii="Arial" w:hAnsi="Arial" w:cs="Arial"/>
          <w:i w:val="0"/>
          <w:lang w:val="en-GB"/>
        </w:rPr>
        <w:t>in</w:t>
      </w:r>
      <w:r w:rsidR="007B7640" w:rsidRPr="00CD59CC">
        <w:rPr>
          <w:rFonts w:ascii="Arial" w:hAnsi="Arial" w:cs="Arial"/>
          <w:i w:val="0"/>
          <w:lang w:val="en-GB"/>
        </w:rPr>
        <w:t xml:space="preserve"> </w:t>
      </w:r>
      <w:r w:rsidR="00402BB4" w:rsidRPr="00CD59CC">
        <w:rPr>
          <w:rFonts w:ascii="Arial" w:hAnsi="Arial" w:cs="Arial"/>
          <w:i w:val="0"/>
          <w:lang w:val="en-GB"/>
        </w:rPr>
        <w:t>other</w:t>
      </w:r>
      <w:r w:rsidR="007B7640" w:rsidRPr="00CD59CC">
        <w:rPr>
          <w:rFonts w:ascii="Arial" w:hAnsi="Arial" w:cs="Arial"/>
          <w:i w:val="0"/>
          <w:lang w:val="en-GB"/>
        </w:rPr>
        <w:t xml:space="preserve"> </w:t>
      </w:r>
      <w:r w:rsidR="00402BB4" w:rsidRPr="00CD59CC">
        <w:rPr>
          <w:rFonts w:ascii="Arial" w:hAnsi="Arial" w:cs="Arial"/>
          <w:i w:val="0"/>
          <w:lang w:val="en-GB"/>
        </w:rPr>
        <w:t>ways</w:t>
      </w:r>
      <w:r w:rsidRPr="00CD59CC">
        <w:rPr>
          <w:rFonts w:ascii="Arial" w:hAnsi="Arial" w:cs="Arial"/>
          <w:i w:val="0"/>
          <w:lang w:val="en-GB"/>
        </w:rPr>
        <w: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central</w:t>
      </w:r>
      <w:r w:rsidR="007B7640" w:rsidRPr="00CD59CC">
        <w:rPr>
          <w:rFonts w:ascii="Arial" w:hAnsi="Arial" w:cs="Arial"/>
          <w:i w:val="0"/>
          <w:lang w:val="en-GB"/>
        </w:rPr>
        <w:t xml:space="preserve"> </w:t>
      </w:r>
      <w:r w:rsidRPr="00CD59CC">
        <w:rPr>
          <w:rFonts w:ascii="Arial" w:hAnsi="Arial" w:cs="Arial"/>
          <w:i w:val="0"/>
          <w:lang w:val="en-GB"/>
        </w:rPr>
        <w:t>budget</w:t>
      </w:r>
      <w:r w:rsidR="007B7640" w:rsidRPr="00CD59CC">
        <w:rPr>
          <w:rFonts w:ascii="Arial" w:hAnsi="Arial" w:cs="Arial"/>
          <w:i w:val="0"/>
          <w:lang w:val="en-GB"/>
        </w:rPr>
        <w:t xml:space="preserve"> </w:t>
      </w:r>
      <w:r w:rsidRPr="00CD59CC">
        <w:rPr>
          <w:rFonts w:ascii="Arial" w:hAnsi="Arial" w:cs="Arial"/>
          <w:i w:val="0"/>
          <w:lang w:val="en-GB"/>
        </w:rPr>
        <w:t>provides</w:t>
      </w:r>
      <w:r w:rsidR="007B7640" w:rsidRPr="00CD59CC">
        <w:rPr>
          <w:rFonts w:ascii="Arial" w:hAnsi="Arial" w:cs="Arial"/>
          <w:i w:val="0"/>
          <w:lang w:val="en-GB"/>
        </w:rPr>
        <w:t xml:space="preserve"> </w:t>
      </w:r>
      <w:r w:rsidRPr="00CD59CC">
        <w:rPr>
          <w:rFonts w:ascii="Arial" w:hAnsi="Arial" w:cs="Arial"/>
          <w:i w:val="0"/>
          <w:lang w:val="en-GB"/>
        </w:rPr>
        <w:t>normative</w:t>
      </w:r>
      <w:r w:rsidR="007B7640" w:rsidRPr="00CD59CC">
        <w:rPr>
          <w:rFonts w:ascii="Arial" w:hAnsi="Arial" w:cs="Arial"/>
          <w:i w:val="0"/>
          <w:lang w:val="en-GB"/>
        </w:rPr>
        <w:t xml:space="preserve"> </w:t>
      </w:r>
      <w:r w:rsidRPr="00CD59CC">
        <w:rPr>
          <w:rFonts w:ascii="Arial" w:hAnsi="Arial" w:cs="Arial"/>
          <w:i w:val="0"/>
          <w:lang w:val="en-GB"/>
        </w:rPr>
        <w:t>support</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00402BB4" w:rsidRPr="00CD59CC">
        <w:rPr>
          <w:rFonts w:ascii="Arial" w:hAnsi="Arial" w:cs="Arial"/>
          <w:i w:val="0"/>
          <w:lang w:val="en-GB"/>
        </w:rPr>
        <w:t>employers</w:t>
      </w:r>
      <w:r w:rsidR="007B7640" w:rsidRPr="00CD59CC">
        <w:rPr>
          <w:rFonts w:ascii="Arial" w:hAnsi="Arial" w:cs="Arial"/>
          <w:i w:val="0"/>
          <w:lang w:val="en-GB"/>
        </w:rPr>
        <w:t xml:space="preserve"> </w:t>
      </w:r>
      <w:r w:rsidR="00402BB4" w:rsidRPr="00CD59CC">
        <w:rPr>
          <w:rFonts w:ascii="Arial" w:hAnsi="Arial" w:cs="Arial"/>
          <w:i w:val="0"/>
          <w:lang w:val="en-GB"/>
        </w:rPr>
        <w:t>maintaining</w:t>
      </w:r>
      <w:r w:rsidR="007B7640" w:rsidRPr="00CD59CC">
        <w:rPr>
          <w:rFonts w:ascii="Arial" w:hAnsi="Arial" w:cs="Arial"/>
          <w:i w:val="0"/>
          <w:lang w:val="en-GB"/>
        </w:rPr>
        <w:t xml:space="preserve"> </w:t>
      </w:r>
      <w:r w:rsidR="00402BB4" w:rsidRPr="00CD59CC">
        <w:rPr>
          <w:rFonts w:ascii="Arial" w:hAnsi="Arial" w:cs="Arial"/>
          <w:i w:val="0"/>
          <w:lang w:val="en-GB"/>
        </w:rPr>
        <w:t>alternative</w:t>
      </w:r>
      <w:r w:rsidR="007B7640" w:rsidRPr="00CD59CC">
        <w:rPr>
          <w:rFonts w:ascii="Arial" w:hAnsi="Arial" w:cs="Arial"/>
          <w:i w:val="0"/>
          <w:lang w:val="en-GB"/>
        </w:rPr>
        <w:t xml:space="preserve"> </w:t>
      </w:r>
      <w:r w:rsidR="00402BB4" w:rsidRPr="00CD59CC">
        <w:rPr>
          <w:rFonts w:ascii="Arial" w:hAnsi="Arial" w:cs="Arial"/>
          <w:i w:val="0"/>
          <w:lang w:val="en-GB"/>
        </w:rPr>
        <w:t>forms</w:t>
      </w:r>
      <w:r w:rsidR="007B7640" w:rsidRPr="00CD59CC">
        <w:rPr>
          <w:rFonts w:ascii="Arial" w:hAnsi="Arial" w:cs="Arial"/>
          <w:i w:val="0"/>
          <w:lang w:val="en-GB"/>
        </w:rPr>
        <w:t xml:space="preserve"> </w:t>
      </w:r>
      <w:r w:rsidR="00402BB4" w:rsidRPr="00CD59CC">
        <w:rPr>
          <w:rFonts w:ascii="Arial" w:hAnsi="Arial" w:cs="Arial"/>
          <w:i w:val="0"/>
          <w:lang w:val="en-GB"/>
        </w:rPr>
        <w:t>of</w:t>
      </w:r>
      <w:r w:rsidR="007B7640" w:rsidRPr="00CD59CC">
        <w:rPr>
          <w:rFonts w:ascii="Arial" w:hAnsi="Arial" w:cs="Arial"/>
          <w:i w:val="0"/>
          <w:lang w:val="en-GB"/>
        </w:rPr>
        <w:t xml:space="preserve"> </w:t>
      </w:r>
      <w:r w:rsidR="00402BB4" w:rsidRPr="00CD59CC">
        <w:rPr>
          <w:rFonts w:ascii="Arial" w:hAnsi="Arial" w:cs="Arial"/>
          <w:i w:val="0"/>
          <w:lang w:val="en-GB"/>
        </w:rPr>
        <w:t>work</w:t>
      </w:r>
      <w:r w:rsidRPr="00CD59CC">
        <w:rPr>
          <w:rFonts w:ascii="Arial" w:hAnsi="Arial" w:cs="Arial"/>
          <w:i w:val="0"/>
          <w:lang w:val="en-GB"/>
        </w:rPr>
        <w:t>.</w:t>
      </w:r>
      <w:r w:rsidR="007B7640" w:rsidRPr="00CD59CC">
        <w:rPr>
          <w:rFonts w:ascii="Arial" w:hAnsi="Arial" w:cs="Arial"/>
          <w:i w:val="0"/>
          <w:lang w:val="en-GB"/>
        </w:rPr>
        <w:t xml:space="preserve"> </w:t>
      </w:r>
    </w:p>
    <w:p w14:paraId="166DC159" w14:textId="77777777" w:rsidR="003870FA" w:rsidRPr="00CD59CC" w:rsidRDefault="003870FA" w:rsidP="00CD59CC">
      <w:pPr>
        <w:pStyle w:val="BodyText"/>
        <w:rPr>
          <w:rFonts w:ascii="Arial" w:hAnsi="Arial" w:cs="Arial"/>
          <w:i w:val="0"/>
          <w:lang w:val="en-GB"/>
        </w:rPr>
      </w:pPr>
    </w:p>
    <w:p w14:paraId="0B9F2311"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Article</w:t>
      </w:r>
      <w:r w:rsidR="007B7640" w:rsidRPr="00CD59CC">
        <w:rPr>
          <w:rFonts w:ascii="Arial" w:hAnsi="Arial" w:cs="Arial"/>
          <w:i w:val="0"/>
          <w:lang w:val="en-GB"/>
        </w:rPr>
        <w:t xml:space="preserve"> </w:t>
      </w:r>
      <w:r w:rsidRPr="00CD59CC">
        <w:rPr>
          <w:rFonts w:ascii="Arial" w:hAnsi="Arial" w:cs="Arial"/>
          <w:i w:val="0"/>
          <w:lang w:val="en-GB"/>
        </w:rPr>
        <w:t>19</w:t>
      </w:r>
      <w:r w:rsidR="007B7640" w:rsidRPr="00CD59CC">
        <w:rPr>
          <w:rFonts w:ascii="Arial" w:hAnsi="Arial" w:cs="Arial"/>
          <w:i w:val="0"/>
          <w:lang w:val="en-GB"/>
        </w:rPr>
        <w:t xml:space="preserve"> </w:t>
      </w:r>
      <w:r w:rsidRPr="00CD59CC">
        <w:rPr>
          <w:rFonts w:ascii="Arial" w:hAnsi="Arial" w:cs="Arial"/>
          <w:i w:val="0"/>
          <w:lang w:val="en-GB"/>
        </w:rPr>
        <w:t>Paragraph</w:t>
      </w:r>
      <w:r w:rsidR="007B7640" w:rsidRPr="00CD59CC">
        <w:rPr>
          <w:rFonts w:ascii="Arial" w:hAnsi="Arial" w:cs="Arial"/>
          <w:i w:val="0"/>
          <w:lang w:val="en-GB"/>
        </w:rPr>
        <w:t xml:space="preserve"> </w:t>
      </w:r>
      <w:r w:rsidRPr="00CD59CC">
        <w:rPr>
          <w:rFonts w:ascii="Arial" w:hAnsi="Arial" w:cs="Arial"/>
          <w:i w:val="0"/>
          <w:lang w:val="en-GB"/>
        </w:rPr>
        <w:t>(4)</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Act</w:t>
      </w:r>
      <w:r w:rsidR="007B7640" w:rsidRPr="00CD59CC">
        <w:rPr>
          <w:rFonts w:ascii="Arial" w:hAnsi="Arial" w:cs="Arial"/>
          <w:i w:val="0"/>
          <w:lang w:val="en-GB"/>
        </w:rPr>
        <w:t xml:space="preserve"> </w:t>
      </w:r>
      <w:r w:rsidRPr="00CD59CC">
        <w:rPr>
          <w:rFonts w:ascii="Arial" w:hAnsi="Arial" w:cs="Arial"/>
          <w:i w:val="0"/>
          <w:lang w:val="en-GB"/>
        </w:rPr>
        <w:t>XCIII</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1993</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Work</w:t>
      </w:r>
      <w:r w:rsidR="007B7640" w:rsidRPr="00CD59CC">
        <w:rPr>
          <w:rFonts w:ascii="Arial" w:hAnsi="Arial" w:cs="Arial"/>
          <w:i w:val="0"/>
          <w:lang w:val="en-GB"/>
        </w:rPr>
        <w:t xml:space="preserve"> </w:t>
      </w:r>
      <w:r w:rsidRPr="00CD59CC">
        <w:rPr>
          <w:rFonts w:ascii="Arial" w:hAnsi="Arial" w:cs="Arial"/>
          <w:i w:val="0"/>
          <w:lang w:val="en-GB"/>
        </w:rPr>
        <w:t>Safety</w:t>
      </w:r>
      <w:r w:rsidR="007B7640" w:rsidRPr="00CD59CC">
        <w:rPr>
          <w:rFonts w:ascii="Arial" w:hAnsi="Arial" w:cs="Arial"/>
          <w:i w:val="0"/>
          <w:lang w:val="en-GB"/>
        </w:rPr>
        <w:t xml:space="preserve"> </w:t>
      </w:r>
      <w:r w:rsidRPr="00CD59CC">
        <w:rPr>
          <w:rFonts w:ascii="Arial" w:hAnsi="Arial" w:cs="Arial"/>
          <w:i w:val="0"/>
          <w:lang w:val="en-GB"/>
        </w:rPr>
        <w:t>(Work</w:t>
      </w:r>
      <w:r w:rsidR="007B7640" w:rsidRPr="00CD59CC">
        <w:rPr>
          <w:rFonts w:ascii="Arial" w:hAnsi="Arial" w:cs="Arial"/>
          <w:i w:val="0"/>
          <w:lang w:val="en-GB"/>
        </w:rPr>
        <w:t xml:space="preserve"> </w:t>
      </w:r>
      <w:r w:rsidRPr="00CD59CC">
        <w:rPr>
          <w:rFonts w:ascii="Arial" w:hAnsi="Arial" w:cs="Arial"/>
          <w:i w:val="0"/>
          <w:lang w:val="en-GB"/>
        </w:rPr>
        <w:t>Safety</w:t>
      </w:r>
      <w:r w:rsidR="007B7640" w:rsidRPr="00CD59CC">
        <w:rPr>
          <w:rFonts w:ascii="Arial" w:hAnsi="Arial" w:cs="Arial"/>
          <w:i w:val="0"/>
          <w:lang w:val="en-GB"/>
        </w:rPr>
        <w:t xml:space="preserve"> </w:t>
      </w:r>
      <w:r w:rsidRPr="00CD59CC">
        <w:rPr>
          <w:rFonts w:ascii="Arial" w:hAnsi="Arial" w:cs="Arial"/>
          <w:i w:val="0"/>
          <w:lang w:val="en-GB"/>
        </w:rPr>
        <w:t>Act),</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relation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creation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work</w:t>
      </w:r>
      <w:r w:rsidR="007B7640" w:rsidRPr="00CD59CC">
        <w:rPr>
          <w:rFonts w:ascii="Arial" w:hAnsi="Arial" w:cs="Arial"/>
          <w:i w:val="0"/>
          <w:lang w:val="en-GB"/>
        </w:rPr>
        <w:t xml:space="preserve"> </w:t>
      </w:r>
      <w:r w:rsidRPr="00CD59CC">
        <w:rPr>
          <w:rFonts w:ascii="Arial" w:hAnsi="Arial" w:cs="Arial"/>
          <w:i w:val="0"/>
          <w:lang w:val="en-GB"/>
        </w:rPr>
        <w:t>places</w:t>
      </w:r>
      <w:r w:rsidR="007B7640" w:rsidRPr="00CD59CC">
        <w:rPr>
          <w:rFonts w:ascii="Arial" w:hAnsi="Arial" w:cs="Arial"/>
          <w:i w:val="0"/>
          <w:lang w:val="en-GB"/>
        </w:rPr>
        <w:t xml:space="preserve"> </w:t>
      </w:r>
      <w:r w:rsidRPr="00CD59CC">
        <w:rPr>
          <w:rFonts w:ascii="Arial" w:hAnsi="Arial" w:cs="Arial"/>
          <w:i w:val="0"/>
          <w:lang w:val="en-GB"/>
        </w:rPr>
        <w:t>where</w:t>
      </w:r>
      <w:r w:rsidR="007B7640" w:rsidRPr="00CD59CC">
        <w:rPr>
          <w:rFonts w:ascii="Arial" w:hAnsi="Arial" w:cs="Arial"/>
          <w:i w:val="0"/>
          <w:lang w:val="en-GB"/>
        </w:rPr>
        <w:t xml:space="preserve"> </w:t>
      </w:r>
      <w:r w:rsidRPr="00CD59CC">
        <w:rPr>
          <w:rFonts w:ascii="Arial" w:hAnsi="Arial" w:cs="Arial"/>
          <w:i w:val="0"/>
          <w:lang w:val="en-GB"/>
        </w:rPr>
        <w:t>employees</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physical</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are</w:t>
      </w:r>
      <w:r w:rsidR="007B7640" w:rsidRPr="00CD59CC">
        <w:rPr>
          <w:rFonts w:ascii="Arial" w:hAnsi="Arial" w:cs="Arial"/>
          <w:i w:val="0"/>
          <w:lang w:val="en-GB"/>
        </w:rPr>
        <w:t xml:space="preserve"> </w:t>
      </w:r>
      <w:r w:rsidRPr="00CD59CC">
        <w:rPr>
          <w:rFonts w:ascii="Arial" w:hAnsi="Arial" w:cs="Arial"/>
          <w:i w:val="0"/>
          <w:lang w:val="en-GB"/>
        </w:rPr>
        <w:t>employed,</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physical</w:t>
      </w:r>
      <w:r w:rsidR="007B7640" w:rsidRPr="00CD59CC">
        <w:rPr>
          <w:rFonts w:ascii="Arial" w:hAnsi="Arial" w:cs="Arial"/>
          <w:i w:val="0"/>
          <w:lang w:val="en-GB"/>
        </w:rPr>
        <w:t xml:space="preserve"> </w:t>
      </w:r>
      <w:r w:rsidRPr="00CD59CC">
        <w:rPr>
          <w:rFonts w:ascii="Arial" w:hAnsi="Arial" w:cs="Arial"/>
          <w:i w:val="0"/>
          <w:lang w:val="en-GB"/>
        </w:rPr>
        <w:t>environment</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has</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suit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changes</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character</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human</w:t>
      </w:r>
      <w:r w:rsidR="007B7640" w:rsidRPr="00CD59CC">
        <w:rPr>
          <w:rFonts w:ascii="Arial" w:hAnsi="Arial" w:cs="Arial"/>
          <w:i w:val="0"/>
          <w:lang w:val="en-GB"/>
        </w:rPr>
        <w:t xml:space="preserve"> </w:t>
      </w:r>
      <w:r w:rsidRPr="00CD59CC">
        <w:rPr>
          <w:rFonts w:ascii="Arial" w:hAnsi="Arial" w:cs="Arial"/>
          <w:i w:val="0"/>
          <w:lang w:val="en-GB"/>
        </w:rPr>
        <w:t>body.</w:t>
      </w:r>
    </w:p>
    <w:p w14:paraId="7310EB56" w14:textId="77777777" w:rsidR="003870FA" w:rsidRPr="00CD59CC" w:rsidRDefault="003870FA" w:rsidP="00CD59CC">
      <w:pPr>
        <w:pStyle w:val="BodyText"/>
        <w:rPr>
          <w:rFonts w:ascii="Arial" w:hAnsi="Arial" w:cs="Arial"/>
          <w:i w:val="0"/>
          <w:lang w:val="en-GB"/>
        </w:rPr>
      </w:pPr>
    </w:p>
    <w:p w14:paraId="6B2129DE"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Work</w:t>
      </w:r>
      <w:r w:rsidR="007B7640" w:rsidRPr="00CD59CC">
        <w:rPr>
          <w:rFonts w:ascii="Arial" w:hAnsi="Arial" w:cs="Arial"/>
          <w:i w:val="0"/>
          <w:lang w:val="en-GB"/>
        </w:rPr>
        <w:t xml:space="preserve"> </w:t>
      </w:r>
      <w:r w:rsidRPr="00CD59CC">
        <w:rPr>
          <w:rFonts w:ascii="Arial" w:hAnsi="Arial" w:cs="Arial"/>
          <w:i w:val="0"/>
          <w:lang w:val="en-GB"/>
        </w:rPr>
        <w:t>Safety</w:t>
      </w:r>
      <w:r w:rsidR="007B7640" w:rsidRPr="00CD59CC">
        <w:rPr>
          <w:rFonts w:ascii="Arial" w:hAnsi="Arial" w:cs="Arial"/>
          <w:i w:val="0"/>
          <w:lang w:val="en-GB"/>
        </w:rPr>
        <w:t xml:space="preserve"> </w:t>
      </w:r>
      <w:r w:rsidRPr="00CD59CC">
        <w:rPr>
          <w:rFonts w:ascii="Arial" w:hAnsi="Arial" w:cs="Arial"/>
          <w:i w:val="0"/>
          <w:lang w:val="en-GB"/>
        </w:rPr>
        <w:t>Act</w:t>
      </w:r>
      <w:r w:rsidR="007B7640" w:rsidRPr="00CD59CC">
        <w:rPr>
          <w:rFonts w:ascii="Arial" w:hAnsi="Arial" w:cs="Arial"/>
          <w:i w:val="0"/>
          <w:lang w:val="en-GB"/>
        </w:rPr>
        <w:t xml:space="preserve"> </w:t>
      </w:r>
      <w:r w:rsidRPr="00CD59CC">
        <w:rPr>
          <w:rFonts w:ascii="Arial" w:hAnsi="Arial" w:cs="Arial"/>
          <w:i w:val="0"/>
          <w:lang w:val="en-GB"/>
        </w:rPr>
        <w:t>does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impose</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express</w:t>
      </w:r>
      <w:r w:rsidR="007B7640" w:rsidRPr="00CD59CC">
        <w:rPr>
          <w:rFonts w:ascii="Arial" w:hAnsi="Arial" w:cs="Arial"/>
          <w:i w:val="0"/>
          <w:lang w:val="en-GB"/>
        </w:rPr>
        <w:t xml:space="preserve"> </w:t>
      </w:r>
      <w:r w:rsidRPr="00CD59CC">
        <w:rPr>
          <w:rFonts w:ascii="Arial" w:hAnsi="Arial" w:cs="Arial"/>
          <w:i w:val="0"/>
          <w:lang w:val="en-GB"/>
        </w:rPr>
        <w:t>duty</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employers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yet</w:t>
      </w:r>
      <w:r w:rsidR="007B7640" w:rsidRPr="00CD59CC">
        <w:rPr>
          <w:rFonts w:ascii="Arial" w:hAnsi="Arial" w:cs="Arial"/>
          <w:i w:val="0"/>
          <w:lang w:val="en-GB"/>
        </w:rPr>
        <w:t xml:space="preserve"> </w:t>
      </w:r>
      <w:r w:rsidRPr="00CD59CC">
        <w:rPr>
          <w:rFonts w:ascii="Arial" w:hAnsi="Arial" w:cs="Arial"/>
          <w:i w:val="0"/>
          <w:lang w:val="en-GB"/>
        </w:rPr>
        <w:t>employing</w:t>
      </w:r>
      <w:r w:rsidR="007B7640" w:rsidRPr="00CD59CC">
        <w:rPr>
          <w:rFonts w:ascii="Arial" w:hAnsi="Arial" w:cs="Arial"/>
          <w:i w:val="0"/>
          <w:lang w:val="en-GB"/>
        </w:rPr>
        <w:t xml:space="preserve"> </w:t>
      </w:r>
      <w:r w:rsidRPr="00CD59CC">
        <w:rPr>
          <w:rFonts w:ascii="Arial" w:hAnsi="Arial" w:cs="Arial"/>
          <w:i w:val="0"/>
          <w:lang w:val="en-GB"/>
        </w:rPr>
        <w:t>workers</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create</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accessible</w:t>
      </w:r>
      <w:r w:rsidR="007B7640" w:rsidRPr="00CD59CC">
        <w:rPr>
          <w:rFonts w:ascii="Arial" w:hAnsi="Arial" w:cs="Arial"/>
          <w:i w:val="0"/>
          <w:lang w:val="en-GB"/>
        </w:rPr>
        <w:t xml:space="preserve"> </w:t>
      </w:r>
      <w:r w:rsidRPr="00CD59CC">
        <w:rPr>
          <w:rFonts w:ascii="Arial" w:hAnsi="Arial" w:cs="Arial"/>
          <w:i w:val="0"/>
          <w:lang w:val="en-GB"/>
        </w:rPr>
        <w:t>workplace.</w:t>
      </w:r>
      <w:r w:rsidR="007B7640" w:rsidRPr="00CD59CC">
        <w:rPr>
          <w:rFonts w:ascii="Arial" w:hAnsi="Arial" w:cs="Arial"/>
          <w:i w:val="0"/>
          <w:lang w:val="en-GB"/>
        </w:rPr>
        <w:t xml:space="preserve"> </w:t>
      </w:r>
    </w:p>
    <w:p w14:paraId="72500B94" w14:textId="77777777" w:rsidR="003870FA" w:rsidRPr="00CD59CC" w:rsidRDefault="003870FA" w:rsidP="00CD59CC">
      <w:pPr>
        <w:pStyle w:val="BodyText"/>
        <w:rPr>
          <w:rFonts w:ascii="Arial" w:hAnsi="Arial" w:cs="Arial"/>
          <w:i w:val="0"/>
          <w:lang w:val="en-GB"/>
        </w:rPr>
      </w:pPr>
    </w:p>
    <w:p w14:paraId="03D91632" w14:textId="77777777" w:rsidR="003870FA" w:rsidRPr="00CD59CC" w:rsidRDefault="003870FA" w:rsidP="00CD59CC">
      <w:pPr>
        <w:pStyle w:val="BodyText"/>
        <w:rPr>
          <w:rFonts w:ascii="Arial" w:hAnsi="Arial" w:cs="Arial"/>
          <w:i w:val="0"/>
          <w:lang w:val="en-GB"/>
        </w:rPr>
      </w:pPr>
      <w:r w:rsidRPr="00CD59CC">
        <w:rPr>
          <w:rFonts w:ascii="Arial" w:hAnsi="Arial" w:cs="Arial"/>
          <w:i w:val="0"/>
          <w:lang w:val="en-GB"/>
        </w:rPr>
        <w:t>Thus,</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Hungarian</w:t>
      </w:r>
      <w:r w:rsidR="007B7640" w:rsidRPr="00CD59CC">
        <w:rPr>
          <w:rFonts w:ascii="Arial" w:hAnsi="Arial" w:cs="Arial"/>
          <w:i w:val="0"/>
          <w:lang w:val="en-GB"/>
        </w:rPr>
        <w:t xml:space="preserve"> </w:t>
      </w:r>
      <w:r w:rsidRPr="00CD59CC">
        <w:rPr>
          <w:rFonts w:ascii="Arial" w:hAnsi="Arial" w:cs="Arial"/>
          <w:i w:val="0"/>
          <w:lang w:val="en-GB"/>
        </w:rPr>
        <w:t>legal</w:t>
      </w:r>
      <w:r w:rsidR="007B7640" w:rsidRPr="00CD59CC">
        <w:rPr>
          <w:rFonts w:ascii="Arial" w:hAnsi="Arial" w:cs="Arial"/>
          <w:i w:val="0"/>
          <w:lang w:val="en-GB"/>
        </w:rPr>
        <w:t xml:space="preserve"> </w:t>
      </w:r>
      <w:r w:rsidRPr="00CD59CC">
        <w:rPr>
          <w:rFonts w:ascii="Arial" w:hAnsi="Arial" w:cs="Arial"/>
          <w:i w:val="0"/>
          <w:lang w:val="en-GB"/>
        </w:rPr>
        <w:t>framework</w:t>
      </w:r>
      <w:r w:rsidR="007B7640" w:rsidRPr="00CD59CC">
        <w:rPr>
          <w:rFonts w:ascii="Arial" w:hAnsi="Arial" w:cs="Arial"/>
          <w:i w:val="0"/>
          <w:lang w:val="en-GB"/>
        </w:rPr>
        <w:t xml:space="preserve"> </w:t>
      </w:r>
      <w:r w:rsidRPr="00CD59CC">
        <w:rPr>
          <w:rFonts w:ascii="Arial" w:hAnsi="Arial" w:cs="Arial"/>
          <w:i w:val="0"/>
          <w:lang w:val="en-GB"/>
        </w:rPr>
        <w:t>contains</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accommodate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needs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persons</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course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recruitment</w:t>
      </w:r>
      <w:r w:rsidR="007B7640" w:rsidRPr="00CD59CC">
        <w:rPr>
          <w:rFonts w:ascii="Arial" w:hAnsi="Arial" w:cs="Arial"/>
          <w:i w:val="0"/>
          <w:lang w:val="en-GB"/>
        </w:rPr>
        <w:t xml:space="preserve"> </w:t>
      </w:r>
      <w:r w:rsidRPr="00CD59CC">
        <w:rPr>
          <w:rFonts w:ascii="Arial" w:hAnsi="Arial" w:cs="Arial"/>
          <w:i w:val="0"/>
          <w:lang w:val="en-GB"/>
        </w:rPr>
        <w:t>procedure,</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also</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adapt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working</w:t>
      </w:r>
      <w:r w:rsidR="007B7640" w:rsidRPr="00CD59CC">
        <w:rPr>
          <w:rFonts w:ascii="Arial" w:hAnsi="Arial" w:cs="Arial"/>
          <w:i w:val="0"/>
          <w:lang w:val="en-GB"/>
        </w:rPr>
        <w:t xml:space="preserve"> </w:t>
      </w:r>
      <w:r w:rsidRPr="00CD59CC">
        <w:rPr>
          <w:rFonts w:ascii="Arial" w:hAnsi="Arial" w:cs="Arial"/>
          <w:i w:val="0"/>
          <w:lang w:val="en-GB"/>
        </w:rPr>
        <w:t>environment</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needs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already</w:t>
      </w:r>
      <w:r w:rsidR="007B7640" w:rsidRPr="00CD59CC">
        <w:rPr>
          <w:rFonts w:ascii="Arial" w:hAnsi="Arial" w:cs="Arial"/>
          <w:i w:val="0"/>
          <w:lang w:val="en-GB"/>
        </w:rPr>
        <w:t xml:space="preserve"> </w:t>
      </w:r>
      <w:r w:rsidRPr="00CD59CC">
        <w:rPr>
          <w:rFonts w:ascii="Arial" w:hAnsi="Arial" w:cs="Arial"/>
          <w:i w:val="0"/>
          <w:lang w:val="en-GB"/>
        </w:rPr>
        <w:t>employed</w:t>
      </w:r>
      <w:r w:rsidR="007B7640" w:rsidRPr="00CD59CC">
        <w:rPr>
          <w:rFonts w:ascii="Arial" w:hAnsi="Arial" w:cs="Arial"/>
          <w:i w:val="0"/>
          <w:lang w:val="en-GB"/>
        </w:rPr>
        <w:t xml:space="preserve"> </w:t>
      </w:r>
      <w:r w:rsidRPr="00CD59CC">
        <w:rPr>
          <w:rFonts w:ascii="Arial" w:hAnsi="Arial" w:cs="Arial"/>
          <w:i w:val="0"/>
          <w:lang w:val="en-GB"/>
        </w:rPr>
        <w:t>employees</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However,</w:t>
      </w:r>
      <w:r w:rsidR="007B7640" w:rsidRPr="00CD59CC">
        <w:rPr>
          <w:rFonts w:ascii="Arial" w:hAnsi="Arial" w:cs="Arial"/>
          <w:i w:val="0"/>
          <w:lang w:val="en-GB"/>
        </w:rPr>
        <w:t xml:space="preserve"> </w:t>
      </w:r>
      <w:r w:rsidRPr="00CD59CC">
        <w:rPr>
          <w:rFonts w:ascii="Arial" w:hAnsi="Arial" w:cs="Arial"/>
          <w:i w:val="0"/>
          <w:lang w:val="en-GB"/>
        </w:rPr>
        <w:t>it</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expressly</w:t>
      </w:r>
      <w:r w:rsidR="007B7640" w:rsidRPr="00CD59CC">
        <w:rPr>
          <w:rFonts w:ascii="Arial" w:hAnsi="Arial" w:cs="Arial"/>
          <w:i w:val="0"/>
          <w:lang w:val="en-GB"/>
        </w:rPr>
        <w:t xml:space="preserve"> </w:t>
      </w:r>
      <w:r w:rsidRPr="00CD59CC">
        <w:rPr>
          <w:rFonts w:ascii="Arial" w:hAnsi="Arial" w:cs="Arial"/>
          <w:i w:val="0"/>
          <w:lang w:val="en-GB"/>
        </w:rPr>
        <w:t>stated</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employer</w:t>
      </w:r>
      <w:r w:rsidR="007B7640" w:rsidRPr="00CD59CC">
        <w:rPr>
          <w:rFonts w:ascii="Arial" w:hAnsi="Arial" w:cs="Arial"/>
          <w:i w:val="0"/>
          <w:lang w:val="en-GB"/>
        </w:rPr>
        <w:t xml:space="preserve"> </w:t>
      </w:r>
      <w:r w:rsidRPr="00CD59CC">
        <w:rPr>
          <w:rFonts w:ascii="Arial" w:hAnsi="Arial" w:cs="Arial"/>
          <w:i w:val="0"/>
          <w:lang w:val="en-GB"/>
        </w:rPr>
        <w:t>shall</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obliged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adapt</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working</w:t>
      </w:r>
      <w:r w:rsidR="007B7640" w:rsidRPr="00CD59CC">
        <w:rPr>
          <w:rFonts w:ascii="Arial" w:hAnsi="Arial" w:cs="Arial"/>
          <w:i w:val="0"/>
          <w:lang w:val="en-GB"/>
        </w:rPr>
        <w:t xml:space="preserve"> </w:t>
      </w:r>
      <w:r w:rsidRPr="00CD59CC">
        <w:rPr>
          <w:rFonts w:ascii="Arial" w:hAnsi="Arial" w:cs="Arial"/>
          <w:i w:val="0"/>
          <w:lang w:val="en-GB"/>
        </w:rPr>
        <w:t>environment</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special</w:t>
      </w:r>
      <w:r w:rsidR="007B7640" w:rsidRPr="00CD59CC">
        <w:rPr>
          <w:rFonts w:ascii="Arial" w:hAnsi="Arial" w:cs="Arial"/>
          <w:i w:val="0"/>
          <w:lang w:val="en-GB"/>
        </w:rPr>
        <w:t xml:space="preserve"> </w:t>
      </w:r>
      <w:r w:rsidRPr="00CD59CC">
        <w:rPr>
          <w:rFonts w:ascii="Arial" w:hAnsi="Arial" w:cs="Arial"/>
          <w:i w:val="0"/>
          <w:lang w:val="en-GB"/>
        </w:rPr>
        <w:t>needs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person</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disability</w:t>
      </w:r>
      <w:r w:rsidR="007B7640" w:rsidRPr="00CD59CC">
        <w:rPr>
          <w:rFonts w:ascii="Arial" w:hAnsi="Arial" w:cs="Arial"/>
          <w:i w:val="0"/>
          <w:lang w:val="en-GB"/>
        </w:rPr>
        <w:t xml:space="preserve"> </w:t>
      </w:r>
      <w:r w:rsidRPr="00CD59CC">
        <w:rPr>
          <w:rFonts w:ascii="Arial" w:hAnsi="Arial" w:cs="Arial"/>
          <w:i w:val="0"/>
          <w:lang w:val="en-GB"/>
        </w:rPr>
        <w:t>(e.g.</w:t>
      </w:r>
      <w:r w:rsidR="007B7640" w:rsidRPr="00CD59CC">
        <w:rPr>
          <w:rFonts w:ascii="Arial" w:hAnsi="Arial" w:cs="Arial"/>
          <w:i w:val="0"/>
          <w:lang w:val="en-GB"/>
        </w:rPr>
        <w:t xml:space="preserve"> </w:t>
      </w:r>
      <w:r w:rsidRPr="00CD59CC">
        <w:rPr>
          <w:rFonts w:ascii="Arial" w:hAnsi="Arial" w:cs="Arial"/>
          <w:i w:val="0"/>
          <w:lang w:val="en-GB"/>
        </w:rPr>
        <w:t>move</w:t>
      </w:r>
      <w:r w:rsidR="007B7640" w:rsidRPr="00CD59CC">
        <w:rPr>
          <w:rFonts w:ascii="Arial" w:hAnsi="Arial" w:cs="Arial"/>
          <w:i w:val="0"/>
          <w:lang w:val="en-GB"/>
        </w:rPr>
        <w:t xml:space="preserve"> </w:t>
      </w:r>
      <w:r w:rsidRPr="00CD59CC">
        <w:rPr>
          <w:rFonts w:ascii="Arial" w:hAnsi="Arial" w:cs="Arial"/>
          <w:i w:val="0"/>
          <w:lang w:val="en-GB"/>
        </w:rPr>
        <w:t>an</w:t>
      </w:r>
      <w:r w:rsidR="007B7640" w:rsidRPr="00CD59CC">
        <w:rPr>
          <w:rFonts w:ascii="Arial" w:hAnsi="Arial" w:cs="Arial"/>
          <w:i w:val="0"/>
          <w:lang w:val="en-GB"/>
        </w:rPr>
        <w:t xml:space="preserve"> </w:t>
      </w:r>
      <w:r w:rsidRPr="00CD59CC">
        <w:rPr>
          <w:rFonts w:ascii="Arial" w:hAnsi="Arial" w:cs="Arial"/>
          <w:i w:val="0"/>
          <w:lang w:val="en-GB"/>
        </w:rPr>
        <w:t>office</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ground</w:t>
      </w:r>
      <w:r w:rsidR="007B7640" w:rsidRPr="00CD59CC">
        <w:rPr>
          <w:rFonts w:ascii="Arial" w:hAnsi="Arial" w:cs="Arial"/>
          <w:i w:val="0"/>
          <w:lang w:val="en-GB"/>
        </w:rPr>
        <w:t xml:space="preserve"> </w:t>
      </w:r>
      <w:r w:rsidRPr="00CD59CC">
        <w:rPr>
          <w:rFonts w:ascii="Arial" w:hAnsi="Arial" w:cs="Arial"/>
          <w:i w:val="0"/>
          <w:lang w:val="en-GB"/>
        </w:rPr>
        <w:t>floor</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building</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provide</w:t>
      </w:r>
      <w:r w:rsidR="007B7640" w:rsidRPr="00CD59CC">
        <w:rPr>
          <w:rFonts w:ascii="Arial" w:hAnsi="Arial" w:cs="Arial"/>
          <w:i w:val="0"/>
          <w:lang w:val="en-GB"/>
        </w:rPr>
        <w:t xml:space="preserve"> </w:t>
      </w:r>
      <w:r w:rsidRPr="00CD59CC">
        <w:rPr>
          <w:rFonts w:ascii="Arial" w:hAnsi="Arial" w:cs="Arial"/>
          <w:i w:val="0"/>
          <w:lang w:val="en-GB"/>
        </w:rPr>
        <w:t>access</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person</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wheel</w:t>
      </w:r>
      <w:r w:rsidR="007B7640" w:rsidRPr="00CD59CC">
        <w:rPr>
          <w:rFonts w:ascii="Arial" w:hAnsi="Arial" w:cs="Arial"/>
          <w:i w:val="0"/>
          <w:lang w:val="en-GB"/>
        </w:rPr>
        <w:t xml:space="preserve"> </w:t>
      </w:r>
      <w:r w:rsidRPr="00CD59CC">
        <w:rPr>
          <w:rFonts w:ascii="Arial" w:hAnsi="Arial" w:cs="Arial"/>
          <w:i w:val="0"/>
          <w:lang w:val="en-GB"/>
        </w:rPr>
        <w:t>chair)</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view</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he/she</w:t>
      </w:r>
      <w:r w:rsidR="007B7640" w:rsidRPr="00CD59CC">
        <w:rPr>
          <w:rFonts w:ascii="Arial" w:hAnsi="Arial" w:cs="Arial"/>
          <w:i w:val="0"/>
          <w:lang w:val="en-GB"/>
        </w:rPr>
        <w:t xml:space="preserve"> </w:t>
      </w:r>
      <w:r w:rsidRPr="00CD59CC">
        <w:rPr>
          <w:rFonts w:ascii="Arial" w:hAnsi="Arial" w:cs="Arial"/>
          <w:i w:val="0"/>
          <w:lang w:val="en-GB"/>
        </w:rPr>
        <w:t>could</w:t>
      </w:r>
      <w:r w:rsidR="007B7640" w:rsidRPr="00CD59CC">
        <w:rPr>
          <w:rFonts w:ascii="Arial" w:hAnsi="Arial" w:cs="Arial"/>
          <w:i w:val="0"/>
          <w:lang w:val="en-GB"/>
        </w:rPr>
        <w:t xml:space="preserve"> </w:t>
      </w:r>
      <w:r w:rsidRPr="00CD59CC">
        <w:rPr>
          <w:rFonts w:ascii="Arial" w:hAnsi="Arial" w:cs="Arial"/>
          <w:i w:val="0"/>
          <w:lang w:val="en-GB"/>
        </w:rPr>
        <w:t>actually</w:t>
      </w:r>
      <w:r w:rsidR="007B7640" w:rsidRPr="00CD59CC">
        <w:rPr>
          <w:rFonts w:ascii="Arial" w:hAnsi="Arial" w:cs="Arial"/>
          <w:i w:val="0"/>
          <w:lang w:val="en-GB"/>
        </w:rPr>
        <w:t xml:space="preserve"> </w:t>
      </w:r>
      <w:r w:rsidRPr="00CD59CC">
        <w:rPr>
          <w:rFonts w:ascii="Arial" w:hAnsi="Arial" w:cs="Arial"/>
          <w:i w:val="0"/>
          <w:lang w:val="en-GB"/>
        </w:rPr>
        <w:t>employ</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particular</w:t>
      </w:r>
      <w:r w:rsidR="007B7640" w:rsidRPr="00CD59CC">
        <w:rPr>
          <w:rFonts w:ascii="Arial" w:hAnsi="Arial" w:cs="Arial"/>
          <w:i w:val="0"/>
          <w:lang w:val="en-GB"/>
        </w:rPr>
        <w:t xml:space="preserve"> </w:t>
      </w:r>
      <w:r w:rsidRPr="00CD59CC">
        <w:rPr>
          <w:rFonts w:ascii="Arial" w:hAnsi="Arial" w:cs="Arial"/>
          <w:i w:val="0"/>
          <w:lang w:val="en-GB"/>
        </w:rPr>
        <w:t>person.</w:t>
      </w:r>
      <w:r w:rsidR="007B7640" w:rsidRPr="00CD59CC">
        <w:rPr>
          <w:rFonts w:ascii="Arial" w:hAnsi="Arial" w:cs="Arial"/>
          <w:i w:val="0"/>
          <w:lang w:val="en-GB"/>
        </w:rPr>
        <w:t xml:space="preserve"> </w:t>
      </w:r>
    </w:p>
    <w:p w14:paraId="3A351F28" w14:textId="77777777" w:rsidR="003870FA" w:rsidRPr="00CD59CC" w:rsidRDefault="003870FA" w:rsidP="00BB4E9F">
      <w:pPr>
        <w:pStyle w:val="BodyText"/>
        <w:ind w:left="567"/>
        <w:rPr>
          <w:rFonts w:ascii="Arial" w:hAnsi="Arial" w:cs="Arial"/>
          <w:lang w:val="en-GB"/>
        </w:rPr>
      </w:pPr>
    </w:p>
    <w:p w14:paraId="22F914B4" w14:textId="77777777" w:rsidR="002B5BCD" w:rsidRPr="00CD59CC" w:rsidRDefault="002B5BCD" w:rsidP="00CD59CC">
      <w:pPr>
        <w:pStyle w:val="BodyText"/>
        <w:numPr>
          <w:ilvl w:val="0"/>
          <w:numId w:val="9"/>
        </w:numPr>
        <w:ind w:left="567" w:hanging="567"/>
        <w:rPr>
          <w:rFonts w:ascii="Arial" w:hAnsi="Arial" w:cs="Arial"/>
          <w:lang w:val="en-GB"/>
        </w:rPr>
      </w:pPr>
      <w:r w:rsidRPr="00CD59CC">
        <w:rPr>
          <w:rFonts w:ascii="Arial" w:hAnsi="Arial" w:cs="Arial"/>
          <w:lang w:val="en-GB"/>
        </w:rPr>
        <w:t>Please</w:t>
      </w:r>
      <w:r w:rsidR="007B7640" w:rsidRPr="00CD59CC">
        <w:rPr>
          <w:rFonts w:ascii="Arial" w:hAnsi="Arial" w:cs="Arial"/>
          <w:lang w:val="en-GB"/>
        </w:rPr>
        <w:t xml:space="preserve"> </w:t>
      </w:r>
      <w:r w:rsidRPr="00CD59CC">
        <w:rPr>
          <w:rFonts w:ascii="Arial" w:hAnsi="Arial" w:cs="Arial"/>
          <w:lang w:val="en-GB"/>
        </w:rPr>
        <w:t>also</w:t>
      </w:r>
      <w:r w:rsidR="007B7640" w:rsidRPr="00CD59CC">
        <w:rPr>
          <w:rFonts w:ascii="Arial" w:hAnsi="Arial" w:cs="Arial"/>
          <w:lang w:val="en-GB"/>
        </w:rPr>
        <w:t xml:space="preserve"> </w:t>
      </w:r>
      <w:r w:rsidRPr="00CD59CC">
        <w:rPr>
          <w:rFonts w:ascii="Arial" w:hAnsi="Arial" w:cs="Arial"/>
          <w:lang w:val="en-GB"/>
        </w:rPr>
        <w:t>specify</w:t>
      </w:r>
      <w:r w:rsidR="007B7640" w:rsidRPr="00CD59CC">
        <w:rPr>
          <w:rFonts w:ascii="Arial" w:hAnsi="Arial" w:cs="Arial"/>
          <w:lang w:val="en-GB"/>
        </w:rPr>
        <w:t xml:space="preserve"> </w:t>
      </w:r>
      <w:r w:rsidRPr="00CD59CC">
        <w:rPr>
          <w:rFonts w:ascii="Arial" w:hAnsi="Arial" w:cs="Arial"/>
          <w:lang w:val="en-GB"/>
        </w:rPr>
        <w:t>if</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definition</w:t>
      </w:r>
      <w:r w:rsidR="007B7640" w:rsidRPr="00CD59CC">
        <w:rPr>
          <w:rFonts w:ascii="Arial" w:hAnsi="Arial" w:cs="Arial"/>
          <w:lang w:val="en-GB"/>
        </w:rPr>
        <w:t xml:space="preserve"> </w:t>
      </w:r>
      <w:r w:rsidRPr="00CD59CC">
        <w:rPr>
          <w:rFonts w:ascii="Arial" w:hAnsi="Arial" w:cs="Arial"/>
          <w:lang w:val="en-GB"/>
        </w:rPr>
        <w:t>of</w:t>
      </w:r>
      <w:r w:rsidR="007B7640" w:rsidRPr="00CD59CC">
        <w:rPr>
          <w:rFonts w:ascii="Arial" w:hAnsi="Arial" w:cs="Arial"/>
          <w:lang w:val="en-GB"/>
        </w:rPr>
        <w:t xml:space="preserve"> </w:t>
      </w:r>
      <w:r w:rsidRPr="00CD59CC">
        <w:rPr>
          <w:rFonts w:ascii="Arial" w:hAnsi="Arial" w:cs="Arial"/>
          <w:lang w:val="en-GB"/>
        </w:rPr>
        <w:t>a</w:t>
      </w:r>
      <w:r w:rsidR="007B7640" w:rsidRPr="00CD59CC">
        <w:rPr>
          <w:rFonts w:ascii="Arial" w:hAnsi="Arial" w:cs="Arial"/>
          <w:lang w:val="en-GB"/>
        </w:rPr>
        <w:t xml:space="preserve"> </w:t>
      </w:r>
      <w:r w:rsidRPr="00CD59CC">
        <w:rPr>
          <w:rFonts w:ascii="Arial" w:hAnsi="Arial" w:cs="Arial"/>
          <w:lang w:val="en-GB"/>
        </w:rPr>
        <w:t>disability</w:t>
      </w:r>
      <w:r w:rsidR="007B7640" w:rsidRPr="00CD59CC">
        <w:rPr>
          <w:rFonts w:ascii="Arial" w:hAnsi="Arial" w:cs="Arial"/>
          <w:lang w:val="en-GB"/>
        </w:rPr>
        <w:t xml:space="preserve"> </w:t>
      </w:r>
      <w:r w:rsidRPr="00CD59CC">
        <w:rPr>
          <w:rFonts w:ascii="Arial" w:hAnsi="Arial" w:cs="Arial"/>
          <w:lang w:val="en-GB"/>
        </w:rPr>
        <w:t>for</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purposes</w:t>
      </w:r>
      <w:r w:rsidR="007B7640" w:rsidRPr="00CD59CC">
        <w:rPr>
          <w:rFonts w:ascii="Arial" w:hAnsi="Arial" w:cs="Arial"/>
          <w:lang w:val="en-GB"/>
        </w:rPr>
        <w:t xml:space="preserve"> </w:t>
      </w:r>
      <w:r w:rsidRPr="00CD59CC">
        <w:rPr>
          <w:rFonts w:ascii="Arial" w:hAnsi="Arial" w:cs="Arial"/>
          <w:lang w:val="en-GB"/>
        </w:rPr>
        <w:t>of</w:t>
      </w:r>
      <w:r w:rsidR="007B7640" w:rsidRPr="00CD59CC">
        <w:rPr>
          <w:rFonts w:ascii="Arial" w:hAnsi="Arial" w:cs="Arial"/>
          <w:lang w:val="en-GB"/>
        </w:rPr>
        <w:t xml:space="preserve"> </w:t>
      </w:r>
      <w:r w:rsidRPr="00CD59CC">
        <w:rPr>
          <w:rFonts w:ascii="Arial" w:hAnsi="Arial" w:cs="Arial"/>
          <w:lang w:val="en-GB"/>
        </w:rPr>
        <w:t>claiming</w:t>
      </w:r>
      <w:r w:rsidR="007B7640" w:rsidRPr="00CD59CC">
        <w:rPr>
          <w:rFonts w:ascii="Arial" w:hAnsi="Arial" w:cs="Arial"/>
          <w:lang w:val="en-GB"/>
        </w:rPr>
        <w:t xml:space="preserve"> </w:t>
      </w:r>
      <w:r w:rsidRPr="00CD59CC">
        <w:rPr>
          <w:rFonts w:ascii="Arial" w:hAnsi="Arial" w:cs="Arial"/>
          <w:lang w:val="en-GB"/>
        </w:rPr>
        <w:t>a</w:t>
      </w:r>
      <w:r w:rsidR="007B7640" w:rsidRPr="00CD59CC">
        <w:rPr>
          <w:rFonts w:ascii="Arial" w:hAnsi="Arial" w:cs="Arial"/>
          <w:lang w:val="en-GB"/>
        </w:rPr>
        <w:t xml:space="preserve"> </w:t>
      </w:r>
      <w:r w:rsidRPr="00CD59CC">
        <w:rPr>
          <w:rFonts w:ascii="Arial" w:hAnsi="Arial" w:cs="Arial"/>
          <w:lang w:val="en-GB"/>
        </w:rPr>
        <w:t>reasonable</w:t>
      </w:r>
      <w:r w:rsidR="007B7640" w:rsidRPr="00CD59CC">
        <w:rPr>
          <w:rFonts w:ascii="Arial" w:hAnsi="Arial" w:cs="Arial"/>
          <w:lang w:val="en-GB"/>
        </w:rPr>
        <w:t xml:space="preserve"> </w:t>
      </w:r>
      <w:r w:rsidRPr="00CD59CC">
        <w:rPr>
          <w:rFonts w:ascii="Arial" w:hAnsi="Arial" w:cs="Arial"/>
          <w:lang w:val="en-GB"/>
        </w:rPr>
        <w:t>accommodation</w:t>
      </w:r>
      <w:r w:rsidR="007B7640" w:rsidRPr="00CD59CC">
        <w:rPr>
          <w:rFonts w:ascii="Arial" w:hAnsi="Arial" w:cs="Arial"/>
          <w:lang w:val="en-GB"/>
        </w:rPr>
        <w:t xml:space="preserve"> </w:t>
      </w:r>
      <w:r w:rsidRPr="00CD59CC">
        <w:rPr>
          <w:rFonts w:ascii="Arial" w:hAnsi="Arial" w:cs="Arial"/>
          <w:lang w:val="en-GB"/>
        </w:rPr>
        <w:t>is</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same</w:t>
      </w:r>
      <w:r w:rsidR="007B7640" w:rsidRPr="00CD59CC">
        <w:rPr>
          <w:rFonts w:ascii="Arial" w:hAnsi="Arial" w:cs="Arial"/>
          <w:lang w:val="en-GB"/>
        </w:rPr>
        <w:t xml:space="preserve"> </w:t>
      </w:r>
      <w:r w:rsidRPr="00CD59CC">
        <w:rPr>
          <w:rFonts w:ascii="Arial" w:hAnsi="Arial" w:cs="Arial"/>
          <w:lang w:val="en-GB"/>
        </w:rPr>
        <w:t>as</w:t>
      </w:r>
      <w:r w:rsidR="007B7640" w:rsidRPr="00CD59CC">
        <w:rPr>
          <w:rFonts w:ascii="Arial" w:hAnsi="Arial" w:cs="Arial"/>
          <w:lang w:val="en-GB"/>
        </w:rPr>
        <w:t xml:space="preserve"> </w:t>
      </w:r>
      <w:r w:rsidRPr="00CD59CC">
        <w:rPr>
          <w:rFonts w:ascii="Arial" w:hAnsi="Arial" w:cs="Arial"/>
          <w:lang w:val="en-GB"/>
        </w:rPr>
        <w:t>for</w:t>
      </w:r>
      <w:r w:rsidR="007B7640" w:rsidRPr="00CD59CC">
        <w:rPr>
          <w:rFonts w:ascii="Arial" w:hAnsi="Arial" w:cs="Arial"/>
          <w:lang w:val="en-GB"/>
        </w:rPr>
        <w:t xml:space="preserve"> </w:t>
      </w:r>
      <w:r w:rsidRPr="00CD59CC">
        <w:rPr>
          <w:rFonts w:ascii="Arial" w:hAnsi="Arial" w:cs="Arial"/>
          <w:lang w:val="en-GB"/>
        </w:rPr>
        <w:t>claiming</w:t>
      </w:r>
      <w:r w:rsidR="007B7640" w:rsidRPr="00CD59CC">
        <w:rPr>
          <w:rFonts w:ascii="Arial" w:hAnsi="Arial" w:cs="Arial"/>
          <w:lang w:val="en-GB"/>
        </w:rPr>
        <w:t xml:space="preserve"> </w:t>
      </w:r>
      <w:r w:rsidRPr="00CD59CC">
        <w:rPr>
          <w:rFonts w:ascii="Arial" w:hAnsi="Arial" w:cs="Arial"/>
          <w:lang w:val="en-GB"/>
        </w:rPr>
        <w:t>protection</w:t>
      </w:r>
      <w:r w:rsidR="007B7640" w:rsidRPr="00CD59CC">
        <w:rPr>
          <w:rFonts w:ascii="Arial" w:hAnsi="Arial" w:cs="Arial"/>
          <w:lang w:val="en-GB"/>
        </w:rPr>
        <w:t xml:space="preserve"> </w:t>
      </w:r>
      <w:r w:rsidRPr="00CD59CC">
        <w:rPr>
          <w:rFonts w:ascii="Arial" w:hAnsi="Arial" w:cs="Arial"/>
          <w:lang w:val="en-GB"/>
        </w:rPr>
        <w:t>from</w:t>
      </w:r>
      <w:r w:rsidR="007B7640" w:rsidRPr="00CD59CC">
        <w:rPr>
          <w:rFonts w:ascii="Arial" w:hAnsi="Arial" w:cs="Arial"/>
          <w:lang w:val="en-GB"/>
        </w:rPr>
        <w:t xml:space="preserve"> </w:t>
      </w:r>
      <w:r w:rsidRPr="00CD59CC">
        <w:rPr>
          <w:rFonts w:ascii="Arial" w:hAnsi="Arial" w:cs="Arial"/>
          <w:lang w:val="en-GB"/>
        </w:rPr>
        <w:t>non-discrimination</w:t>
      </w:r>
      <w:r w:rsidR="007B7640" w:rsidRPr="00CD59CC">
        <w:rPr>
          <w:rFonts w:ascii="Arial" w:hAnsi="Arial" w:cs="Arial"/>
          <w:lang w:val="en-GB"/>
        </w:rPr>
        <w:t xml:space="preserve"> </w:t>
      </w:r>
      <w:r w:rsidRPr="00CD59CC">
        <w:rPr>
          <w:rFonts w:ascii="Arial" w:hAnsi="Arial" w:cs="Arial"/>
          <w:lang w:val="en-GB"/>
        </w:rPr>
        <w:t>in</w:t>
      </w:r>
      <w:r w:rsidR="007B7640" w:rsidRPr="00CD59CC">
        <w:rPr>
          <w:rFonts w:ascii="Arial" w:hAnsi="Arial" w:cs="Arial"/>
          <w:lang w:val="en-GB"/>
        </w:rPr>
        <w:t xml:space="preserve"> </w:t>
      </w:r>
      <w:r w:rsidRPr="00CD59CC">
        <w:rPr>
          <w:rFonts w:ascii="Arial" w:hAnsi="Arial" w:cs="Arial"/>
          <w:lang w:val="en-GB"/>
        </w:rPr>
        <w:t>general,</w:t>
      </w:r>
      <w:r w:rsidR="007B7640" w:rsidRPr="00CD59CC">
        <w:rPr>
          <w:rFonts w:ascii="Arial" w:hAnsi="Arial" w:cs="Arial"/>
          <w:lang w:val="en-GB"/>
        </w:rPr>
        <w:t xml:space="preserve"> </w:t>
      </w:r>
      <w:r w:rsidRPr="00CD59CC">
        <w:rPr>
          <w:rFonts w:ascii="Arial" w:hAnsi="Arial" w:cs="Arial"/>
          <w:lang w:val="en-GB"/>
        </w:rPr>
        <w:t>i.e.</w:t>
      </w:r>
      <w:r w:rsidR="007B7640" w:rsidRPr="00CD59CC">
        <w:rPr>
          <w:rFonts w:ascii="Arial" w:hAnsi="Arial" w:cs="Arial"/>
          <w:lang w:val="en-GB"/>
        </w:rPr>
        <w:t xml:space="preserve"> </w:t>
      </w:r>
      <w:r w:rsidRPr="00CD59CC">
        <w:rPr>
          <w:rFonts w:ascii="Arial" w:hAnsi="Arial" w:cs="Arial"/>
          <w:lang w:val="en-GB"/>
        </w:rPr>
        <w:t>is</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personal</w:t>
      </w:r>
      <w:r w:rsidR="007B7640" w:rsidRPr="00CD59CC">
        <w:rPr>
          <w:rFonts w:ascii="Arial" w:hAnsi="Arial" w:cs="Arial"/>
          <w:lang w:val="en-GB"/>
        </w:rPr>
        <w:t xml:space="preserve"> </w:t>
      </w:r>
      <w:r w:rsidRPr="00CD59CC">
        <w:rPr>
          <w:rFonts w:ascii="Arial" w:hAnsi="Arial" w:cs="Arial"/>
          <w:lang w:val="en-GB"/>
        </w:rPr>
        <w:t>scope</w:t>
      </w:r>
      <w:r w:rsidR="007B7640" w:rsidRPr="00CD59CC">
        <w:rPr>
          <w:rFonts w:ascii="Arial" w:hAnsi="Arial" w:cs="Arial"/>
          <w:lang w:val="en-GB"/>
        </w:rPr>
        <w:t xml:space="preserve"> </w:t>
      </w:r>
      <w:r w:rsidRPr="00CD59CC">
        <w:rPr>
          <w:rFonts w:ascii="Arial" w:hAnsi="Arial" w:cs="Arial"/>
          <w:lang w:val="en-GB"/>
        </w:rPr>
        <w:t>of</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national</w:t>
      </w:r>
      <w:r w:rsidR="007B7640" w:rsidRPr="00CD59CC">
        <w:rPr>
          <w:rFonts w:ascii="Arial" w:hAnsi="Arial" w:cs="Arial"/>
          <w:lang w:val="en-GB"/>
        </w:rPr>
        <w:t xml:space="preserve"> </w:t>
      </w:r>
      <w:r w:rsidRPr="00CD59CC">
        <w:rPr>
          <w:rFonts w:ascii="Arial" w:hAnsi="Arial" w:cs="Arial"/>
          <w:lang w:val="en-GB"/>
        </w:rPr>
        <w:t>law</w:t>
      </w:r>
      <w:r w:rsidR="007B7640" w:rsidRPr="00CD59CC">
        <w:rPr>
          <w:rFonts w:ascii="Arial" w:hAnsi="Arial" w:cs="Arial"/>
          <w:lang w:val="en-GB"/>
        </w:rPr>
        <w:t xml:space="preserve"> </w:t>
      </w:r>
      <w:r w:rsidRPr="00CD59CC">
        <w:rPr>
          <w:rFonts w:ascii="Arial" w:hAnsi="Arial" w:cs="Arial"/>
          <w:lang w:val="en-GB"/>
        </w:rPr>
        <w:t>different</w:t>
      </w:r>
      <w:r w:rsidR="007B7640" w:rsidRPr="00CD59CC">
        <w:rPr>
          <w:rFonts w:ascii="Arial" w:hAnsi="Arial" w:cs="Arial"/>
          <w:lang w:val="en-GB"/>
        </w:rPr>
        <w:t xml:space="preserve"> </w:t>
      </w:r>
      <w:r w:rsidRPr="00CD59CC">
        <w:rPr>
          <w:rFonts w:ascii="Arial" w:hAnsi="Arial" w:cs="Arial"/>
          <w:lang w:val="en-GB"/>
        </w:rPr>
        <w:t>(more</w:t>
      </w:r>
      <w:r w:rsidR="007B7640" w:rsidRPr="00CD59CC">
        <w:rPr>
          <w:rFonts w:ascii="Arial" w:hAnsi="Arial" w:cs="Arial"/>
          <w:lang w:val="en-GB"/>
        </w:rPr>
        <w:t xml:space="preserve"> </w:t>
      </w:r>
      <w:r w:rsidRPr="00CD59CC">
        <w:rPr>
          <w:rFonts w:ascii="Arial" w:hAnsi="Arial" w:cs="Arial"/>
          <w:lang w:val="en-GB"/>
        </w:rPr>
        <w:t>limited)</w:t>
      </w:r>
      <w:r w:rsidR="007B7640" w:rsidRPr="00CD59CC">
        <w:rPr>
          <w:rFonts w:ascii="Arial" w:hAnsi="Arial" w:cs="Arial"/>
          <w:lang w:val="en-GB"/>
        </w:rPr>
        <w:t xml:space="preserve"> </w:t>
      </w:r>
      <w:r w:rsidRPr="00CD59CC">
        <w:rPr>
          <w:rFonts w:ascii="Arial" w:hAnsi="Arial" w:cs="Arial"/>
          <w:lang w:val="en-GB"/>
        </w:rPr>
        <w:t>in</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context</w:t>
      </w:r>
      <w:r w:rsidR="007B7640" w:rsidRPr="00CD59CC">
        <w:rPr>
          <w:rFonts w:ascii="Arial" w:hAnsi="Arial" w:cs="Arial"/>
          <w:lang w:val="en-GB"/>
        </w:rPr>
        <w:t xml:space="preserve"> </w:t>
      </w:r>
      <w:r w:rsidRPr="00CD59CC">
        <w:rPr>
          <w:rFonts w:ascii="Arial" w:hAnsi="Arial" w:cs="Arial"/>
          <w:lang w:val="en-GB"/>
        </w:rPr>
        <w:t>of</w:t>
      </w:r>
      <w:r w:rsidR="007B7640" w:rsidRPr="00CD59CC">
        <w:rPr>
          <w:rFonts w:ascii="Arial" w:hAnsi="Arial" w:cs="Arial"/>
          <w:lang w:val="en-GB"/>
        </w:rPr>
        <w:t xml:space="preserve"> </w:t>
      </w:r>
      <w:r w:rsidRPr="00CD59CC">
        <w:rPr>
          <w:rFonts w:ascii="Arial" w:hAnsi="Arial" w:cs="Arial"/>
          <w:lang w:val="en-GB"/>
        </w:rPr>
        <w:t>reasonable</w:t>
      </w:r>
      <w:r w:rsidR="007B7640" w:rsidRPr="00CD59CC">
        <w:rPr>
          <w:rFonts w:ascii="Arial" w:hAnsi="Arial" w:cs="Arial"/>
          <w:lang w:val="en-GB"/>
        </w:rPr>
        <w:t xml:space="preserve"> </w:t>
      </w:r>
      <w:r w:rsidRPr="00CD59CC">
        <w:rPr>
          <w:rFonts w:ascii="Arial" w:hAnsi="Arial" w:cs="Arial"/>
          <w:lang w:val="en-GB"/>
        </w:rPr>
        <w:t>accommodation</w:t>
      </w:r>
      <w:r w:rsidR="007B7640" w:rsidRPr="00CD59CC">
        <w:rPr>
          <w:rFonts w:ascii="Arial" w:hAnsi="Arial" w:cs="Arial"/>
          <w:lang w:val="en-GB"/>
        </w:rPr>
        <w:t xml:space="preserve"> </w:t>
      </w:r>
      <w:r w:rsidRPr="00CD59CC">
        <w:rPr>
          <w:rFonts w:ascii="Arial" w:hAnsi="Arial" w:cs="Arial"/>
          <w:lang w:val="en-GB"/>
        </w:rPr>
        <w:t>than</w:t>
      </w:r>
      <w:r w:rsidR="007B7640" w:rsidRPr="00CD59CC">
        <w:rPr>
          <w:rFonts w:ascii="Arial" w:hAnsi="Arial" w:cs="Arial"/>
          <w:lang w:val="en-GB"/>
        </w:rPr>
        <w:t xml:space="preserve"> </w:t>
      </w:r>
      <w:r w:rsidRPr="00CD59CC">
        <w:rPr>
          <w:rFonts w:ascii="Arial" w:hAnsi="Arial" w:cs="Arial"/>
          <w:lang w:val="en-GB"/>
        </w:rPr>
        <w:t>it</w:t>
      </w:r>
      <w:r w:rsidR="007B7640" w:rsidRPr="00CD59CC">
        <w:rPr>
          <w:rFonts w:ascii="Arial" w:hAnsi="Arial" w:cs="Arial"/>
          <w:lang w:val="en-GB"/>
        </w:rPr>
        <w:t xml:space="preserve"> </w:t>
      </w:r>
      <w:r w:rsidRPr="00CD59CC">
        <w:rPr>
          <w:rFonts w:ascii="Arial" w:hAnsi="Arial" w:cs="Arial"/>
          <w:lang w:val="en-GB"/>
        </w:rPr>
        <w:t>is</w:t>
      </w:r>
      <w:r w:rsidR="007B7640" w:rsidRPr="00CD59CC">
        <w:rPr>
          <w:rFonts w:ascii="Arial" w:hAnsi="Arial" w:cs="Arial"/>
          <w:lang w:val="en-GB"/>
        </w:rPr>
        <w:t xml:space="preserve"> </w:t>
      </w:r>
      <w:r w:rsidRPr="00CD59CC">
        <w:rPr>
          <w:rFonts w:ascii="Arial" w:hAnsi="Arial" w:cs="Arial"/>
          <w:lang w:val="en-GB"/>
        </w:rPr>
        <w:t>with</w:t>
      </w:r>
      <w:r w:rsidR="007B7640" w:rsidRPr="00CD59CC">
        <w:rPr>
          <w:rFonts w:ascii="Arial" w:hAnsi="Arial" w:cs="Arial"/>
          <w:lang w:val="en-GB"/>
        </w:rPr>
        <w:t xml:space="preserve"> </w:t>
      </w:r>
      <w:r w:rsidRPr="00CD59CC">
        <w:rPr>
          <w:rFonts w:ascii="Arial" w:hAnsi="Arial" w:cs="Arial"/>
          <w:lang w:val="en-GB"/>
        </w:rPr>
        <w:t>regard</w:t>
      </w:r>
      <w:r w:rsidR="007B7640" w:rsidRPr="00CD59CC">
        <w:rPr>
          <w:rFonts w:ascii="Arial" w:hAnsi="Arial" w:cs="Arial"/>
          <w:lang w:val="en-GB"/>
        </w:rPr>
        <w:t xml:space="preserve"> </w:t>
      </w:r>
      <w:r w:rsidRPr="00CD59CC">
        <w:rPr>
          <w:rFonts w:ascii="Arial" w:hAnsi="Arial" w:cs="Arial"/>
          <w:lang w:val="en-GB"/>
        </w:rPr>
        <w:t>to</w:t>
      </w:r>
      <w:r w:rsidR="007B7640" w:rsidRPr="00CD59CC">
        <w:rPr>
          <w:rFonts w:ascii="Arial" w:hAnsi="Arial" w:cs="Arial"/>
          <w:lang w:val="en-GB"/>
        </w:rPr>
        <w:t xml:space="preserve"> </w:t>
      </w:r>
      <w:r w:rsidRPr="00CD59CC">
        <w:rPr>
          <w:rFonts w:ascii="Arial" w:hAnsi="Arial" w:cs="Arial"/>
          <w:lang w:val="en-GB"/>
        </w:rPr>
        <w:t>other</w:t>
      </w:r>
      <w:r w:rsidR="007B7640" w:rsidRPr="00CD59CC">
        <w:rPr>
          <w:rFonts w:ascii="Arial" w:hAnsi="Arial" w:cs="Arial"/>
          <w:lang w:val="en-GB"/>
        </w:rPr>
        <w:t xml:space="preserve"> </w:t>
      </w:r>
      <w:r w:rsidRPr="00CD59CC">
        <w:rPr>
          <w:rFonts w:ascii="Arial" w:hAnsi="Arial" w:cs="Arial"/>
          <w:lang w:val="en-GB"/>
        </w:rPr>
        <w:t>elements</w:t>
      </w:r>
      <w:r w:rsidR="007B7640" w:rsidRPr="00CD59CC">
        <w:rPr>
          <w:rFonts w:ascii="Arial" w:hAnsi="Arial" w:cs="Arial"/>
          <w:lang w:val="en-GB"/>
        </w:rPr>
        <w:t xml:space="preserve"> </w:t>
      </w:r>
      <w:r w:rsidRPr="00CD59CC">
        <w:rPr>
          <w:rFonts w:ascii="Arial" w:hAnsi="Arial" w:cs="Arial"/>
          <w:lang w:val="en-GB"/>
        </w:rPr>
        <w:t>of</w:t>
      </w:r>
      <w:r w:rsidR="007B7640" w:rsidRPr="00CD59CC">
        <w:rPr>
          <w:rFonts w:ascii="Arial" w:hAnsi="Arial" w:cs="Arial"/>
          <w:lang w:val="en-GB"/>
        </w:rPr>
        <w:t xml:space="preserve"> </w:t>
      </w:r>
      <w:r w:rsidRPr="00CD59CC">
        <w:rPr>
          <w:rFonts w:ascii="Arial" w:hAnsi="Arial" w:cs="Arial"/>
          <w:lang w:val="en-GB"/>
        </w:rPr>
        <w:t>disability</w:t>
      </w:r>
      <w:r w:rsidR="007B7640" w:rsidRPr="00CD59CC">
        <w:rPr>
          <w:rFonts w:ascii="Arial" w:hAnsi="Arial" w:cs="Arial"/>
          <w:lang w:val="en-GB"/>
        </w:rPr>
        <w:t xml:space="preserve"> </w:t>
      </w:r>
      <w:r w:rsidRPr="00CD59CC">
        <w:rPr>
          <w:rFonts w:ascii="Arial" w:hAnsi="Arial" w:cs="Arial"/>
          <w:lang w:val="en-GB"/>
        </w:rPr>
        <w:t>non-discrimination</w:t>
      </w:r>
      <w:r w:rsidR="007B7640" w:rsidRPr="00CD59CC">
        <w:rPr>
          <w:rFonts w:ascii="Arial" w:hAnsi="Arial" w:cs="Arial"/>
          <w:lang w:val="en-GB"/>
        </w:rPr>
        <w:t xml:space="preserve"> </w:t>
      </w:r>
      <w:r w:rsidRPr="00CD59CC">
        <w:rPr>
          <w:rFonts w:ascii="Arial" w:hAnsi="Arial" w:cs="Arial"/>
          <w:lang w:val="en-GB"/>
        </w:rPr>
        <w:t>law.</w:t>
      </w:r>
    </w:p>
    <w:p w14:paraId="489C08B2" w14:textId="77777777" w:rsidR="002B5BCD" w:rsidRPr="00CD59CC" w:rsidRDefault="002B5BCD" w:rsidP="00CD59CC">
      <w:pPr>
        <w:pStyle w:val="BodyText"/>
        <w:ind w:left="567"/>
        <w:rPr>
          <w:rFonts w:ascii="Arial" w:hAnsi="Arial" w:cs="Arial"/>
          <w:lang w:val="en-GB"/>
        </w:rPr>
      </w:pPr>
    </w:p>
    <w:p w14:paraId="25065D32" w14:textId="312FF334" w:rsidR="009B36F9" w:rsidRPr="00CD59CC" w:rsidRDefault="009B36F9" w:rsidP="00CD59CC">
      <w:pPr>
        <w:rPr>
          <w:rFonts w:ascii="Arial" w:hAnsi="Arial" w:cs="Arial"/>
          <w:iCs/>
          <w:lang w:eastAsia="en-GB"/>
        </w:rPr>
      </w:pPr>
      <w:r w:rsidRPr="00CD59CC">
        <w:rPr>
          <w:rFonts w:ascii="Arial" w:hAnsi="Arial" w:cs="Arial"/>
        </w:rPr>
        <w:lastRenderedPageBreak/>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said</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iCs/>
          <w:lang w:eastAsia="en-GB"/>
        </w:rPr>
        <w:t>under</w:t>
      </w:r>
      <w:r w:rsidR="007B7640" w:rsidRPr="00CD59CC">
        <w:rPr>
          <w:rFonts w:ascii="Arial" w:hAnsi="Arial" w:cs="Arial"/>
          <w:iCs/>
          <w:lang w:eastAsia="en-GB"/>
        </w:rPr>
        <w:t xml:space="preserve"> </w:t>
      </w:r>
      <w:r w:rsidRPr="00CD59CC">
        <w:rPr>
          <w:rFonts w:ascii="Arial" w:hAnsi="Arial" w:cs="Arial"/>
          <w:iCs/>
          <w:lang w:eastAsia="en-GB"/>
        </w:rPr>
        <w:t>Article</w:t>
      </w:r>
      <w:r w:rsidR="007B7640" w:rsidRPr="00CD59CC">
        <w:rPr>
          <w:rFonts w:ascii="Arial" w:hAnsi="Arial" w:cs="Arial"/>
          <w:iCs/>
          <w:lang w:eastAsia="en-GB"/>
        </w:rPr>
        <w:t xml:space="preserve"> </w:t>
      </w:r>
      <w:r w:rsidRPr="00CD59CC">
        <w:rPr>
          <w:rFonts w:ascii="Arial" w:hAnsi="Arial" w:cs="Arial"/>
          <w:iCs/>
          <w:lang w:eastAsia="en-GB"/>
        </w:rPr>
        <w:t>4</w:t>
      </w:r>
      <w:r w:rsidR="007B7640" w:rsidRPr="00CD59CC">
        <w:rPr>
          <w:rFonts w:ascii="Arial" w:hAnsi="Arial" w:cs="Arial"/>
          <w:iCs/>
          <w:lang w:eastAsia="en-GB"/>
        </w:rPr>
        <w:t xml:space="preserve"> </w:t>
      </w:r>
      <w:r w:rsidRPr="00CD59CC">
        <w:rPr>
          <w:rFonts w:ascii="Arial" w:hAnsi="Arial" w:cs="Arial"/>
          <w:iCs/>
          <w:lang w:eastAsia="en-GB"/>
        </w:rPr>
        <w:t>of</w:t>
      </w:r>
      <w:r w:rsidR="007B7640" w:rsidRPr="00CD59CC">
        <w:rPr>
          <w:rFonts w:ascii="Arial" w:hAnsi="Arial" w:cs="Arial"/>
          <w:iCs/>
          <w:lang w:eastAsia="en-GB"/>
        </w:rPr>
        <w:t xml:space="preserve"> </w:t>
      </w:r>
      <w:r w:rsidRPr="00CD59CC">
        <w:rPr>
          <w:rFonts w:ascii="Arial" w:hAnsi="Arial" w:cs="Arial"/>
          <w:iCs/>
          <w:lang w:eastAsia="en-GB"/>
        </w:rPr>
        <w:t>the</w:t>
      </w:r>
      <w:r w:rsidR="007B7640" w:rsidRPr="00CD59CC">
        <w:rPr>
          <w:rFonts w:ascii="Arial" w:hAnsi="Arial" w:cs="Arial"/>
          <w:iCs/>
          <w:lang w:eastAsia="en-GB"/>
        </w:rPr>
        <w:t xml:space="preserve"> </w:t>
      </w:r>
      <w:r w:rsidRPr="00CD59CC">
        <w:rPr>
          <w:rFonts w:ascii="Arial" w:hAnsi="Arial" w:cs="Arial"/>
          <w:iCs/>
          <w:lang w:eastAsia="en-GB"/>
        </w:rPr>
        <w:t>RPD</w:t>
      </w:r>
      <w:r w:rsidR="007B7640" w:rsidRPr="00CD59CC">
        <w:rPr>
          <w:rFonts w:ascii="Arial" w:hAnsi="Arial" w:cs="Arial"/>
          <w:iCs/>
          <w:lang w:eastAsia="en-GB"/>
        </w:rPr>
        <w:t xml:space="preserve"> </w:t>
      </w:r>
      <w:r w:rsidRPr="00CD59CC">
        <w:rPr>
          <w:rFonts w:ascii="Arial" w:hAnsi="Arial" w:cs="Arial"/>
          <w:iCs/>
          <w:lang w:eastAsia="en-GB"/>
        </w:rPr>
        <w:t>Act,</w:t>
      </w:r>
      <w:r w:rsidR="007B7640" w:rsidRPr="00CD59CC">
        <w:rPr>
          <w:rFonts w:ascii="Arial" w:hAnsi="Arial" w:cs="Arial"/>
          <w:iCs/>
          <w:lang w:eastAsia="en-GB"/>
        </w:rPr>
        <w:t xml:space="preserve"> </w:t>
      </w:r>
      <w:r w:rsidR="00AF4C10" w:rsidRPr="00CD59CC">
        <w:rPr>
          <w:rFonts w:ascii="Arial" w:hAnsi="Arial" w:cs="Arial"/>
          <w:iCs/>
          <w:lang w:eastAsia="en-GB"/>
        </w:rPr>
        <w:t>persons</w:t>
      </w:r>
      <w:r w:rsidR="007B7640" w:rsidRPr="00CD59CC">
        <w:rPr>
          <w:rFonts w:ascii="Arial" w:hAnsi="Arial" w:cs="Arial"/>
          <w:iCs/>
          <w:lang w:eastAsia="en-GB"/>
        </w:rPr>
        <w:t xml:space="preserve"> </w:t>
      </w:r>
      <w:r w:rsidR="00AF4C10" w:rsidRPr="00CD59CC">
        <w:rPr>
          <w:rFonts w:ascii="Arial" w:hAnsi="Arial" w:cs="Arial"/>
        </w:rPr>
        <w:t>with</w:t>
      </w:r>
      <w:r w:rsidR="007B7640" w:rsidRPr="00CD59CC">
        <w:rPr>
          <w:rFonts w:ascii="Arial" w:hAnsi="Arial" w:cs="Arial"/>
        </w:rPr>
        <w:t xml:space="preserve"> </w:t>
      </w:r>
      <w:r w:rsidR="00AF4C10" w:rsidRPr="00CD59CC">
        <w:rPr>
          <w:rFonts w:ascii="Arial" w:hAnsi="Arial" w:cs="Arial"/>
        </w:rPr>
        <w:t>disabilities</w:t>
      </w:r>
      <w:r w:rsidR="007B7640" w:rsidRPr="00CD59CC">
        <w:rPr>
          <w:rFonts w:ascii="Arial" w:hAnsi="Arial" w:cs="Arial"/>
        </w:rPr>
        <w:t xml:space="preserve"> </w:t>
      </w:r>
      <w:r w:rsidR="00AF4C10" w:rsidRPr="00CD59CC">
        <w:rPr>
          <w:rFonts w:ascii="Arial" w:hAnsi="Arial" w:cs="Arial"/>
        </w:rPr>
        <w:t>are</w:t>
      </w:r>
      <w:r w:rsidR="007B7640" w:rsidRPr="00CD59CC">
        <w:rPr>
          <w:rFonts w:ascii="Arial" w:hAnsi="Arial" w:cs="Arial"/>
        </w:rPr>
        <w:t xml:space="preserve"> </w:t>
      </w:r>
      <w:r w:rsidR="00AF4C10" w:rsidRPr="00CD59CC">
        <w:rPr>
          <w:rFonts w:ascii="Arial" w:hAnsi="Arial" w:cs="Arial"/>
        </w:rPr>
        <w:t>those</w:t>
      </w:r>
      <w:r w:rsidR="007B7640" w:rsidRPr="00CD59CC">
        <w:rPr>
          <w:rFonts w:ascii="Arial" w:hAnsi="Arial" w:cs="Arial"/>
        </w:rPr>
        <w:t xml:space="preserve"> </w:t>
      </w:r>
      <w:r w:rsidR="00AF4C10" w:rsidRPr="00CD59CC">
        <w:rPr>
          <w:rFonts w:ascii="Arial" w:hAnsi="Arial" w:cs="Arial"/>
        </w:rPr>
        <w:t>who</w:t>
      </w:r>
      <w:r w:rsidR="007B7640" w:rsidRPr="00CD59CC">
        <w:rPr>
          <w:rFonts w:ascii="Arial" w:hAnsi="Arial" w:cs="Arial"/>
        </w:rPr>
        <w:t xml:space="preserve"> </w:t>
      </w:r>
      <w:r w:rsidR="00AF4C10" w:rsidRPr="00CD59CC">
        <w:rPr>
          <w:rFonts w:ascii="Arial" w:hAnsi="Arial" w:cs="Arial"/>
        </w:rPr>
        <w:t>have</w:t>
      </w:r>
      <w:r w:rsidR="007B7640" w:rsidRPr="00CD59CC">
        <w:rPr>
          <w:rFonts w:ascii="Arial" w:hAnsi="Arial" w:cs="Arial"/>
        </w:rPr>
        <w:t xml:space="preserve"> </w:t>
      </w:r>
      <w:r w:rsidR="00AF4C10" w:rsidRPr="00CD59CC">
        <w:rPr>
          <w:rFonts w:ascii="Arial" w:hAnsi="Arial" w:cs="Arial"/>
        </w:rPr>
        <w:t>irreversible</w:t>
      </w:r>
      <w:r w:rsidR="007B7640" w:rsidRPr="00CD59CC">
        <w:rPr>
          <w:rFonts w:ascii="Arial" w:hAnsi="Arial" w:cs="Arial"/>
        </w:rPr>
        <w:t xml:space="preserve"> </w:t>
      </w:r>
      <w:r w:rsidR="00AF4C10" w:rsidRPr="00CD59CC">
        <w:rPr>
          <w:rFonts w:ascii="Arial" w:hAnsi="Arial" w:cs="Arial"/>
        </w:rPr>
        <w:t>or</w:t>
      </w:r>
      <w:r w:rsidR="007B7640" w:rsidRPr="00CD59CC">
        <w:rPr>
          <w:rFonts w:ascii="Arial" w:hAnsi="Arial" w:cs="Arial"/>
        </w:rPr>
        <w:t xml:space="preserve"> </w:t>
      </w:r>
      <w:r w:rsidR="00AF4C10" w:rsidRPr="00CD59CC">
        <w:rPr>
          <w:rFonts w:ascii="Arial" w:hAnsi="Arial" w:cs="Arial"/>
        </w:rPr>
        <w:t>long-term</w:t>
      </w:r>
      <w:r w:rsidR="007B7640" w:rsidRPr="00CD59CC">
        <w:rPr>
          <w:rFonts w:ascii="Arial" w:hAnsi="Arial" w:cs="Arial"/>
        </w:rPr>
        <w:t xml:space="preserve"> </w:t>
      </w:r>
      <w:r w:rsidR="00AF4C10" w:rsidRPr="00CD59CC">
        <w:rPr>
          <w:rFonts w:ascii="Arial" w:hAnsi="Arial" w:cs="Arial"/>
        </w:rPr>
        <w:t>sensory,</w:t>
      </w:r>
      <w:r w:rsidR="007B7640" w:rsidRPr="00CD59CC">
        <w:rPr>
          <w:rFonts w:ascii="Arial" w:hAnsi="Arial" w:cs="Arial"/>
        </w:rPr>
        <w:t xml:space="preserve"> </w:t>
      </w:r>
      <w:r w:rsidR="00AF4C10" w:rsidRPr="00CD59CC">
        <w:rPr>
          <w:rFonts w:ascii="Arial" w:hAnsi="Arial" w:cs="Arial"/>
        </w:rPr>
        <w:t>communication-related,</w:t>
      </w:r>
      <w:r w:rsidR="007B7640" w:rsidRPr="00CD59CC">
        <w:rPr>
          <w:rFonts w:ascii="Arial" w:hAnsi="Arial" w:cs="Arial"/>
        </w:rPr>
        <w:t xml:space="preserve"> </w:t>
      </w:r>
      <w:r w:rsidR="00AF4C10" w:rsidRPr="00CD59CC">
        <w:rPr>
          <w:rFonts w:ascii="Arial" w:hAnsi="Arial" w:cs="Arial"/>
        </w:rPr>
        <w:t>physical,</w:t>
      </w:r>
      <w:r w:rsidR="007B7640" w:rsidRPr="00CD59CC">
        <w:rPr>
          <w:rFonts w:ascii="Arial" w:hAnsi="Arial" w:cs="Arial"/>
        </w:rPr>
        <w:t xml:space="preserve"> </w:t>
      </w:r>
      <w:r w:rsidR="00AF4C10" w:rsidRPr="00CD59CC">
        <w:rPr>
          <w:rFonts w:ascii="Arial" w:hAnsi="Arial" w:cs="Arial"/>
        </w:rPr>
        <w:t>intellectual,</w:t>
      </w:r>
      <w:r w:rsidR="007B7640" w:rsidRPr="00CD59CC">
        <w:rPr>
          <w:rFonts w:ascii="Arial" w:hAnsi="Arial" w:cs="Arial"/>
        </w:rPr>
        <w:t xml:space="preserve"> </w:t>
      </w:r>
      <w:r w:rsidR="00AF4C10" w:rsidRPr="00CD59CC">
        <w:rPr>
          <w:rFonts w:ascii="Arial" w:hAnsi="Arial" w:cs="Arial"/>
        </w:rPr>
        <w:t>psychosocial</w:t>
      </w:r>
      <w:r w:rsidR="007B7640" w:rsidRPr="00CD59CC">
        <w:rPr>
          <w:rFonts w:ascii="Arial" w:hAnsi="Arial" w:cs="Arial"/>
        </w:rPr>
        <w:t xml:space="preserve"> </w:t>
      </w:r>
      <w:r w:rsidR="00AF4C10" w:rsidRPr="00CD59CC">
        <w:rPr>
          <w:rFonts w:ascii="Arial" w:hAnsi="Arial" w:cs="Arial"/>
        </w:rPr>
        <w:t>impairments</w:t>
      </w:r>
      <w:r w:rsidR="007B7640" w:rsidRPr="00CD59CC">
        <w:rPr>
          <w:rFonts w:ascii="Arial" w:hAnsi="Arial" w:cs="Arial"/>
        </w:rPr>
        <w:t xml:space="preserve"> </w:t>
      </w:r>
      <w:r w:rsidR="00AF4C10" w:rsidRPr="00CD59CC">
        <w:rPr>
          <w:rFonts w:ascii="Arial" w:hAnsi="Arial" w:cs="Arial"/>
        </w:rPr>
        <w:t>or</w:t>
      </w:r>
      <w:r w:rsidR="007B7640" w:rsidRPr="00CD59CC">
        <w:rPr>
          <w:rFonts w:ascii="Arial" w:hAnsi="Arial" w:cs="Arial"/>
        </w:rPr>
        <w:t xml:space="preserve"> </w:t>
      </w:r>
      <w:r w:rsidR="00AF4C10" w:rsidRPr="00CD59CC">
        <w:rPr>
          <w:rFonts w:ascii="Arial" w:hAnsi="Arial" w:cs="Arial"/>
        </w:rPr>
        <w:t>the</w:t>
      </w:r>
      <w:r w:rsidR="007B7640" w:rsidRPr="00CD59CC">
        <w:rPr>
          <w:rFonts w:ascii="Arial" w:hAnsi="Arial" w:cs="Arial"/>
        </w:rPr>
        <w:t xml:space="preserve"> </w:t>
      </w:r>
      <w:r w:rsidR="00AF4C10" w:rsidRPr="00CD59CC">
        <w:rPr>
          <w:rFonts w:ascii="Arial" w:hAnsi="Arial" w:cs="Arial"/>
        </w:rPr>
        <w:t>accumulation</w:t>
      </w:r>
      <w:r w:rsidR="007B7640" w:rsidRPr="00CD59CC">
        <w:rPr>
          <w:rFonts w:ascii="Arial" w:hAnsi="Arial" w:cs="Arial"/>
        </w:rPr>
        <w:t xml:space="preserve"> </w:t>
      </w:r>
      <w:r w:rsidR="00AF4C10" w:rsidRPr="00CD59CC">
        <w:rPr>
          <w:rFonts w:ascii="Arial" w:hAnsi="Arial" w:cs="Arial"/>
        </w:rPr>
        <w:t>thereof,</w:t>
      </w:r>
      <w:r w:rsidR="007B7640" w:rsidRPr="00CD59CC">
        <w:rPr>
          <w:rFonts w:ascii="Arial" w:hAnsi="Arial" w:cs="Arial"/>
        </w:rPr>
        <w:t xml:space="preserve"> </w:t>
      </w:r>
      <w:r w:rsidR="00AF4C10" w:rsidRPr="00CD59CC">
        <w:rPr>
          <w:rFonts w:ascii="Arial" w:hAnsi="Arial" w:cs="Arial"/>
        </w:rPr>
        <w:t>which</w:t>
      </w:r>
      <w:r w:rsidR="007B7640" w:rsidRPr="00CD59CC">
        <w:rPr>
          <w:rFonts w:ascii="Arial" w:hAnsi="Arial" w:cs="Arial"/>
        </w:rPr>
        <w:t xml:space="preserve"> </w:t>
      </w:r>
      <w:r w:rsidR="00AF4C10" w:rsidRPr="00CD59CC">
        <w:rPr>
          <w:rFonts w:ascii="Arial" w:hAnsi="Arial" w:cs="Arial"/>
        </w:rPr>
        <w:t>in</w:t>
      </w:r>
      <w:r w:rsidR="007B7640" w:rsidRPr="00CD59CC">
        <w:rPr>
          <w:rFonts w:ascii="Arial" w:hAnsi="Arial" w:cs="Arial"/>
        </w:rPr>
        <w:t xml:space="preserve"> </w:t>
      </w:r>
      <w:r w:rsidR="00AF4C10" w:rsidRPr="00CD59CC">
        <w:rPr>
          <w:rFonts w:ascii="Arial" w:hAnsi="Arial" w:cs="Arial"/>
        </w:rPr>
        <w:t>interaction</w:t>
      </w:r>
      <w:r w:rsidR="007B7640" w:rsidRPr="00CD59CC">
        <w:rPr>
          <w:rFonts w:ascii="Arial" w:hAnsi="Arial" w:cs="Arial"/>
        </w:rPr>
        <w:t xml:space="preserve"> </w:t>
      </w:r>
      <w:r w:rsidR="00AF4C10" w:rsidRPr="00CD59CC">
        <w:rPr>
          <w:rFonts w:ascii="Arial" w:hAnsi="Arial" w:cs="Arial"/>
        </w:rPr>
        <w:t>with</w:t>
      </w:r>
      <w:r w:rsidR="007B7640" w:rsidRPr="00CD59CC">
        <w:rPr>
          <w:rFonts w:ascii="Arial" w:hAnsi="Arial" w:cs="Arial"/>
        </w:rPr>
        <w:t xml:space="preserve"> </w:t>
      </w:r>
      <w:r w:rsidR="00AF4C10" w:rsidRPr="00CD59CC">
        <w:rPr>
          <w:rFonts w:ascii="Arial" w:hAnsi="Arial" w:cs="Arial"/>
        </w:rPr>
        <w:t>significant</w:t>
      </w:r>
      <w:r w:rsidR="007B7640" w:rsidRPr="00CD59CC">
        <w:rPr>
          <w:rFonts w:ascii="Arial" w:hAnsi="Arial" w:cs="Arial"/>
        </w:rPr>
        <w:t xml:space="preserve"> </w:t>
      </w:r>
      <w:r w:rsidR="00AF4C10" w:rsidRPr="00CD59CC">
        <w:rPr>
          <w:rFonts w:ascii="Arial" w:hAnsi="Arial" w:cs="Arial"/>
        </w:rPr>
        <w:t>environmental,</w:t>
      </w:r>
      <w:r w:rsidR="007B7640" w:rsidRPr="00CD59CC">
        <w:rPr>
          <w:rFonts w:ascii="Arial" w:hAnsi="Arial" w:cs="Arial"/>
        </w:rPr>
        <w:t xml:space="preserve"> </w:t>
      </w:r>
      <w:r w:rsidR="00AF4C10" w:rsidRPr="00CD59CC">
        <w:rPr>
          <w:rFonts w:ascii="Arial" w:hAnsi="Arial" w:cs="Arial"/>
        </w:rPr>
        <w:t>societal</w:t>
      </w:r>
      <w:r w:rsidR="007B7640" w:rsidRPr="00CD59CC">
        <w:rPr>
          <w:rFonts w:ascii="Arial" w:hAnsi="Arial" w:cs="Arial"/>
        </w:rPr>
        <w:t xml:space="preserve"> </w:t>
      </w:r>
      <w:r w:rsidR="00AF4C10" w:rsidRPr="00CD59CC">
        <w:rPr>
          <w:rFonts w:ascii="Arial" w:hAnsi="Arial" w:cs="Arial"/>
        </w:rPr>
        <w:t>or</w:t>
      </w:r>
      <w:r w:rsidR="007B7640" w:rsidRPr="00CD59CC">
        <w:rPr>
          <w:rFonts w:ascii="Arial" w:hAnsi="Arial" w:cs="Arial"/>
        </w:rPr>
        <w:t xml:space="preserve"> </w:t>
      </w:r>
      <w:r w:rsidR="00AF4C10" w:rsidRPr="00CD59CC">
        <w:rPr>
          <w:rFonts w:ascii="Arial" w:hAnsi="Arial" w:cs="Arial"/>
        </w:rPr>
        <w:t>other</w:t>
      </w:r>
      <w:r w:rsidR="007B7640" w:rsidRPr="00CD59CC">
        <w:rPr>
          <w:rFonts w:ascii="Arial" w:hAnsi="Arial" w:cs="Arial"/>
        </w:rPr>
        <w:t xml:space="preserve"> </w:t>
      </w:r>
      <w:r w:rsidR="00AF4C10" w:rsidRPr="00CD59CC">
        <w:rPr>
          <w:rFonts w:ascii="Arial" w:hAnsi="Arial" w:cs="Arial"/>
        </w:rPr>
        <w:t>barriers</w:t>
      </w:r>
      <w:r w:rsidR="007B7640" w:rsidRPr="00CD59CC">
        <w:rPr>
          <w:rFonts w:ascii="Arial" w:hAnsi="Arial" w:cs="Arial"/>
        </w:rPr>
        <w:t xml:space="preserve"> </w:t>
      </w:r>
      <w:r w:rsidR="00AF4C10" w:rsidRPr="00CD59CC">
        <w:rPr>
          <w:rFonts w:ascii="Arial" w:hAnsi="Arial" w:cs="Arial"/>
        </w:rPr>
        <w:t>restrict</w:t>
      </w:r>
      <w:r w:rsidR="007B7640" w:rsidRPr="00CD59CC">
        <w:rPr>
          <w:rFonts w:ascii="Arial" w:hAnsi="Arial" w:cs="Arial"/>
        </w:rPr>
        <w:t xml:space="preserve"> </w:t>
      </w:r>
      <w:r w:rsidR="00AF4C10" w:rsidRPr="00CD59CC">
        <w:rPr>
          <w:rFonts w:ascii="Arial" w:hAnsi="Arial" w:cs="Arial"/>
        </w:rPr>
        <w:t>or</w:t>
      </w:r>
      <w:r w:rsidR="007B7640" w:rsidRPr="00CD59CC">
        <w:rPr>
          <w:rFonts w:ascii="Arial" w:hAnsi="Arial" w:cs="Arial"/>
        </w:rPr>
        <w:t xml:space="preserve"> </w:t>
      </w:r>
      <w:r w:rsidR="00AF4C10" w:rsidRPr="00CD59CC">
        <w:rPr>
          <w:rFonts w:ascii="Arial" w:hAnsi="Arial" w:cs="Arial"/>
        </w:rPr>
        <w:t>hinder</w:t>
      </w:r>
      <w:r w:rsidR="007B7640" w:rsidRPr="00CD59CC">
        <w:rPr>
          <w:rFonts w:ascii="Arial" w:hAnsi="Arial" w:cs="Arial"/>
        </w:rPr>
        <w:t xml:space="preserve"> </w:t>
      </w:r>
      <w:r w:rsidR="00AF4C10" w:rsidRPr="00CD59CC">
        <w:rPr>
          <w:rFonts w:ascii="Arial" w:hAnsi="Arial" w:cs="Arial"/>
        </w:rPr>
        <w:t>their</w:t>
      </w:r>
      <w:r w:rsidR="007B7640" w:rsidRPr="00CD59CC">
        <w:rPr>
          <w:rFonts w:ascii="Arial" w:hAnsi="Arial" w:cs="Arial"/>
        </w:rPr>
        <w:t xml:space="preserve"> </w:t>
      </w:r>
      <w:r w:rsidR="00AF4C10" w:rsidRPr="00CD59CC">
        <w:rPr>
          <w:rFonts w:ascii="Arial" w:hAnsi="Arial" w:cs="Arial"/>
        </w:rPr>
        <w:t>full</w:t>
      </w:r>
      <w:r w:rsidR="007B7640" w:rsidRPr="00CD59CC">
        <w:rPr>
          <w:rFonts w:ascii="Arial" w:hAnsi="Arial" w:cs="Arial"/>
        </w:rPr>
        <w:t xml:space="preserve"> </w:t>
      </w:r>
      <w:r w:rsidR="00AF4C10" w:rsidRPr="00CD59CC">
        <w:rPr>
          <w:rFonts w:ascii="Arial" w:hAnsi="Arial" w:cs="Arial"/>
        </w:rPr>
        <w:t>and</w:t>
      </w:r>
      <w:r w:rsidR="007B7640" w:rsidRPr="00CD59CC">
        <w:rPr>
          <w:rFonts w:ascii="Arial" w:hAnsi="Arial" w:cs="Arial"/>
        </w:rPr>
        <w:t xml:space="preserve"> </w:t>
      </w:r>
      <w:r w:rsidR="00AF4C10" w:rsidRPr="00CD59CC">
        <w:rPr>
          <w:rFonts w:ascii="Arial" w:hAnsi="Arial" w:cs="Arial"/>
        </w:rPr>
        <w:t>effective</w:t>
      </w:r>
      <w:r w:rsidR="007B7640" w:rsidRPr="00CD59CC">
        <w:rPr>
          <w:rFonts w:ascii="Arial" w:hAnsi="Arial" w:cs="Arial"/>
        </w:rPr>
        <w:t xml:space="preserve"> </w:t>
      </w:r>
      <w:r w:rsidR="00AF4C10" w:rsidRPr="00CD59CC">
        <w:rPr>
          <w:rFonts w:ascii="Arial" w:hAnsi="Arial" w:cs="Arial"/>
        </w:rPr>
        <w:t>participation</w:t>
      </w:r>
      <w:r w:rsidR="007B7640" w:rsidRPr="00CD59CC">
        <w:rPr>
          <w:rFonts w:ascii="Arial" w:hAnsi="Arial" w:cs="Arial"/>
        </w:rPr>
        <w:t xml:space="preserve"> </w:t>
      </w:r>
      <w:r w:rsidR="00AF4C10" w:rsidRPr="00CD59CC">
        <w:rPr>
          <w:rFonts w:ascii="Arial" w:hAnsi="Arial" w:cs="Arial"/>
        </w:rPr>
        <w:t>in</w:t>
      </w:r>
      <w:r w:rsidR="007B7640" w:rsidRPr="00CD59CC">
        <w:rPr>
          <w:rFonts w:ascii="Arial" w:hAnsi="Arial" w:cs="Arial"/>
        </w:rPr>
        <w:t xml:space="preserve"> </w:t>
      </w:r>
      <w:r w:rsidR="00AF4C10" w:rsidRPr="00CD59CC">
        <w:rPr>
          <w:rFonts w:ascii="Arial" w:hAnsi="Arial" w:cs="Arial"/>
        </w:rPr>
        <w:t>society</w:t>
      </w:r>
      <w:r w:rsidR="007B7640" w:rsidRPr="00CD59CC">
        <w:rPr>
          <w:rFonts w:ascii="Arial" w:hAnsi="Arial" w:cs="Arial"/>
        </w:rPr>
        <w:t xml:space="preserve"> </w:t>
      </w:r>
      <w:r w:rsidR="00AF4C10" w:rsidRPr="00CD59CC">
        <w:rPr>
          <w:rFonts w:ascii="Arial" w:hAnsi="Arial" w:cs="Arial"/>
        </w:rPr>
        <w:t>on</w:t>
      </w:r>
      <w:r w:rsidR="007B7640" w:rsidRPr="00CD59CC">
        <w:rPr>
          <w:rFonts w:ascii="Arial" w:hAnsi="Arial" w:cs="Arial"/>
        </w:rPr>
        <w:t xml:space="preserve"> </w:t>
      </w:r>
      <w:r w:rsidR="00AF4C10" w:rsidRPr="00CD59CC">
        <w:rPr>
          <w:rFonts w:ascii="Arial" w:hAnsi="Arial" w:cs="Arial"/>
        </w:rPr>
        <w:t>an</w:t>
      </w:r>
      <w:r w:rsidR="007B7640" w:rsidRPr="00CD59CC">
        <w:rPr>
          <w:rFonts w:ascii="Arial" w:hAnsi="Arial" w:cs="Arial"/>
        </w:rPr>
        <w:t xml:space="preserve"> </w:t>
      </w:r>
      <w:r w:rsidR="00AF4C10" w:rsidRPr="00CD59CC">
        <w:rPr>
          <w:rFonts w:ascii="Arial" w:hAnsi="Arial" w:cs="Arial"/>
        </w:rPr>
        <w:t>equal</w:t>
      </w:r>
      <w:r w:rsidR="007B7640" w:rsidRPr="00CD59CC">
        <w:rPr>
          <w:rFonts w:ascii="Arial" w:hAnsi="Arial" w:cs="Arial"/>
        </w:rPr>
        <w:t xml:space="preserve"> </w:t>
      </w:r>
      <w:r w:rsidR="00AF4C10" w:rsidRPr="00CD59CC">
        <w:rPr>
          <w:rFonts w:ascii="Arial" w:hAnsi="Arial" w:cs="Arial"/>
        </w:rPr>
        <w:t>basis</w:t>
      </w:r>
      <w:r w:rsidR="007B7640" w:rsidRPr="00CD59CC">
        <w:rPr>
          <w:rFonts w:ascii="Arial" w:hAnsi="Arial" w:cs="Arial"/>
        </w:rPr>
        <w:t xml:space="preserve"> </w:t>
      </w:r>
      <w:r w:rsidR="00AF4C10" w:rsidRPr="00CD59CC">
        <w:rPr>
          <w:rFonts w:ascii="Arial" w:hAnsi="Arial" w:cs="Arial"/>
        </w:rPr>
        <w:t>with</w:t>
      </w:r>
      <w:r w:rsidR="007B7640" w:rsidRPr="00CD59CC">
        <w:rPr>
          <w:rFonts w:ascii="Arial" w:hAnsi="Arial" w:cs="Arial"/>
        </w:rPr>
        <w:t xml:space="preserve"> </w:t>
      </w:r>
      <w:r w:rsidR="00AF4C10" w:rsidRPr="00CD59CC">
        <w:rPr>
          <w:rFonts w:ascii="Arial" w:hAnsi="Arial" w:cs="Arial"/>
        </w:rPr>
        <w:t>others</w:t>
      </w:r>
      <w:r w:rsidRPr="00CD59CC">
        <w:rPr>
          <w:rFonts w:ascii="Arial" w:hAnsi="Arial" w:cs="Arial"/>
          <w:iCs/>
          <w:lang w:eastAsia="en-GB"/>
        </w:rPr>
        <w:t>.</w:t>
      </w:r>
      <w:r w:rsidR="007B7640" w:rsidRPr="00CD59CC">
        <w:rPr>
          <w:rFonts w:ascii="Arial" w:hAnsi="Arial" w:cs="Arial"/>
          <w:iCs/>
          <w:lang w:eastAsia="en-GB"/>
        </w:rPr>
        <w:t xml:space="preserve"> </w:t>
      </w:r>
      <w:r w:rsidRPr="00CD59CC">
        <w:rPr>
          <w:rFonts w:ascii="Arial" w:hAnsi="Arial" w:cs="Arial"/>
          <w:iCs/>
          <w:lang w:eastAsia="en-GB"/>
        </w:rPr>
        <w:t>Since</w:t>
      </w:r>
      <w:r w:rsidR="007B7640" w:rsidRPr="00CD59CC">
        <w:rPr>
          <w:rFonts w:ascii="Arial" w:hAnsi="Arial" w:cs="Arial"/>
          <w:iCs/>
          <w:lang w:eastAsia="en-GB"/>
        </w:rPr>
        <w:t xml:space="preserve"> </w:t>
      </w:r>
      <w:r w:rsidRPr="00CD59CC">
        <w:rPr>
          <w:rFonts w:ascii="Arial" w:hAnsi="Arial" w:cs="Arial"/>
          <w:iCs/>
          <w:lang w:eastAsia="en-GB"/>
        </w:rPr>
        <w:t>the</w:t>
      </w:r>
      <w:r w:rsidR="007B7640" w:rsidRPr="00CD59CC">
        <w:rPr>
          <w:rFonts w:ascii="Arial" w:hAnsi="Arial" w:cs="Arial"/>
          <w:iCs/>
          <w:lang w:eastAsia="en-GB"/>
        </w:rPr>
        <w:t xml:space="preserve"> </w:t>
      </w:r>
      <w:r w:rsidRPr="00CD59CC">
        <w:rPr>
          <w:rFonts w:ascii="Arial" w:hAnsi="Arial" w:cs="Arial"/>
          <w:iCs/>
          <w:lang w:eastAsia="en-GB"/>
        </w:rPr>
        <w:t>provisions</w:t>
      </w:r>
      <w:r w:rsidR="007B7640" w:rsidRPr="00CD59CC">
        <w:rPr>
          <w:rFonts w:ascii="Arial" w:hAnsi="Arial" w:cs="Arial"/>
          <w:iCs/>
          <w:lang w:eastAsia="en-GB"/>
        </w:rPr>
        <w:t xml:space="preserve"> </w:t>
      </w:r>
      <w:r w:rsidRPr="00CD59CC">
        <w:rPr>
          <w:rFonts w:ascii="Arial" w:hAnsi="Arial" w:cs="Arial"/>
          <w:iCs/>
          <w:lang w:eastAsia="en-GB"/>
        </w:rPr>
        <w:t>that</w:t>
      </w:r>
      <w:r w:rsidR="007B7640" w:rsidRPr="00CD59CC">
        <w:rPr>
          <w:rFonts w:ascii="Arial" w:hAnsi="Arial" w:cs="Arial"/>
          <w:iCs/>
          <w:lang w:eastAsia="en-GB"/>
        </w:rPr>
        <w:t xml:space="preserve"> </w:t>
      </w:r>
      <w:r w:rsidRPr="00CD59CC">
        <w:rPr>
          <w:rFonts w:ascii="Arial" w:hAnsi="Arial" w:cs="Arial"/>
          <w:iCs/>
          <w:lang w:eastAsia="en-GB"/>
        </w:rPr>
        <w:t>are</w:t>
      </w:r>
      <w:r w:rsidR="007B7640" w:rsidRPr="00CD59CC">
        <w:rPr>
          <w:rFonts w:ascii="Arial" w:hAnsi="Arial" w:cs="Arial"/>
          <w:iCs/>
          <w:lang w:eastAsia="en-GB"/>
        </w:rPr>
        <w:t xml:space="preserve"> </w:t>
      </w:r>
      <w:r w:rsidRPr="00CD59CC">
        <w:rPr>
          <w:rFonts w:ascii="Arial" w:hAnsi="Arial" w:cs="Arial"/>
          <w:iCs/>
          <w:lang w:eastAsia="en-GB"/>
        </w:rPr>
        <w:t>the</w:t>
      </w:r>
      <w:r w:rsidR="007B7640" w:rsidRPr="00CD59CC">
        <w:rPr>
          <w:rFonts w:ascii="Arial" w:hAnsi="Arial" w:cs="Arial"/>
          <w:iCs/>
          <w:lang w:eastAsia="en-GB"/>
        </w:rPr>
        <w:t xml:space="preserve"> </w:t>
      </w:r>
      <w:r w:rsidRPr="00CD59CC">
        <w:rPr>
          <w:rFonts w:ascii="Arial" w:hAnsi="Arial" w:cs="Arial"/>
          <w:iCs/>
          <w:lang w:eastAsia="en-GB"/>
        </w:rPr>
        <w:t>most</w:t>
      </w:r>
      <w:r w:rsidR="007B7640" w:rsidRPr="00CD59CC">
        <w:rPr>
          <w:rFonts w:ascii="Arial" w:hAnsi="Arial" w:cs="Arial"/>
          <w:iCs/>
          <w:lang w:eastAsia="en-GB"/>
        </w:rPr>
        <w:t xml:space="preserve"> </w:t>
      </w:r>
      <w:r w:rsidRPr="00CD59CC">
        <w:rPr>
          <w:rFonts w:ascii="Arial" w:hAnsi="Arial" w:cs="Arial"/>
          <w:iCs/>
          <w:lang w:eastAsia="en-GB"/>
        </w:rPr>
        <w:t>relevant</w:t>
      </w:r>
      <w:r w:rsidR="007B7640" w:rsidRPr="00CD59CC">
        <w:rPr>
          <w:rFonts w:ascii="Arial" w:hAnsi="Arial" w:cs="Arial"/>
          <w:iCs/>
          <w:lang w:eastAsia="en-GB"/>
        </w:rPr>
        <w:t xml:space="preserve"> </w:t>
      </w:r>
      <w:r w:rsidRPr="00CD59CC">
        <w:rPr>
          <w:rFonts w:ascii="Arial" w:hAnsi="Arial" w:cs="Arial"/>
          <w:iCs/>
          <w:lang w:eastAsia="en-GB"/>
        </w:rPr>
        <w:t>from</w:t>
      </w:r>
      <w:r w:rsidR="007B7640" w:rsidRPr="00CD59CC">
        <w:rPr>
          <w:rFonts w:ascii="Arial" w:hAnsi="Arial" w:cs="Arial"/>
          <w:iCs/>
          <w:lang w:eastAsia="en-GB"/>
        </w:rPr>
        <w:t xml:space="preserve"> </w:t>
      </w:r>
      <w:r w:rsidRPr="00CD59CC">
        <w:rPr>
          <w:rFonts w:ascii="Arial" w:hAnsi="Arial" w:cs="Arial"/>
          <w:iCs/>
          <w:lang w:eastAsia="en-GB"/>
        </w:rPr>
        <w:t>the</w:t>
      </w:r>
      <w:r w:rsidR="007B7640" w:rsidRPr="00CD59CC">
        <w:rPr>
          <w:rFonts w:ascii="Arial" w:hAnsi="Arial" w:cs="Arial"/>
          <w:iCs/>
          <w:lang w:eastAsia="en-GB"/>
        </w:rPr>
        <w:t xml:space="preserve"> </w:t>
      </w:r>
      <w:r w:rsidRPr="00CD59CC">
        <w:rPr>
          <w:rFonts w:ascii="Arial" w:hAnsi="Arial" w:cs="Arial"/>
          <w:iCs/>
          <w:lang w:eastAsia="en-GB"/>
        </w:rPr>
        <w:t>point</w:t>
      </w:r>
      <w:r w:rsidR="007B7640" w:rsidRPr="00CD59CC">
        <w:rPr>
          <w:rFonts w:ascii="Arial" w:hAnsi="Arial" w:cs="Arial"/>
          <w:iCs/>
          <w:lang w:eastAsia="en-GB"/>
        </w:rPr>
        <w:t xml:space="preserve"> </w:t>
      </w:r>
      <w:r w:rsidRPr="00CD59CC">
        <w:rPr>
          <w:rFonts w:ascii="Arial" w:hAnsi="Arial" w:cs="Arial"/>
          <w:iCs/>
          <w:lang w:eastAsia="en-GB"/>
        </w:rPr>
        <w:t>of</w:t>
      </w:r>
      <w:r w:rsidR="007B7640" w:rsidRPr="00CD59CC">
        <w:rPr>
          <w:rFonts w:ascii="Arial" w:hAnsi="Arial" w:cs="Arial"/>
          <w:iCs/>
          <w:lang w:eastAsia="en-GB"/>
        </w:rPr>
        <w:t xml:space="preserve"> </w:t>
      </w:r>
      <w:r w:rsidRPr="00CD59CC">
        <w:rPr>
          <w:rFonts w:ascii="Arial" w:hAnsi="Arial" w:cs="Arial"/>
          <w:iCs/>
          <w:lang w:eastAsia="en-GB"/>
        </w:rPr>
        <w:t>view</w:t>
      </w:r>
      <w:r w:rsidR="007B7640" w:rsidRPr="00CD59CC">
        <w:rPr>
          <w:rFonts w:ascii="Arial" w:hAnsi="Arial" w:cs="Arial"/>
          <w:iCs/>
          <w:lang w:eastAsia="en-GB"/>
        </w:rPr>
        <w:t xml:space="preserve"> </w:t>
      </w:r>
      <w:r w:rsidRPr="00CD59CC">
        <w:rPr>
          <w:rFonts w:ascii="Arial" w:hAnsi="Arial" w:cs="Arial"/>
          <w:iCs/>
          <w:lang w:eastAsia="en-GB"/>
        </w:rPr>
        <w:t>of</w:t>
      </w:r>
      <w:r w:rsidR="007B7640" w:rsidRPr="00CD59CC">
        <w:rPr>
          <w:rFonts w:ascii="Arial" w:hAnsi="Arial" w:cs="Arial"/>
          <w:iCs/>
          <w:lang w:eastAsia="en-GB"/>
        </w:rPr>
        <w:t xml:space="preserve"> </w:t>
      </w:r>
      <w:r w:rsidRPr="00CD59CC">
        <w:rPr>
          <w:rFonts w:ascii="Arial" w:hAnsi="Arial" w:cs="Arial"/>
          <w:iCs/>
          <w:lang w:eastAsia="en-GB"/>
        </w:rPr>
        <w:t>reasonable</w:t>
      </w:r>
      <w:r w:rsidR="007B7640" w:rsidRPr="00CD59CC">
        <w:rPr>
          <w:rFonts w:ascii="Arial" w:hAnsi="Arial" w:cs="Arial"/>
          <w:iCs/>
          <w:lang w:eastAsia="en-GB"/>
        </w:rPr>
        <w:t xml:space="preserve"> </w:t>
      </w:r>
      <w:r w:rsidRPr="00CD59CC">
        <w:rPr>
          <w:rFonts w:ascii="Arial" w:hAnsi="Arial" w:cs="Arial"/>
          <w:iCs/>
          <w:lang w:eastAsia="en-GB"/>
        </w:rPr>
        <w:t>accommodation</w:t>
      </w:r>
      <w:r w:rsidR="007B7640" w:rsidRPr="00CD59CC">
        <w:rPr>
          <w:rFonts w:ascii="Arial" w:hAnsi="Arial" w:cs="Arial"/>
          <w:iCs/>
          <w:lang w:eastAsia="en-GB"/>
        </w:rPr>
        <w:t xml:space="preserve"> </w:t>
      </w:r>
      <w:r w:rsidRPr="00CD59CC">
        <w:rPr>
          <w:rFonts w:ascii="Arial" w:hAnsi="Arial" w:cs="Arial"/>
          <w:iCs/>
          <w:lang w:eastAsia="en-GB"/>
        </w:rPr>
        <w:t>are</w:t>
      </w:r>
      <w:r w:rsidR="007B7640" w:rsidRPr="00CD59CC">
        <w:rPr>
          <w:rFonts w:ascii="Arial" w:hAnsi="Arial" w:cs="Arial"/>
          <w:iCs/>
          <w:lang w:eastAsia="en-GB"/>
        </w:rPr>
        <w:t xml:space="preserve"> </w:t>
      </w:r>
      <w:r w:rsidRPr="00CD59CC">
        <w:rPr>
          <w:rFonts w:ascii="Arial" w:hAnsi="Arial" w:cs="Arial"/>
          <w:iCs/>
          <w:lang w:eastAsia="en-GB"/>
        </w:rPr>
        <w:t>set</w:t>
      </w:r>
      <w:r w:rsidR="007B7640" w:rsidRPr="00CD59CC">
        <w:rPr>
          <w:rFonts w:ascii="Arial" w:hAnsi="Arial" w:cs="Arial"/>
          <w:iCs/>
          <w:lang w:eastAsia="en-GB"/>
        </w:rPr>
        <w:t xml:space="preserve"> </w:t>
      </w:r>
      <w:r w:rsidRPr="00CD59CC">
        <w:rPr>
          <w:rFonts w:ascii="Arial" w:hAnsi="Arial" w:cs="Arial"/>
          <w:iCs/>
          <w:lang w:eastAsia="en-GB"/>
        </w:rPr>
        <w:t>out</w:t>
      </w:r>
      <w:r w:rsidR="007B7640" w:rsidRPr="00CD59CC">
        <w:rPr>
          <w:rFonts w:ascii="Arial" w:hAnsi="Arial" w:cs="Arial"/>
          <w:iCs/>
          <w:lang w:eastAsia="en-GB"/>
        </w:rPr>
        <w:t xml:space="preserve"> </w:t>
      </w:r>
      <w:r w:rsidRPr="00CD59CC">
        <w:rPr>
          <w:rFonts w:ascii="Arial" w:hAnsi="Arial" w:cs="Arial"/>
          <w:iCs/>
          <w:lang w:eastAsia="en-GB"/>
        </w:rPr>
        <w:t>in</w:t>
      </w:r>
      <w:r w:rsidR="007B7640" w:rsidRPr="00CD59CC">
        <w:rPr>
          <w:rFonts w:ascii="Arial" w:hAnsi="Arial" w:cs="Arial"/>
          <w:iCs/>
          <w:lang w:eastAsia="en-GB"/>
        </w:rPr>
        <w:t xml:space="preserve"> </w:t>
      </w:r>
      <w:r w:rsidRPr="00CD59CC">
        <w:rPr>
          <w:rFonts w:ascii="Arial" w:hAnsi="Arial" w:cs="Arial"/>
          <w:iCs/>
          <w:lang w:eastAsia="en-GB"/>
        </w:rPr>
        <w:t>the</w:t>
      </w:r>
      <w:r w:rsidR="007B7640" w:rsidRPr="00CD59CC">
        <w:rPr>
          <w:rFonts w:ascii="Arial" w:hAnsi="Arial" w:cs="Arial"/>
          <w:iCs/>
          <w:lang w:eastAsia="en-GB"/>
        </w:rPr>
        <w:t xml:space="preserve"> </w:t>
      </w:r>
      <w:r w:rsidRPr="00CD59CC">
        <w:rPr>
          <w:rFonts w:ascii="Arial" w:hAnsi="Arial" w:cs="Arial"/>
          <w:iCs/>
          <w:lang w:eastAsia="en-GB"/>
        </w:rPr>
        <w:t>RPD</w:t>
      </w:r>
      <w:r w:rsidR="007B7640" w:rsidRPr="00CD59CC">
        <w:rPr>
          <w:rFonts w:ascii="Arial" w:hAnsi="Arial" w:cs="Arial"/>
          <w:iCs/>
          <w:lang w:eastAsia="en-GB"/>
        </w:rPr>
        <w:t xml:space="preserve"> </w:t>
      </w:r>
      <w:r w:rsidRPr="00CD59CC">
        <w:rPr>
          <w:rFonts w:ascii="Arial" w:hAnsi="Arial" w:cs="Arial"/>
          <w:iCs/>
          <w:lang w:eastAsia="en-GB"/>
        </w:rPr>
        <w:t>Act,</w:t>
      </w:r>
      <w:r w:rsidR="007B7640" w:rsidRPr="00CD59CC">
        <w:rPr>
          <w:rFonts w:ascii="Arial" w:hAnsi="Arial" w:cs="Arial"/>
          <w:iCs/>
          <w:lang w:eastAsia="en-GB"/>
        </w:rPr>
        <w:t xml:space="preserve"> </w:t>
      </w:r>
      <w:r w:rsidRPr="00CD59CC">
        <w:rPr>
          <w:rFonts w:ascii="Arial" w:hAnsi="Arial" w:cs="Arial"/>
          <w:iCs/>
          <w:lang w:eastAsia="en-GB"/>
        </w:rPr>
        <w:t>this</w:t>
      </w:r>
      <w:r w:rsidR="007B7640" w:rsidRPr="00CD59CC">
        <w:rPr>
          <w:rFonts w:ascii="Arial" w:hAnsi="Arial" w:cs="Arial"/>
          <w:iCs/>
          <w:lang w:eastAsia="en-GB"/>
        </w:rPr>
        <w:t xml:space="preserve"> </w:t>
      </w:r>
      <w:r w:rsidRPr="00CD59CC">
        <w:rPr>
          <w:rFonts w:ascii="Arial" w:hAnsi="Arial" w:cs="Arial"/>
          <w:iCs/>
          <w:lang w:eastAsia="en-GB"/>
        </w:rPr>
        <w:t>seems</w:t>
      </w:r>
      <w:r w:rsidR="007B7640" w:rsidRPr="00CD59CC">
        <w:rPr>
          <w:rFonts w:ascii="Arial" w:hAnsi="Arial" w:cs="Arial"/>
          <w:iCs/>
          <w:lang w:eastAsia="en-GB"/>
        </w:rPr>
        <w:t xml:space="preserve"> </w:t>
      </w:r>
      <w:r w:rsidRPr="00CD59CC">
        <w:rPr>
          <w:rFonts w:ascii="Arial" w:hAnsi="Arial" w:cs="Arial"/>
          <w:iCs/>
          <w:lang w:eastAsia="en-GB"/>
        </w:rPr>
        <w:t>to</w:t>
      </w:r>
      <w:r w:rsidR="007B7640" w:rsidRPr="00CD59CC">
        <w:rPr>
          <w:rFonts w:ascii="Arial" w:hAnsi="Arial" w:cs="Arial"/>
          <w:iCs/>
          <w:lang w:eastAsia="en-GB"/>
        </w:rPr>
        <w:t xml:space="preserve"> </w:t>
      </w:r>
      <w:r w:rsidRPr="00CD59CC">
        <w:rPr>
          <w:rFonts w:ascii="Arial" w:hAnsi="Arial" w:cs="Arial"/>
          <w:iCs/>
          <w:lang w:eastAsia="en-GB"/>
        </w:rPr>
        <w:t>be</w:t>
      </w:r>
      <w:r w:rsidR="007B7640" w:rsidRPr="00CD59CC">
        <w:rPr>
          <w:rFonts w:ascii="Arial" w:hAnsi="Arial" w:cs="Arial"/>
          <w:iCs/>
          <w:lang w:eastAsia="en-GB"/>
        </w:rPr>
        <w:t xml:space="preserve"> </w:t>
      </w:r>
      <w:r w:rsidRPr="00CD59CC">
        <w:rPr>
          <w:rFonts w:ascii="Arial" w:hAnsi="Arial" w:cs="Arial"/>
          <w:iCs/>
          <w:lang w:eastAsia="en-GB"/>
        </w:rPr>
        <w:t>the</w:t>
      </w:r>
      <w:r w:rsidR="007B7640" w:rsidRPr="00CD59CC">
        <w:rPr>
          <w:rFonts w:ascii="Arial" w:hAnsi="Arial" w:cs="Arial"/>
          <w:iCs/>
          <w:lang w:eastAsia="en-GB"/>
        </w:rPr>
        <w:t xml:space="preserve"> </w:t>
      </w:r>
      <w:r w:rsidRPr="00CD59CC">
        <w:rPr>
          <w:rFonts w:ascii="Arial" w:hAnsi="Arial" w:cs="Arial"/>
          <w:iCs/>
          <w:lang w:eastAsia="en-GB"/>
        </w:rPr>
        <w:t>most</w:t>
      </w:r>
      <w:r w:rsidR="007B7640" w:rsidRPr="00CD59CC">
        <w:rPr>
          <w:rFonts w:ascii="Arial" w:hAnsi="Arial" w:cs="Arial"/>
          <w:iCs/>
          <w:lang w:eastAsia="en-GB"/>
        </w:rPr>
        <w:t xml:space="preserve"> </w:t>
      </w:r>
      <w:r w:rsidRPr="00CD59CC">
        <w:rPr>
          <w:rFonts w:ascii="Arial" w:hAnsi="Arial" w:cs="Arial"/>
          <w:iCs/>
          <w:lang w:eastAsia="en-GB"/>
        </w:rPr>
        <w:t>likely</w:t>
      </w:r>
      <w:r w:rsidR="007B7640" w:rsidRPr="00CD59CC">
        <w:rPr>
          <w:rFonts w:ascii="Arial" w:hAnsi="Arial" w:cs="Arial"/>
          <w:iCs/>
          <w:lang w:eastAsia="en-GB"/>
        </w:rPr>
        <w:t xml:space="preserve"> </w:t>
      </w:r>
      <w:r w:rsidRPr="00CD59CC">
        <w:rPr>
          <w:rFonts w:ascii="Arial" w:hAnsi="Arial" w:cs="Arial"/>
          <w:iCs/>
          <w:lang w:eastAsia="en-GB"/>
        </w:rPr>
        <w:t>definition</w:t>
      </w:r>
      <w:r w:rsidR="007B7640" w:rsidRPr="00CD59CC">
        <w:rPr>
          <w:rFonts w:ascii="Arial" w:hAnsi="Arial" w:cs="Arial"/>
          <w:iCs/>
          <w:lang w:eastAsia="en-GB"/>
        </w:rPr>
        <w:t xml:space="preserve"> </w:t>
      </w:r>
      <w:r w:rsidRPr="00CD59CC">
        <w:rPr>
          <w:rFonts w:ascii="Arial" w:hAnsi="Arial" w:cs="Arial"/>
          <w:iCs/>
          <w:lang w:eastAsia="en-GB"/>
        </w:rPr>
        <w:t>of</w:t>
      </w:r>
      <w:r w:rsidR="007B7640" w:rsidRPr="00CD59CC">
        <w:rPr>
          <w:rFonts w:ascii="Arial" w:hAnsi="Arial" w:cs="Arial"/>
          <w:iCs/>
          <w:lang w:eastAsia="en-GB"/>
        </w:rPr>
        <w:t xml:space="preserve"> </w:t>
      </w:r>
      <w:r w:rsidRPr="00CD59CC">
        <w:rPr>
          <w:rFonts w:ascii="Arial" w:hAnsi="Arial" w:cs="Arial"/>
          <w:iCs/>
          <w:lang w:eastAsia="en-GB"/>
        </w:rPr>
        <w:t>disability</w:t>
      </w:r>
      <w:r w:rsidR="007B7640" w:rsidRPr="00CD59CC">
        <w:rPr>
          <w:rFonts w:ascii="Arial" w:hAnsi="Arial" w:cs="Arial"/>
          <w:iCs/>
          <w:lang w:eastAsia="en-GB"/>
        </w:rPr>
        <w:t xml:space="preserve"> </w:t>
      </w:r>
      <w:r w:rsidRPr="00CD59CC">
        <w:rPr>
          <w:rFonts w:ascii="Arial" w:hAnsi="Arial" w:cs="Arial"/>
          <w:iCs/>
          <w:lang w:eastAsia="en-GB"/>
        </w:rPr>
        <w:t>for</w:t>
      </w:r>
      <w:r w:rsidR="007B7640" w:rsidRPr="00CD59CC">
        <w:rPr>
          <w:rFonts w:ascii="Arial" w:hAnsi="Arial" w:cs="Arial"/>
          <w:iCs/>
          <w:lang w:eastAsia="en-GB"/>
        </w:rPr>
        <w:t xml:space="preserve"> </w:t>
      </w:r>
      <w:r w:rsidRPr="00CD59CC">
        <w:rPr>
          <w:rFonts w:ascii="Arial" w:hAnsi="Arial" w:cs="Arial"/>
          <w:iCs/>
          <w:lang w:eastAsia="en-GB"/>
        </w:rPr>
        <w:t>the</w:t>
      </w:r>
      <w:r w:rsidR="007B7640" w:rsidRPr="00CD59CC">
        <w:rPr>
          <w:rFonts w:ascii="Arial" w:hAnsi="Arial" w:cs="Arial"/>
          <w:iCs/>
          <w:lang w:eastAsia="en-GB"/>
        </w:rPr>
        <w:t xml:space="preserve"> </w:t>
      </w:r>
      <w:r w:rsidRPr="00CD59CC">
        <w:rPr>
          <w:rFonts w:ascii="Arial" w:hAnsi="Arial" w:cs="Arial"/>
          <w:iCs/>
          <w:lang w:eastAsia="en-GB"/>
        </w:rPr>
        <w:t>purposes</w:t>
      </w:r>
      <w:r w:rsidR="007B7640" w:rsidRPr="00CD59CC">
        <w:rPr>
          <w:rFonts w:ascii="Arial" w:hAnsi="Arial" w:cs="Arial"/>
          <w:iCs/>
          <w:lang w:eastAsia="en-GB"/>
        </w:rPr>
        <w:t xml:space="preserve"> </w:t>
      </w:r>
      <w:r w:rsidRPr="00CD59CC">
        <w:rPr>
          <w:rFonts w:ascii="Arial" w:hAnsi="Arial" w:cs="Arial"/>
          <w:iCs/>
          <w:lang w:eastAsia="en-GB"/>
        </w:rPr>
        <w:t>of</w:t>
      </w:r>
      <w:r w:rsidR="007B7640" w:rsidRPr="00CD59CC">
        <w:rPr>
          <w:rFonts w:ascii="Arial" w:hAnsi="Arial" w:cs="Arial"/>
          <w:iCs/>
          <w:lang w:eastAsia="en-GB"/>
        </w:rPr>
        <w:t xml:space="preserve"> </w:t>
      </w:r>
      <w:r w:rsidRPr="00CD59CC">
        <w:rPr>
          <w:rFonts w:ascii="Arial" w:hAnsi="Arial" w:cs="Arial"/>
          <w:iCs/>
          <w:lang w:eastAsia="en-GB"/>
        </w:rPr>
        <w:t>claiming</w:t>
      </w:r>
      <w:r w:rsidR="007B7640" w:rsidRPr="00CD59CC">
        <w:rPr>
          <w:rFonts w:ascii="Arial" w:hAnsi="Arial" w:cs="Arial"/>
          <w:iCs/>
          <w:lang w:eastAsia="en-GB"/>
        </w:rPr>
        <w:t xml:space="preserve"> </w:t>
      </w:r>
      <w:r w:rsidRPr="00CD59CC">
        <w:rPr>
          <w:rFonts w:ascii="Arial" w:hAnsi="Arial" w:cs="Arial"/>
          <w:iCs/>
          <w:lang w:eastAsia="en-GB"/>
        </w:rPr>
        <w:t>reasonable</w:t>
      </w:r>
      <w:r w:rsidR="007B7640" w:rsidRPr="00CD59CC">
        <w:rPr>
          <w:rFonts w:ascii="Arial" w:hAnsi="Arial" w:cs="Arial"/>
          <w:iCs/>
          <w:lang w:eastAsia="en-GB"/>
        </w:rPr>
        <w:t xml:space="preserve"> </w:t>
      </w:r>
      <w:r w:rsidRPr="00CD59CC">
        <w:rPr>
          <w:rFonts w:ascii="Arial" w:hAnsi="Arial" w:cs="Arial"/>
          <w:iCs/>
          <w:lang w:eastAsia="en-GB"/>
        </w:rPr>
        <w:t>accommodation.</w:t>
      </w:r>
      <w:r w:rsidR="007B7640" w:rsidRPr="00CD59CC">
        <w:rPr>
          <w:rFonts w:ascii="Arial" w:hAnsi="Arial" w:cs="Arial"/>
          <w:iCs/>
          <w:lang w:eastAsia="en-GB"/>
        </w:rPr>
        <w:t xml:space="preserve"> </w:t>
      </w:r>
    </w:p>
    <w:p w14:paraId="00321A6A" w14:textId="77777777" w:rsidR="009B36F9" w:rsidRPr="00CD59CC" w:rsidRDefault="009B36F9" w:rsidP="00CD59CC">
      <w:pPr>
        <w:rPr>
          <w:rFonts w:ascii="Arial" w:hAnsi="Arial" w:cs="Arial"/>
          <w:iCs/>
          <w:lang w:eastAsia="en-GB"/>
        </w:rPr>
      </w:pPr>
    </w:p>
    <w:p w14:paraId="1D2C006B" w14:textId="1791CE36" w:rsidR="009B36F9" w:rsidRPr="00CD59CC" w:rsidRDefault="009B36F9" w:rsidP="00CD59CC">
      <w:pPr>
        <w:rPr>
          <w:rFonts w:ascii="Arial" w:hAnsi="Arial" w:cs="Arial"/>
          <w:i/>
        </w:rPr>
      </w:pPr>
      <w:r w:rsidRPr="00CD59CC">
        <w:rPr>
          <w:rFonts w:ascii="Arial" w:hAnsi="Arial" w:cs="Arial"/>
          <w:iCs/>
          <w:lang w:eastAsia="en-GB"/>
        </w:rPr>
        <w:t>It</w:t>
      </w:r>
      <w:r w:rsidR="007B7640" w:rsidRPr="00CD59CC">
        <w:rPr>
          <w:rFonts w:ascii="Arial" w:hAnsi="Arial" w:cs="Arial"/>
          <w:iCs/>
          <w:lang w:eastAsia="en-GB"/>
        </w:rPr>
        <w:t xml:space="preserve"> </w:t>
      </w:r>
      <w:r w:rsidRPr="00CD59CC">
        <w:rPr>
          <w:rFonts w:ascii="Arial" w:hAnsi="Arial" w:cs="Arial"/>
          <w:iCs/>
          <w:lang w:eastAsia="en-GB"/>
        </w:rPr>
        <w:t>needs</w:t>
      </w:r>
      <w:r w:rsidR="007B7640" w:rsidRPr="00CD59CC">
        <w:rPr>
          <w:rFonts w:ascii="Arial" w:hAnsi="Arial" w:cs="Arial"/>
          <w:iCs/>
          <w:lang w:eastAsia="en-GB"/>
        </w:rPr>
        <w:t xml:space="preserve"> </w:t>
      </w:r>
      <w:r w:rsidRPr="00CD59CC">
        <w:rPr>
          <w:rFonts w:ascii="Arial" w:hAnsi="Arial" w:cs="Arial"/>
          <w:iCs/>
          <w:lang w:eastAsia="en-GB"/>
        </w:rPr>
        <w:t>to</w:t>
      </w:r>
      <w:r w:rsidR="007B7640" w:rsidRPr="00CD59CC">
        <w:rPr>
          <w:rFonts w:ascii="Arial" w:hAnsi="Arial" w:cs="Arial"/>
          <w:iCs/>
          <w:lang w:eastAsia="en-GB"/>
        </w:rPr>
        <w:t xml:space="preserve"> </w:t>
      </w:r>
      <w:r w:rsidRPr="00CD59CC">
        <w:rPr>
          <w:rFonts w:ascii="Arial" w:hAnsi="Arial" w:cs="Arial"/>
          <w:iCs/>
          <w:lang w:eastAsia="en-GB"/>
        </w:rPr>
        <w:t>be</w:t>
      </w:r>
      <w:r w:rsidR="007B7640" w:rsidRPr="00CD59CC">
        <w:rPr>
          <w:rFonts w:ascii="Arial" w:hAnsi="Arial" w:cs="Arial"/>
          <w:iCs/>
          <w:lang w:eastAsia="en-GB"/>
        </w:rPr>
        <w:t xml:space="preserve"> </w:t>
      </w:r>
      <w:r w:rsidRPr="00CD59CC">
        <w:rPr>
          <w:rFonts w:ascii="Arial" w:hAnsi="Arial" w:cs="Arial"/>
          <w:iCs/>
          <w:lang w:eastAsia="en-GB"/>
        </w:rPr>
        <w:t>pointed</w:t>
      </w:r>
      <w:r w:rsidR="007B7640" w:rsidRPr="00CD59CC">
        <w:rPr>
          <w:rFonts w:ascii="Arial" w:hAnsi="Arial" w:cs="Arial"/>
          <w:iCs/>
          <w:lang w:eastAsia="en-GB"/>
        </w:rPr>
        <w:t xml:space="preserve"> </w:t>
      </w:r>
      <w:r w:rsidRPr="00CD59CC">
        <w:rPr>
          <w:rFonts w:ascii="Arial" w:hAnsi="Arial" w:cs="Arial"/>
          <w:iCs/>
          <w:lang w:eastAsia="en-GB"/>
        </w:rPr>
        <w:t>out</w:t>
      </w:r>
      <w:r w:rsidR="007B7640" w:rsidRPr="00CD59CC">
        <w:rPr>
          <w:rFonts w:ascii="Arial" w:hAnsi="Arial" w:cs="Arial"/>
          <w:iCs/>
          <w:lang w:eastAsia="en-GB"/>
        </w:rPr>
        <w:t xml:space="preserve"> </w:t>
      </w:r>
      <w:r w:rsidRPr="00CD59CC">
        <w:rPr>
          <w:rFonts w:ascii="Arial" w:hAnsi="Arial" w:cs="Arial"/>
          <w:iCs/>
          <w:lang w:eastAsia="en-GB"/>
        </w:rPr>
        <w:t>though</w:t>
      </w:r>
      <w:r w:rsidR="007B7640" w:rsidRPr="00CD59CC">
        <w:rPr>
          <w:rFonts w:ascii="Arial" w:hAnsi="Arial" w:cs="Arial"/>
          <w:iCs/>
          <w:lang w:eastAsia="en-GB"/>
        </w:rPr>
        <w:t xml:space="preserve"> </w:t>
      </w:r>
      <w:r w:rsidRPr="00CD59CC">
        <w:rPr>
          <w:rFonts w:ascii="Arial" w:hAnsi="Arial" w:cs="Arial"/>
          <w:iCs/>
          <w:lang w:eastAsia="en-GB"/>
        </w:rPr>
        <w:t>that</w:t>
      </w:r>
      <w:r w:rsidR="007B7640" w:rsidRPr="00CD59CC">
        <w:rPr>
          <w:rFonts w:ascii="Arial" w:hAnsi="Arial" w:cs="Arial"/>
          <w:iCs/>
          <w:lang w:eastAsia="en-GB"/>
        </w:rPr>
        <w:t xml:space="preserve"> </w:t>
      </w:r>
      <w:r w:rsidRPr="00CD59CC">
        <w:rPr>
          <w:rFonts w:ascii="Arial" w:hAnsi="Arial" w:cs="Arial"/>
          <w:iCs/>
          <w:lang w:eastAsia="en-GB"/>
        </w:rPr>
        <w:t>people</w:t>
      </w:r>
      <w:r w:rsidR="007B7640" w:rsidRPr="00CD59CC">
        <w:rPr>
          <w:rFonts w:ascii="Arial" w:hAnsi="Arial" w:cs="Arial"/>
          <w:iCs/>
          <w:lang w:eastAsia="en-GB"/>
        </w:rPr>
        <w:t xml:space="preserve"> </w:t>
      </w:r>
      <w:r w:rsidRPr="00CD59CC">
        <w:rPr>
          <w:rFonts w:ascii="Arial" w:hAnsi="Arial" w:cs="Arial"/>
          <w:iCs/>
          <w:lang w:eastAsia="en-GB"/>
        </w:rPr>
        <w:t>with</w:t>
      </w:r>
      <w:r w:rsidR="007B7640" w:rsidRPr="00CD59CC">
        <w:rPr>
          <w:rFonts w:ascii="Arial" w:hAnsi="Arial" w:cs="Arial"/>
          <w:iCs/>
          <w:lang w:eastAsia="en-GB"/>
        </w:rPr>
        <w:t xml:space="preserve"> </w:t>
      </w:r>
      <w:r w:rsidRPr="00CD59CC">
        <w:rPr>
          <w:rFonts w:ascii="Arial" w:hAnsi="Arial" w:cs="Arial"/>
          <w:iCs/>
          <w:lang w:eastAsia="en-GB"/>
        </w:rPr>
        <w:t>lesser</w:t>
      </w:r>
      <w:r w:rsidR="007B7640" w:rsidRPr="00CD59CC">
        <w:rPr>
          <w:rFonts w:ascii="Arial" w:hAnsi="Arial" w:cs="Arial"/>
          <w:iCs/>
          <w:lang w:eastAsia="en-GB"/>
        </w:rPr>
        <w:t xml:space="preserve"> </w:t>
      </w:r>
      <w:r w:rsidRPr="00CD59CC">
        <w:rPr>
          <w:rFonts w:ascii="Arial" w:hAnsi="Arial" w:cs="Arial"/>
          <w:iCs/>
          <w:lang w:eastAsia="en-GB"/>
        </w:rPr>
        <w:t>degrees</w:t>
      </w:r>
      <w:r w:rsidR="007B7640" w:rsidRPr="00CD59CC">
        <w:rPr>
          <w:rFonts w:ascii="Arial" w:hAnsi="Arial" w:cs="Arial"/>
          <w:iCs/>
          <w:lang w:eastAsia="en-GB"/>
        </w:rPr>
        <w:t xml:space="preserve"> </w:t>
      </w:r>
      <w:r w:rsidRPr="00CD59CC">
        <w:rPr>
          <w:rFonts w:ascii="Arial" w:hAnsi="Arial" w:cs="Arial"/>
          <w:iCs/>
          <w:lang w:eastAsia="en-GB"/>
        </w:rPr>
        <w:t>of</w:t>
      </w:r>
      <w:r w:rsidR="007B7640" w:rsidRPr="00CD59CC">
        <w:rPr>
          <w:rFonts w:ascii="Arial" w:hAnsi="Arial" w:cs="Arial"/>
          <w:iCs/>
          <w:lang w:eastAsia="en-GB"/>
        </w:rPr>
        <w:t xml:space="preserve"> </w:t>
      </w:r>
      <w:r w:rsidRPr="00CD59CC">
        <w:rPr>
          <w:rFonts w:ascii="Arial" w:hAnsi="Arial" w:cs="Arial"/>
          <w:iCs/>
          <w:lang w:eastAsia="en-GB"/>
        </w:rPr>
        <w:t>impairment</w:t>
      </w:r>
      <w:r w:rsidR="007B7640" w:rsidRPr="00CD59CC">
        <w:rPr>
          <w:rFonts w:ascii="Arial" w:hAnsi="Arial" w:cs="Arial"/>
          <w:iCs/>
          <w:lang w:eastAsia="en-GB"/>
        </w:rPr>
        <w:t xml:space="preserve"> </w:t>
      </w:r>
      <w:r w:rsidRPr="00CD59CC">
        <w:rPr>
          <w:rFonts w:ascii="Arial" w:hAnsi="Arial" w:cs="Arial"/>
          <w:iCs/>
          <w:lang w:eastAsia="en-GB"/>
        </w:rPr>
        <w:t>may</w:t>
      </w:r>
      <w:r w:rsidR="007B7640" w:rsidRPr="00CD59CC">
        <w:rPr>
          <w:rFonts w:ascii="Arial" w:hAnsi="Arial" w:cs="Arial"/>
          <w:iCs/>
          <w:lang w:eastAsia="en-GB"/>
        </w:rPr>
        <w:t xml:space="preserve"> </w:t>
      </w:r>
      <w:r w:rsidRPr="00CD59CC">
        <w:rPr>
          <w:rFonts w:ascii="Arial" w:hAnsi="Arial" w:cs="Arial"/>
          <w:iCs/>
          <w:lang w:eastAsia="en-GB"/>
        </w:rPr>
        <w:t>still</w:t>
      </w:r>
      <w:r w:rsidR="007B7640" w:rsidRPr="00CD59CC">
        <w:rPr>
          <w:rFonts w:ascii="Arial" w:hAnsi="Arial" w:cs="Arial"/>
          <w:iCs/>
          <w:lang w:eastAsia="en-GB"/>
        </w:rPr>
        <w:t xml:space="preserve"> </w:t>
      </w:r>
      <w:r w:rsidRPr="00CD59CC">
        <w:rPr>
          <w:rFonts w:ascii="Arial" w:hAnsi="Arial" w:cs="Arial"/>
          <w:iCs/>
          <w:lang w:eastAsia="en-GB"/>
        </w:rPr>
        <w:t>need</w:t>
      </w:r>
      <w:r w:rsidR="007B7640" w:rsidRPr="00CD59CC">
        <w:rPr>
          <w:rFonts w:ascii="Arial" w:hAnsi="Arial" w:cs="Arial"/>
          <w:iCs/>
          <w:lang w:eastAsia="en-GB"/>
        </w:rPr>
        <w:t xml:space="preserve"> </w:t>
      </w:r>
      <w:r w:rsidRPr="00CD59CC">
        <w:rPr>
          <w:rFonts w:ascii="Arial" w:hAnsi="Arial" w:cs="Arial"/>
          <w:iCs/>
          <w:lang w:eastAsia="en-GB"/>
        </w:rPr>
        <w:t>an</w:t>
      </w:r>
      <w:r w:rsidR="007B7640" w:rsidRPr="00CD59CC">
        <w:rPr>
          <w:rFonts w:ascii="Arial" w:hAnsi="Arial" w:cs="Arial"/>
          <w:iCs/>
          <w:lang w:eastAsia="en-GB"/>
        </w:rPr>
        <w:t xml:space="preserve"> </w:t>
      </w:r>
      <w:r w:rsidRPr="00CD59CC">
        <w:rPr>
          <w:rFonts w:ascii="Arial" w:hAnsi="Arial" w:cs="Arial"/>
          <w:iCs/>
          <w:lang w:eastAsia="en-GB"/>
        </w:rPr>
        <w:t>accommodation,</w:t>
      </w:r>
      <w:r w:rsidR="007B7640" w:rsidRPr="00CD59CC">
        <w:rPr>
          <w:rFonts w:ascii="Arial" w:hAnsi="Arial" w:cs="Arial"/>
          <w:iCs/>
          <w:lang w:eastAsia="en-GB"/>
        </w:rPr>
        <w:t xml:space="preserve"> </w:t>
      </w:r>
      <w:r w:rsidRPr="00CD59CC">
        <w:rPr>
          <w:rFonts w:ascii="Arial" w:hAnsi="Arial" w:cs="Arial"/>
          <w:iCs/>
          <w:lang w:eastAsia="en-GB"/>
        </w:rPr>
        <w:t>which</w:t>
      </w:r>
      <w:r w:rsidR="007B7640" w:rsidRPr="00CD59CC">
        <w:rPr>
          <w:rFonts w:ascii="Arial" w:hAnsi="Arial" w:cs="Arial"/>
          <w:iCs/>
          <w:lang w:eastAsia="en-GB"/>
        </w:rPr>
        <w:t xml:space="preserve"> </w:t>
      </w:r>
      <w:r w:rsidRPr="00CD59CC">
        <w:rPr>
          <w:rFonts w:ascii="Arial" w:hAnsi="Arial" w:cs="Arial"/>
          <w:iCs/>
          <w:lang w:eastAsia="en-GB"/>
        </w:rPr>
        <w:t>is</w:t>
      </w:r>
      <w:r w:rsidR="007B7640" w:rsidRPr="00CD59CC">
        <w:rPr>
          <w:rFonts w:ascii="Arial" w:hAnsi="Arial" w:cs="Arial"/>
          <w:iCs/>
          <w:lang w:eastAsia="en-GB"/>
        </w:rPr>
        <w:t xml:space="preserve"> </w:t>
      </w:r>
      <w:r w:rsidRPr="00CD59CC">
        <w:rPr>
          <w:rFonts w:ascii="Arial" w:hAnsi="Arial" w:cs="Arial"/>
          <w:iCs/>
          <w:lang w:eastAsia="en-GB"/>
        </w:rPr>
        <w:t>an</w:t>
      </w:r>
      <w:r w:rsidR="007B7640" w:rsidRPr="00CD59CC">
        <w:rPr>
          <w:rFonts w:ascii="Arial" w:hAnsi="Arial" w:cs="Arial"/>
          <w:iCs/>
          <w:lang w:eastAsia="en-GB"/>
        </w:rPr>
        <w:t xml:space="preserve"> </w:t>
      </w:r>
      <w:r w:rsidRPr="00CD59CC">
        <w:rPr>
          <w:rFonts w:ascii="Arial" w:hAnsi="Arial" w:cs="Arial"/>
          <w:iCs/>
          <w:lang w:eastAsia="en-GB"/>
        </w:rPr>
        <w:t>additional</w:t>
      </w:r>
      <w:r w:rsidR="007B7640" w:rsidRPr="00CD59CC">
        <w:rPr>
          <w:rFonts w:ascii="Arial" w:hAnsi="Arial" w:cs="Arial"/>
          <w:iCs/>
          <w:lang w:eastAsia="en-GB"/>
        </w:rPr>
        <w:t xml:space="preserve"> </w:t>
      </w:r>
      <w:r w:rsidRPr="00CD59CC">
        <w:rPr>
          <w:rFonts w:ascii="Arial" w:hAnsi="Arial" w:cs="Arial"/>
          <w:iCs/>
          <w:lang w:eastAsia="en-GB"/>
        </w:rPr>
        <w:t>argument</w:t>
      </w:r>
      <w:r w:rsidR="007B7640" w:rsidRPr="00CD59CC">
        <w:rPr>
          <w:rFonts w:ascii="Arial" w:hAnsi="Arial" w:cs="Arial"/>
          <w:iCs/>
          <w:lang w:eastAsia="en-GB"/>
        </w:rPr>
        <w:t xml:space="preserve"> </w:t>
      </w:r>
      <w:r w:rsidRPr="00CD59CC">
        <w:rPr>
          <w:rFonts w:ascii="Arial" w:hAnsi="Arial" w:cs="Arial"/>
          <w:iCs/>
          <w:lang w:eastAsia="en-GB"/>
        </w:rPr>
        <w:t>for</w:t>
      </w:r>
      <w:r w:rsidR="007B7640" w:rsidRPr="00CD59CC">
        <w:rPr>
          <w:rFonts w:ascii="Arial" w:hAnsi="Arial" w:cs="Arial"/>
          <w:iCs/>
          <w:lang w:eastAsia="en-GB"/>
        </w:rPr>
        <w:t xml:space="preserve"> </w:t>
      </w:r>
      <w:r w:rsidRPr="00CD59CC">
        <w:rPr>
          <w:rFonts w:ascii="Arial" w:hAnsi="Arial" w:cs="Arial"/>
          <w:iCs/>
          <w:lang w:eastAsia="en-GB"/>
        </w:rPr>
        <w:t>adopting</w:t>
      </w:r>
      <w:r w:rsidR="007B7640" w:rsidRPr="00CD59CC">
        <w:rPr>
          <w:rFonts w:ascii="Arial" w:hAnsi="Arial" w:cs="Arial"/>
          <w:iCs/>
          <w:lang w:eastAsia="en-GB"/>
        </w:rPr>
        <w:t xml:space="preserve"> </w:t>
      </w:r>
      <w:r w:rsidRPr="00CD59CC">
        <w:rPr>
          <w:rFonts w:ascii="Arial" w:hAnsi="Arial" w:cs="Arial"/>
          <w:iCs/>
          <w:lang w:eastAsia="en-GB"/>
        </w:rPr>
        <w:t>a</w:t>
      </w:r>
      <w:r w:rsidR="007B7640" w:rsidRPr="00CD59CC">
        <w:rPr>
          <w:rFonts w:ascii="Arial" w:hAnsi="Arial" w:cs="Arial"/>
          <w:iCs/>
          <w:lang w:eastAsia="en-GB"/>
        </w:rPr>
        <w:t xml:space="preserve"> </w:t>
      </w:r>
      <w:r w:rsidRPr="00CD59CC">
        <w:rPr>
          <w:rFonts w:ascii="Arial" w:hAnsi="Arial" w:cs="Arial"/>
          <w:iCs/>
          <w:lang w:eastAsia="en-GB"/>
        </w:rPr>
        <w:t>new</w:t>
      </w:r>
      <w:r w:rsidR="007B7640" w:rsidRPr="00CD59CC">
        <w:rPr>
          <w:rFonts w:ascii="Arial" w:hAnsi="Arial" w:cs="Arial"/>
          <w:iCs/>
          <w:lang w:eastAsia="en-GB"/>
        </w:rPr>
        <w:t xml:space="preserve"> </w:t>
      </w:r>
      <w:r w:rsidRPr="00CD59CC">
        <w:rPr>
          <w:rFonts w:ascii="Arial" w:hAnsi="Arial" w:cs="Arial"/>
          <w:iCs/>
          <w:lang w:eastAsia="en-GB"/>
        </w:rPr>
        <w:t>and</w:t>
      </w:r>
      <w:r w:rsidR="007B7640" w:rsidRPr="00CD59CC">
        <w:rPr>
          <w:rFonts w:ascii="Arial" w:hAnsi="Arial" w:cs="Arial"/>
          <w:iCs/>
          <w:lang w:eastAsia="en-GB"/>
        </w:rPr>
        <w:t xml:space="preserve"> </w:t>
      </w:r>
      <w:r w:rsidRPr="00CD59CC">
        <w:rPr>
          <w:rFonts w:ascii="Arial" w:hAnsi="Arial" w:cs="Arial"/>
          <w:iCs/>
          <w:lang w:eastAsia="en-GB"/>
        </w:rPr>
        <w:t>clear</w:t>
      </w:r>
      <w:r w:rsidR="007B7640" w:rsidRPr="00CD59CC">
        <w:rPr>
          <w:rFonts w:ascii="Arial" w:hAnsi="Arial" w:cs="Arial"/>
          <w:iCs/>
          <w:lang w:eastAsia="en-GB"/>
        </w:rPr>
        <w:t xml:space="preserve"> </w:t>
      </w:r>
      <w:r w:rsidRPr="00CD59CC">
        <w:rPr>
          <w:rFonts w:ascii="Arial" w:hAnsi="Arial" w:cs="Arial"/>
          <w:iCs/>
          <w:lang w:eastAsia="en-GB"/>
        </w:rPr>
        <w:t>set</w:t>
      </w:r>
      <w:r w:rsidR="007B7640" w:rsidRPr="00CD59CC">
        <w:rPr>
          <w:rFonts w:ascii="Arial" w:hAnsi="Arial" w:cs="Arial"/>
          <w:iCs/>
          <w:lang w:eastAsia="en-GB"/>
        </w:rPr>
        <w:t xml:space="preserve"> </w:t>
      </w:r>
      <w:r w:rsidRPr="00CD59CC">
        <w:rPr>
          <w:rFonts w:ascii="Arial" w:hAnsi="Arial" w:cs="Arial"/>
          <w:iCs/>
          <w:lang w:eastAsia="en-GB"/>
        </w:rPr>
        <w:t>of</w:t>
      </w:r>
      <w:r w:rsidR="007B7640" w:rsidRPr="00CD59CC">
        <w:rPr>
          <w:rFonts w:ascii="Arial" w:hAnsi="Arial" w:cs="Arial"/>
          <w:iCs/>
          <w:lang w:eastAsia="en-GB"/>
        </w:rPr>
        <w:t xml:space="preserve"> </w:t>
      </w:r>
      <w:r w:rsidRPr="00CD59CC">
        <w:rPr>
          <w:rFonts w:ascii="Arial" w:hAnsi="Arial" w:cs="Arial"/>
          <w:iCs/>
          <w:lang w:eastAsia="en-GB"/>
        </w:rPr>
        <w:t>norms</w:t>
      </w:r>
      <w:r w:rsidR="007B7640" w:rsidRPr="00CD59CC">
        <w:rPr>
          <w:rFonts w:ascii="Arial" w:hAnsi="Arial" w:cs="Arial"/>
          <w:iCs/>
          <w:lang w:eastAsia="en-GB"/>
        </w:rPr>
        <w:t xml:space="preserve"> </w:t>
      </w:r>
      <w:r w:rsidRPr="00CD59CC">
        <w:rPr>
          <w:rFonts w:ascii="Arial" w:hAnsi="Arial" w:cs="Arial"/>
          <w:iCs/>
          <w:lang w:eastAsia="en-GB"/>
        </w:rPr>
        <w:t>in</w:t>
      </w:r>
      <w:r w:rsidR="007B7640" w:rsidRPr="00CD59CC">
        <w:rPr>
          <w:rFonts w:ascii="Arial" w:hAnsi="Arial" w:cs="Arial"/>
          <w:iCs/>
          <w:lang w:eastAsia="en-GB"/>
        </w:rPr>
        <w:t xml:space="preserve"> </w:t>
      </w:r>
      <w:r w:rsidRPr="00CD59CC">
        <w:rPr>
          <w:rFonts w:ascii="Arial" w:hAnsi="Arial" w:cs="Arial"/>
          <w:iCs/>
          <w:lang w:eastAsia="en-GB"/>
        </w:rPr>
        <w:t>this</w:t>
      </w:r>
      <w:r w:rsidR="007B7640" w:rsidRPr="00CD59CC">
        <w:rPr>
          <w:rFonts w:ascii="Arial" w:hAnsi="Arial" w:cs="Arial"/>
          <w:iCs/>
          <w:lang w:eastAsia="en-GB"/>
        </w:rPr>
        <w:t xml:space="preserve"> </w:t>
      </w:r>
      <w:r w:rsidRPr="00CD59CC">
        <w:rPr>
          <w:rFonts w:ascii="Arial" w:hAnsi="Arial" w:cs="Arial"/>
          <w:iCs/>
          <w:lang w:eastAsia="en-GB"/>
        </w:rPr>
        <w:t>regard.</w:t>
      </w:r>
      <w:r w:rsidR="007B7640" w:rsidRPr="00CD59CC">
        <w:rPr>
          <w:rFonts w:ascii="Arial" w:hAnsi="Arial" w:cs="Arial"/>
          <w:iCs/>
          <w:lang w:eastAsia="en-GB"/>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mentioned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illnesses</w:t>
      </w:r>
      <w:r w:rsidR="007B7640" w:rsidRPr="00CD59CC">
        <w:rPr>
          <w:rFonts w:ascii="Arial" w:hAnsi="Arial" w:cs="Arial"/>
        </w:rPr>
        <w:t xml:space="preserve"> </w:t>
      </w:r>
      <w:r w:rsidRPr="00CD59CC">
        <w:rPr>
          <w:rFonts w:ascii="Arial" w:hAnsi="Arial" w:cs="Arial"/>
        </w:rPr>
        <w:t>might</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fall</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Act’s</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them</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might</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claim</w:t>
      </w:r>
      <w:r w:rsidR="007B7640" w:rsidRPr="00CD59CC">
        <w:rPr>
          <w:rFonts w:ascii="Arial" w:hAnsi="Arial" w:cs="Arial"/>
        </w:rPr>
        <w:t xml:space="preserve"> </w:t>
      </w:r>
      <w:r w:rsidRPr="00CD59CC">
        <w:rPr>
          <w:rFonts w:ascii="Arial" w:hAnsi="Arial" w:cs="Arial"/>
        </w:rPr>
        <w:t>reasonable</w:t>
      </w:r>
      <w:r w:rsidR="007B7640" w:rsidRPr="00CD59CC">
        <w:rPr>
          <w:rFonts w:ascii="Arial" w:hAnsi="Arial" w:cs="Arial"/>
        </w:rPr>
        <w:t xml:space="preserve"> </w:t>
      </w:r>
      <w:r w:rsidRPr="00CD59CC">
        <w:rPr>
          <w:rFonts w:ascii="Arial" w:hAnsi="Arial" w:cs="Arial"/>
        </w:rPr>
        <w:t>accommodation.</w:t>
      </w:r>
    </w:p>
    <w:p w14:paraId="3C18CD48" w14:textId="77777777" w:rsidR="002B5BCD" w:rsidRPr="00CD59CC" w:rsidRDefault="002B5BCD" w:rsidP="00BB4E9F">
      <w:pPr>
        <w:pStyle w:val="BodyText"/>
        <w:rPr>
          <w:rFonts w:ascii="Arial" w:hAnsi="Arial" w:cs="Arial"/>
          <w:i w:val="0"/>
          <w:lang w:val="en-GB"/>
        </w:rPr>
      </w:pPr>
    </w:p>
    <w:p w14:paraId="1E88252A" w14:textId="77777777" w:rsidR="002B5BCD" w:rsidRPr="00CD59CC" w:rsidRDefault="002B5BCD" w:rsidP="00CD59CC">
      <w:pPr>
        <w:pStyle w:val="BodyText"/>
        <w:numPr>
          <w:ilvl w:val="0"/>
          <w:numId w:val="9"/>
        </w:numPr>
        <w:ind w:left="567" w:hanging="567"/>
        <w:rPr>
          <w:rFonts w:ascii="Arial" w:hAnsi="Arial" w:cs="Arial"/>
          <w:lang w:val="en-GB"/>
        </w:rPr>
      </w:pPr>
      <w:r w:rsidRPr="00CD59CC">
        <w:rPr>
          <w:rFonts w:ascii="Arial" w:hAnsi="Arial" w:cs="Arial"/>
          <w:lang w:val="en-GB"/>
        </w:rPr>
        <w:t>Does</w:t>
      </w:r>
      <w:r w:rsidR="007B7640" w:rsidRPr="00CD59CC">
        <w:rPr>
          <w:rFonts w:ascii="Arial" w:hAnsi="Arial" w:cs="Arial"/>
          <w:lang w:val="en-GB"/>
        </w:rPr>
        <w:t xml:space="preserve"> </w:t>
      </w:r>
      <w:r w:rsidRPr="00CD59CC">
        <w:rPr>
          <w:rFonts w:ascii="Arial" w:hAnsi="Arial" w:cs="Arial"/>
          <w:lang w:val="en-GB"/>
        </w:rPr>
        <w:t>national</w:t>
      </w:r>
      <w:r w:rsidR="007B7640" w:rsidRPr="00CD59CC">
        <w:rPr>
          <w:rFonts w:ascii="Arial" w:hAnsi="Arial" w:cs="Arial"/>
          <w:lang w:val="en-GB"/>
        </w:rPr>
        <w:t xml:space="preserve"> </w:t>
      </w:r>
      <w:r w:rsidRPr="00CD59CC">
        <w:rPr>
          <w:rFonts w:ascii="Arial" w:hAnsi="Arial" w:cs="Arial"/>
          <w:lang w:val="en-GB"/>
        </w:rPr>
        <w:t>law</w:t>
      </w:r>
      <w:r w:rsidR="007B7640" w:rsidRPr="00CD59CC">
        <w:rPr>
          <w:rFonts w:ascii="Arial" w:hAnsi="Arial" w:cs="Arial"/>
          <w:lang w:val="en-GB"/>
        </w:rPr>
        <w:t xml:space="preserve"> </w:t>
      </w:r>
      <w:r w:rsidRPr="00CD59CC">
        <w:rPr>
          <w:rFonts w:ascii="Arial" w:hAnsi="Arial" w:cs="Arial"/>
          <w:lang w:val="en-GB"/>
        </w:rPr>
        <w:t>provide</w:t>
      </w:r>
      <w:r w:rsidR="007B7640" w:rsidRPr="00CD59CC">
        <w:rPr>
          <w:rFonts w:ascii="Arial" w:hAnsi="Arial" w:cs="Arial"/>
          <w:lang w:val="en-GB"/>
        </w:rPr>
        <w:t xml:space="preserve"> </w:t>
      </w:r>
      <w:r w:rsidRPr="00CD59CC">
        <w:rPr>
          <w:rFonts w:ascii="Arial" w:hAnsi="Arial" w:cs="Arial"/>
          <w:lang w:val="en-GB"/>
        </w:rPr>
        <w:t>for</w:t>
      </w:r>
      <w:r w:rsidR="007B7640" w:rsidRPr="00CD59CC">
        <w:rPr>
          <w:rFonts w:ascii="Arial" w:hAnsi="Arial" w:cs="Arial"/>
          <w:lang w:val="en-GB"/>
        </w:rPr>
        <w:t xml:space="preserve"> </w:t>
      </w:r>
      <w:r w:rsidRPr="00CD59CC">
        <w:rPr>
          <w:rFonts w:ascii="Arial" w:hAnsi="Arial" w:cs="Arial"/>
          <w:lang w:val="en-GB"/>
        </w:rPr>
        <w:t>a</w:t>
      </w:r>
      <w:r w:rsidR="007B7640" w:rsidRPr="00CD59CC">
        <w:rPr>
          <w:rFonts w:ascii="Arial" w:hAnsi="Arial" w:cs="Arial"/>
          <w:lang w:val="en-GB"/>
        </w:rPr>
        <w:t xml:space="preserve"> </w:t>
      </w:r>
      <w:r w:rsidRPr="00CD59CC">
        <w:rPr>
          <w:rFonts w:ascii="Arial" w:hAnsi="Arial" w:cs="Arial"/>
          <w:lang w:val="en-GB"/>
        </w:rPr>
        <w:t>duty</w:t>
      </w:r>
      <w:r w:rsidR="007B7640" w:rsidRPr="00CD59CC">
        <w:rPr>
          <w:rFonts w:ascii="Arial" w:hAnsi="Arial" w:cs="Arial"/>
          <w:lang w:val="en-GB"/>
        </w:rPr>
        <w:t xml:space="preserve"> </w:t>
      </w:r>
      <w:r w:rsidRPr="00CD59CC">
        <w:rPr>
          <w:rFonts w:ascii="Arial" w:hAnsi="Arial" w:cs="Arial"/>
          <w:lang w:val="en-GB"/>
        </w:rPr>
        <w:t>to</w:t>
      </w:r>
      <w:r w:rsidR="007B7640" w:rsidRPr="00CD59CC">
        <w:rPr>
          <w:rFonts w:ascii="Arial" w:hAnsi="Arial" w:cs="Arial"/>
          <w:lang w:val="en-GB"/>
        </w:rPr>
        <w:t xml:space="preserve"> </w:t>
      </w:r>
      <w:r w:rsidRPr="00CD59CC">
        <w:rPr>
          <w:rFonts w:ascii="Arial" w:hAnsi="Arial" w:cs="Arial"/>
          <w:lang w:val="en-GB"/>
        </w:rPr>
        <w:t>provide</w:t>
      </w:r>
      <w:r w:rsidR="007B7640" w:rsidRPr="00CD59CC">
        <w:rPr>
          <w:rFonts w:ascii="Arial" w:hAnsi="Arial" w:cs="Arial"/>
          <w:lang w:val="en-GB"/>
        </w:rPr>
        <w:t xml:space="preserve"> </w:t>
      </w:r>
      <w:r w:rsidRPr="00CD59CC">
        <w:rPr>
          <w:rFonts w:ascii="Arial" w:hAnsi="Arial" w:cs="Arial"/>
          <w:lang w:val="en-GB"/>
        </w:rPr>
        <w:t>a</w:t>
      </w:r>
      <w:r w:rsidR="007B7640" w:rsidRPr="00CD59CC">
        <w:rPr>
          <w:rFonts w:ascii="Arial" w:hAnsi="Arial" w:cs="Arial"/>
          <w:lang w:val="en-GB"/>
        </w:rPr>
        <w:t xml:space="preserve"> </w:t>
      </w:r>
      <w:r w:rsidRPr="00CD59CC">
        <w:rPr>
          <w:rFonts w:ascii="Arial" w:hAnsi="Arial" w:cs="Arial"/>
          <w:lang w:val="en-GB"/>
        </w:rPr>
        <w:t>reasonable</w:t>
      </w:r>
      <w:r w:rsidR="007B7640" w:rsidRPr="00CD59CC">
        <w:rPr>
          <w:rFonts w:ascii="Arial" w:hAnsi="Arial" w:cs="Arial"/>
          <w:lang w:val="en-GB"/>
        </w:rPr>
        <w:t xml:space="preserve"> </w:t>
      </w:r>
      <w:r w:rsidRPr="00CD59CC">
        <w:rPr>
          <w:rFonts w:ascii="Arial" w:hAnsi="Arial" w:cs="Arial"/>
          <w:lang w:val="en-GB"/>
        </w:rPr>
        <w:t>accommodation</w:t>
      </w:r>
      <w:r w:rsidR="007B7640" w:rsidRPr="00CD59CC">
        <w:rPr>
          <w:rFonts w:ascii="Arial" w:hAnsi="Arial" w:cs="Arial"/>
          <w:lang w:val="en-GB"/>
        </w:rPr>
        <w:t xml:space="preserve"> </w:t>
      </w:r>
      <w:r w:rsidRPr="00CD59CC">
        <w:rPr>
          <w:rFonts w:ascii="Arial" w:hAnsi="Arial" w:cs="Arial"/>
          <w:lang w:val="en-GB"/>
        </w:rPr>
        <w:t>for</w:t>
      </w:r>
      <w:r w:rsidR="007B7640" w:rsidRPr="00CD59CC">
        <w:rPr>
          <w:rFonts w:ascii="Arial" w:hAnsi="Arial" w:cs="Arial"/>
          <w:lang w:val="en-GB"/>
        </w:rPr>
        <w:t xml:space="preserve"> </w:t>
      </w:r>
      <w:r w:rsidRPr="00CD59CC">
        <w:rPr>
          <w:rFonts w:ascii="Arial" w:hAnsi="Arial" w:cs="Arial"/>
          <w:lang w:val="en-GB"/>
        </w:rPr>
        <w:t>people</w:t>
      </w:r>
      <w:r w:rsidR="007B7640" w:rsidRPr="00CD59CC">
        <w:rPr>
          <w:rFonts w:ascii="Arial" w:hAnsi="Arial" w:cs="Arial"/>
          <w:lang w:val="en-GB"/>
        </w:rPr>
        <w:t xml:space="preserve"> </w:t>
      </w:r>
      <w:r w:rsidRPr="00CD59CC">
        <w:rPr>
          <w:rFonts w:ascii="Arial" w:hAnsi="Arial" w:cs="Arial"/>
          <w:lang w:val="en-GB"/>
        </w:rPr>
        <w:t>with</w:t>
      </w:r>
      <w:r w:rsidR="007B7640" w:rsidRPr="00CD59CC">
        <w:rPr>
          <w:rFonts w:ascii="Arial" w:hAnsi="Arial" w:cs="Arial"/>
          <w:lang w:val="en-GB"/>
        </w:rPr>
        <w:t xml:space="preserve"> </w:t>
      </w:r>
      <w:r w:rsidRPr="00CD59CC">
        <w:rPr>
          <w:rFonts w:ascii="Arial" w:hAnsi="Arial" w:cs="Arial"/>
          <w:lang w:val="en-GB"/>
        </w:rPr>
        <w:t>disabilities</w:t>
      </w:r>
      <w:r w:rsidR="007B7640" w:rsidRPr="00CD59CC">
        <w:rPr>
          <w:rFonts w:ascii="Arial" w:hAnsi="Arial" w:cs="Arial"/>
          <w:lang w:val="en-GB"/>
        </w:rPr>
        <w:t xml:space="preserve"> </w:t>
      </w:r>
      <w:r w:rsidRPr="00CD59CC">
        <w:rPr>
          <w:rFonts w:ascii="Arial" w:hAnsi="Arial" w:cs="Arial"/>
          <w:lang w:val="en-GB"/>
        </w:rPr>
        <w:t>in</w:t>
      </w:r>
      <w:r w:rsidR="007B7640" w:rsidRPr="00CD59CC">
        <w:rPr>
          <w:rFonts w:ascii="Arial" w:hAnsi="Arial" w:cs="Arial"/>
          <w:lang w:val="en-GB"/>
        </w:rPr>
        <w:t xml:space="preserve"> </w:t>
      </w:r>
      <w:r w:rsidRPr="00CD59CC">
        <w:rPr>
          <w:rFonts w:ascii="Arial" w:hAnsi="Arial" w:cs="Arial"/>
          <w:lang w:val="en-GB"/>
        </w:rPr>
        <w:t>areas</w:t>
      </w:r>
      <w:r w:rsidR="007B7640" w:rsidRPr="00CD59CC">
        <w:rPr>
          <w:rFonts w:ascii="Arial" w:hAnsi="Arial" w:cs="Arial"/>
          <w:lang w:val="en-GB"/>
        </w:rPr>
        <w:t xml:space="preserve"> </w:t>
      </w:r>
      <w:r w:rsidRPr="00CD59CC">
        <w:rPr>
          <w:rFonts w:ascii="Arial" w:hAnsi="Arial" w:cs="Arial"/>
          <w:lang w:val="en-GB"/>
        </w:rPr>
        <w:t>outside</w:t>
      </w:r>
      <w:r w:rsidR="007B7640" w:rsidRPr="00CD59CC">
        <w:rPr>
          <w:rFonts w:ascii="Arial" w:hAnsi="Arial" w:cs="Arial"/>
          <w:lang w:val="en-GB"/>
        </w:rPr>
        <w:t xml:space="preserve"> </w:t>
      </w:r>
      <w:r w:rsidRPr="00CD59CC">
        <w:rPr>
          <w:rFonts w:ascii="Arial" w:hAnsi="Arial" w:cs="Arial"/>
          <w:lang w:val="en-GB"/>
        </w:rPr>
        <w:t>employment?</w:t>
      </w:r>
      <w:r w:rsidR="007B7640" w:rsidRPr="00CD59CC">
        <w:rPr>
          <w:rFonts w:ascii="Arial" w:hAnsi="Arial" w:cs="Arial"/>
          <w:lang w:val="en-GB"/>
        </w:rPr>
        <w:t xml:space="preserve"> </w:t>
      </w:r>
      <w:r w:rsidRPr="00CD59CC">
        <w:rPr>
          <w:rFonts w:ascii="Arial" w:hAnsi="Arial" w:cs="Arial"/>
          <w:lang w:val="en-GB"/>
        </w:rPr>
        <w:t>Does</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definition</w:t>
      </w:r>
      <w:r w:rsidR="007B7640" w:rsidRPr="00CD59CC">
        <w:rPr>
          <w:rFonts w:ascii="Arial" w:hAnsi="Arial" w:cs="Arial"/>
          <w:lang w:val="en-GB"/>
        </w:rPr>
        <w:t xml:space="preserve"> </w:t>
      </w:r>
      <w:r w:rsidRPr="00CD59CC">
        <w:rPr>
          <w:rFonts w:ascii="Arial" w:hAnsi="Arial" w:cs="Arial"/>
          <w:lang w:val="en-GB"/>
        </w:rPr>
        <w:t>of</w:t>
      </w:r>
      <w:r w:rsidR="007B7640" w:rsidRPr="00CD59CC">
        <w:rPr>
          <w:rFonts w:ascii="Arial" w:hAnsi="Arial" w:cs="Arial"/>
          <w:lang w:val="en-GB"/>
        </w:rPr>
        <w:t xml:space="preserve"> </w:t>
      </w:r>
      <w:r w:rsidRPr="00CD59CC">
        <w:rPr>
          <w:rFonts w:ascii="Arial" w:hAnsi="Arial" w:cs="Arial"/>
          <w:lang w:val="en-GB"/>
        </w:rPr>
        <w:t>“disproportionate</w:t>
      </w:r>
      <w:r w:rsidR="007B7640" w:rsidRPr="00CD59CC">
        <w:rPr>
          <w:rFonts w:ascii="Arial" w:hAnsi="Arial" w:cs="Arial"/>
          <w:lang w:val="en-GB"/>
        </w:rPr>
        <w:t xml:space="preserve"> </w:t>
      </w:r>
      <w:r w:rsidRPr="00CD59CC">
        <w:rPr>
          <w:rFonts w:ascii="Arial" w:hAnsi="Arial" w:cs="Arial"/>
          <w:lang w:val="en-GB"/>
        </w:rPr>
        <w:t>burden”</w:t>
      </w:r>
      <w:r w:rsidR="007B7640" w:rsidRPr="00CD59CC">
        <w:rPr>
          <w:rFonts w:ascii="Arial" w:hAnsi="Arial" w:cs="Arial"/>
          <w:lang w:val="en-GB"/>
        </w:rPr>
        <w:t xml:space="preserve"> </w:t>
      </w:r>
      <w:r w:rsidRPr="00CD59CC">
        <w:rPr>
          <w:rFonts w:ascii="Arial" w:hAnsi="Arial" w:cs="Arial"/>
          <w:lang w:val="en-GB"/>
        </w:rPr>
        <w:t>in</w:t>
      </w:r>
      <w:r w:rsidR="007B7640" w:rsidRPr="00CD59CC">
        <w:rPr>
          <w:rFonts w:ascii="Arial" w:hAnsi="Arial" w:cs="Arial"/>
          <w:lang w:val="en-GB"/>
        </w:rPr>
        <w:t xml:space="preserve"> </w:t>
      </w:r>
      <w:r w:rsidRPr="00CD59CC">
        <w:rPr>
          <w:rFonts w:ascii="Arial" w:hAnsi="Arial" w:cs="Arial"/>
          <w:lang w:val="en-GB"/>
        </w:rPr>
        <w:t>this</w:t>
      </w:r>
      <w:r w:rsidR="007B7640" w:rsidRPr="00CD59CC">
        <w:rPr>
          <w:rFonts w:ascii="Arial" w:hAnsi="Arial" w:cs="Arial"/>
          <w:lang w:val="en-GB"/>
        </w:rPr>
        <w:t xml:space="preserve"> </w:t>
      </w:r>
      <w:r w:rsidRPr="00CD59CC">
        <w:rPr>
          <w:rFonts w:ascii="Arial" w:hAnsi="Arial" w:cs="Arial"/>
          <w:lang w:val="en-GB"/>
        </w:rPr>
        <w:t>context,</w:t>
      </w:r>
      <w:r w:rsidR="007B7640" w:rsidRPr="00CD59CC">
        <w:rPr>
          <w:rFonts w:ascii="Arial" w:hAnsi="Arial" w:cs="Arial"/>
          <w:lang w:val="en-GB"/>
        </w:rPr>
        <w:t xml:space="preserve"> </w:t>
      </w:r>
      <w:r w:rsidRPr="00CD59CC">
        <w:rPr>
          <w:rFonts w:ascii="Arial" w:hAnsi="Arial" w:cs="Arial"/>
          <w:lang w:val="en-GB"/>
        </w:rPr>
        <w:t>as</w:t>
      </w:r>
      <w:r w:rsidR="007B7640" w:rsidRPr="00CD59CC">
        <w:rPr>
          <w:rFonts w:ascii="Arial" w:hAnsi="Arial" w:cs="Arial"/>
          <w:lang w:val="en-GB"/>
        </w:rPr>
        <w:t xml:space="preserve"> </w:t>
      </w:r>
      <w:r w:rsidRPr="00CD59CC">
        <w:rPr>
          <w:rFonts w:ascii="Arial" w:hAnsi="Arial" w:cs="Arial"/>
          <w:lang w:val="en-GB"/>
        </w:rPr>
        <w:t>contained</w:t>
      </w:r>
      <w:r w:rsidR="007B7640" w:rsidRPr="00CD59CC">
        <w:rPr>
          <w:rFonts w:ascii="Arial" w:hAnsi="Arial" w:cs="Arial"/>
          <w:lang w:val="en-GB"/>
        </w:rPr>
        <w:t xml:space="preserve"> </w:t>
      </w:r>
      <w:r w:rsidRPr="00CD59CC">
        <w:rPr>
          <w:rFonts w:ascii="Arial" w:hAnsi="Arial" w:cs="Arial"/>
          <w:lang w:val="en-GB"/>
        </w:rPr>
        <w:t>in</w:t>
      </w:r>
      <w:r w:rsidR="007B7640" w:rsidRPr="00CD59CC">
        <w:rPr>
          <w:rFonts w:ascii="Arial" w:hAnsi="Arial" w:cs="Arial"/>
          <w:lang w:val="en-GB"/>
        </w:rPr>
        <w:t xml:space="preserve"> </w:t>
      </w:r>
      <w:r w:rsidRPr="00CD59CC">
        <w:rPr>
          <w:rFonts w:ascii="Arial" w:hAnsi="Arial" w:cs="Arial"/>
          <w:lang w:val="en-GB"/>
        </w:rPr>
        <w:t>legislation</w:t>
      </w:r>
      <w:r w:rsidR="007B7640" w:rsidRPr="00CD59CC">
        <w:rPr>
          <w:rFonts w:ascii="Arial" w:hAnsi="Arial" w:cs="Arial"/>
          <w:lang w:val="en-GB"/>
        </w:rPr>
        <w:t xml:space="preserve"> </w:t>
      </w:r>
      <w:r w:rsidRPr="00CD59CC">
        <w:rPr>
          <w:rFonts w:ascii="Arial" w:hAnsi="Arial" w:cs="Arial"/>
          <w:lang w:val="en-GB"/>
        </w:rPr>
        <w:t>and</w:t>
      </w:r>
      <w:r w:rsidR="007B7640" w:rsidRPr="00CD59CC">
        <w:rPr>
          <w:rFonts w:ascii="Arial" w:hAnsi="Arial" w:cs="Arial"/>
          <w:lang w:val="en-GB"/>
        </w:rPr>
        <w:t xml:space="preserve"> </w:t>
      </w:r>
      <w:r w:rsidRPr="00CD59CC">
        <w:rPr>
          <w:rFonts w:ascii="Arial" w:hAnsi="Arial" w:cs="Arial"/>
          <w:lang w:val="en-GB"/>
        </w:rPr>
        <w:t>developed</w:t>
      </w:r>
      <w:r w:rsidR="007B7640" w:rsidRPr="00CD59CC">
        <w:rPr>
          <w:rFonts w:ascii="Arial" w:hAnsi="Arial" w:cs="Arial"/>
          <w:lang w:val="en-GB"/>
        </w:rPr>
        <w:t xml:space="preserve"> </w:t>
      </w:r>
      <w:r w:rsidRPr="00CD59CC">
        <w:rPr>
          <w:rFonts w:ascii="Arial" w:hAnsi="Arial" w:cs="Arial"/>
          <w:lang w:val="en-GB"/>
        </w:rPr>
        <w:t>in</w:t>
      </w:r>
      <w:r w:rsidR="007B7640" w:rsidRPr="00CD59CC">
        <w:rPr>
          <w:rFonts w:ascii="Arial" w:hAnsi="Arial" w:cs="Arial"/>
          <w:lang w:val="en-GB"/>
        </w:rPr>
        <w:t xml:space="preserve"> </w:t>
      </w:r>
      <w:r w:rsidRPr="00CD59CC">
        <w:rPr>
          <w:rFonts w:ascii="Arial" w:hAnsi="Arial" w:cs="Arial"/>
          <w:lang w:val="en-GB"/>
        </w:rPr>
        <w:t>case</w:t>
      </w:r>
      <w:r w:rsidR="007B7640" w:rsidRPr="00CD59CC">
        <w:rPr>
          <w:rFonts w:ascii="Arial" w:hAnsi="Arial" w:cs="Arial"/>
          <w:lang w:val="en-GB"/>
        </w:rPr>
        <w:t xml:space="preserve"> </w:t>
      </w:r>
      <w:r w:rsidRPr="00CD59CC">
        <w:rPr>
          <w:rFonts w:ascii="Arial" w:hAnsi="Arial" w:cs="Arial"/>
          <w:lang w:val="en-GB"/>
        </w:rPr>
        <w:t>law,</w:t>
      </w:r>
      <w:r w:rsidR="007B7640" w:rsidRPr="00CD59CC">
        <w:rPr>
          <w:rFonts w:ascii="Arial" w:hAnsi="Arial" w:cs="Arial"/>
          <w:lang w:val="en-GB"/>
        </w:rPr>
        <w:t xml:space="preserve"> </w:t>
      </w:r>
      <w:r w:rsidRPr="00CD59CC">
        <w:rPr>
          <w:rFonts w:ascii="Arial" w:hAnsi="Arial" w:cs="Arial"/>
          <w:lang w:val="en-GB"/>
        </w:rPr>
        <w:t>differ</w:t>
      </w:r>
      <w:r w:rsidR="007B7640" w:rsidRPr="00CD59CC">
        <w:rPr>
          <w:rFonts w:ascii="Arial" w:hAnsi="Arial" w:cs="Arial"/>
          <w:lang w:val="en-GB"/>
        </w:rPr>
        <w:t xml:space="preserve"> </w:t>
      </w:r>
      <w:r w:rsidRPr="00CD59CC">
        <w:rPr>
          <w:rFonts w:ascii="Arial" w:hAnsi="Arial" w:cs="Arial"/>
          <w:lang w:val="en-GB"/>
        </w:rPr>
        <w:t>in</w:t>
      </w:r>
      <w:r w:rsidR="007B7640" w:rsidRPr="00CD59CC">
        <w:rPr>
          <w:rFonts w:ascii="Arial" w:hAnsi="Arial" w:cs="Arial"/>
          <w:lang w:val="en-GB"/>
        </w:rPr>
        <w:t xml:space="preserve"> </w:t>
      </w:r>
      <w:r w:rsidRPr="00CD59CC">
        <w:rPr>
          <w:rFonts w:ascii="Arial" w:hAnsi="Arial" w:cs="Arial"/>
          <w:lang w:val="en-GB"/>
        </w:rPr>
        <w:t>any</w:t>
      </w:r>
      <w:r w:rsidR="007B7640" w:rsidRPr="00CD59CC">
        <w:rPr>
          <w:rFonts w:ascii="Arial" w:hAnsi="Arial" w:cs="Arial"/>
          <w:lang w:val="en-GB"/>
        </w:rPr>
        <w:t xml:space="preserve"> </w:t>
      </w:r>
      <w:r w:rsidRPr="00CD59CC">
        <w:rPr>
          <w:rFonts w:ascii="Arial" w:hAnsi="Arial" w:cs="Arial"/>
          <w:lang w:val="en-GB"/>
        </w:rPr>
        <w:t>way</w:t>
      </w:r>
      <w:r w:rsidR="007B7640" w:rsidRPr="00CD59CC">
        <w:rPr>
          <w:rFonts w:ascii="Arial" w:hAnsi="Arial" w:cs="Arial"/>
          <w:lang w:val="en-GB"/>
        </w:rPr>
        <w:t xml:space="preserve"> </w:t>
      </w:r>
      <w:r w:rsidRPr="00CD59CC">
        <w:rPr>
          <w:rFonts w:ascii="Arial" w:hAnsi="Arial" w:cs="Arial"/>
          <w:lang w:val="en-GB"/>
        </w:rPr>
        <w:t>from</w:t>
      </w:r>
      <w:r w:rsidR="007B7640" w:rsidRPr="00CD59CC">
        <w:rPr>
          <w:rFonts w:ascii="Arial" w:hAnsi="Arial" w:cs="Arial"/>
          <w:lang w:val="en-GB"/>
        </w:rPr>
        <w:t xml:space="preserve"> </w:t>
      </w:r>
      <w:r w:rsidRPr="00CD59CC">
        <w:rPr>
          <w:rFonts w:ascii="Arial" w:hAnsi="Arial" w:cs="Arial"/>
          <w:lang w:val="en-GB"/>
        </w:rPr>
        <w:t>the</w:t>
      </w:r>
      <w:r w:rsidR="007B7640" w:rsidRPr="00CD59CC">
        <w:rPr>
          <w:rFonts w:ascii="Arial" w:hAnsi="Arial" w:cs="Arial"/>
          <w:lang w:val="en-GB"/>
        </w:rPr>
        <w:t xml:space="preserve"> </w:t>
      </w:r>
      <w:r w:rsidRPr="00CD59CC">
        <w:rPr>
          <w:rFonts w:ascii="Arial" w:hAnsi="Arial" w:cs="Arial"/>
          <w:lang w:val="en-GB"/>
        </w:rPr>
        <w:t>definition</w:t>
      </w:r>
      <w:r w:rsidR="007B7640" w:rsidRPr="00CD59CC">
        <w:rPr>
          <w:rFonts w:ascii="Arial" w:hAnsi="Arial" w:cs="Arial"/>
          <w:lang w:val="en-GB"/>
        </w:rPr>
        <w:t xml:space="preserve"> </w:t>
      </w:r>
      <w:r w:rsidRPr="00CD59CC">
        <w:rPr>
          <w:rFonts w:ascii="Arial" w:hAnsi="Arial" w:cs="Arial"/>
          <w:lang w:val="en-GB"/>
        </w:rPr>
        <w:t>used</w:t>
      </w:r>
      <w:r w:rsidR="007B7640" w:rsidRPr="00CD59CC">
        <w:rPr>
          <w:rFonts w:ascii="Arial" w:hAnsi="Arial" w:cs="Arial"/>
          <w:lang w:val="en-GB"/>
        </w:rPr>
        <w:t xml:space="preserve"> </w:t>
      </w:r>
      <w:r w:rsidRPr="00CD59CC">
        <w:rPr>
          <w:rFonts w:ascii="Arial" w:hAnsi="Arial" w:cs="Arial"/>
          <w:lang w:val="en-GB"/>
        </w:rPr>
        <w:t>with</w:t>
      </w:r>
      <w:r w:rsidR="007B7640" w:rsidRPr="00CD59CC">
        <w:rPr>
          <w:rFonts w:ascii="Arial" w:hAnsi="Arial" w:cs="Arial"/>
          <w:lang w:val="en-GB"/>
        </w:rPr>
        <w:t xml:space="preserve"> </w:t>
      </w:r>
      <w:r w:rsidRPr="00CD59CC">
        <w:rPr>
          <w:rFonts w:ascii="Arial" w:hAnsi="Arial" w:cs="Arial"/>
          <w:lang w:val="en-GB"/>
        </w:rPr>
        <w:t>regard</w:t>
      </w:r>
      <w:r w:rsidR="007B7640" w:rsidRPr="00CD59CC">
        <w:rPr>
          <w:rFonts w:ascii="Arial" w:hAnsi="Arial" w:cs="Arial"/>
          <w:lang w:val="en-GB"/>
        </w:rPr>
        <w:t xml:space="preserve"> </w:t>
      </w:r>
      <w:r w:rsidRPr="00CD59CC">
        <w:rPr>
          <w:rFonts w:ascii="Arial" w:hAnsi="Arial" w:cs="Arial"/>
          <w:lang w:val="en-GB"/>
        </w:rPr>
        <w:t>to</w:t>
      </w:r>
      <w:r w:rsidR="007B7640" w:rsidRPr="00CD59CC">
        <w:rPr>
          <w:rFonts w:ascii="Arial" w:hAnsi="Arial" w:cs="Arial"/>
          <w:lang w:val="en-GB"/>
        </w:rPr>
        <w:t xml:space="preserve"> </w:t>
      </w:r>
      <w:r w:rsidRPr="00CD59CC">
        <w:rPr>
          <w:rFonts w:ascii="Arial" w:hAnsi="Arial" w:cs="Arial"/>
          <w:lang w:val="en-GB"/>
        </w:rPr>
        <w:t>employment?</w:t>
      </w:r>
      <w:r w:rsidR="007B7640" w:rsidRPr="00CD59CC">
        <w:rPr>
          <w:rFonts w:ascii="Arial" w:hAnsi="Arial" w:cs="Arial"/>
          <w:lang w:val="en-GB"/>
        </w:rPr>
        <w:t xml:space="preserve"> </w:t>
      </w:r>
    </w:p>
    <w:p w14:paraId="68068636" w14:textId="77777777" w:rsidR="002B5BCD" w:rsidRPr="00E34CF1" w:rsidRDefault="002B5BCD" w:rsidP="00BB4E9F">
      <w:pPr>
        <w:pStyle w:val="BodyText"/>
        <w:ind w:left="567" w:hanging="567"/>
        <w:rPr>
          <w:rFonts w:ascii="Arial" w:hAnsi="Arial"/>
          <w:i w:val="0"/>
        </w:rPr>
      </w:pPr>
    </w:p>
    <w:p w14:paraId="5D57AA2B" w14:textId="77777777" w:rsidR="00AF4C10" w:rsidRPr="00CD59CC" w:rsidRDefault="00AF4C10" w:rsidP="00CD59CC">
      <w:pPr>
        <w:pStyle w:val="BodyText"/>
        <w:rPr>
          <w:rFonts w:ascii="Arial" w:hAnsi="Arial" w:cs="Arial"/>
          <w:i w:val="0"/>
          <w:lang w:val="en-GB"/>
        </w:rPr>
      </w:pP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obligation</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make</w:t>
      </w:r>
      <w:r w:rsidR="007B7640" w:rsidRPr="00CD59CC">
        <w:rPr>
          <w:rFonts w:ascii="Arial" w:hAnsi="Arial" w:cs="Arial"/>
          <w:i w:val="0"/>
          <w:lang w:val="en-GB"/>
        </w:rPr>
        <w:t xml:space="preserve"> </w:t>
      </w:r>
      <w:r w:rsidRPr="00CD59CC">
        <w:rPr>
          <w:rFonts w:ascii="Arial" w:hAnsi="Arial" w:cs="Arial"/>
          <w:i w:val="0"/>
          <w:lang w:val="en-GB"/>
        </w:rPr>
        <w:t>public</w:t>
      </w:r>
      <w:r w:rsidR="007B7640" w:rsidRPr="00CD59CC">
        <w:rPr>
          <w:rFonts w:ascii="Arial" w:hAnsi="Arial" w:cs="Arial"/>
          <w:i w:val="0"/>
          <w:lang w:val="en-GB"/>
        </w:rPr>
        <w:t xml:space="preserve"> </w:t>
      </w:r>
      <w:r w:rsidRPr="00CD59CC">
        <w:rPr>
          <w:rFonts w:ascii="Arial" w:hAnsi="Arial" w:cs="Arial"/>
          <w:i w:val="0"/>
          <w:lang w:val="en-GB"/>
        </w:rPr>
        <w:t>buildings</w:t>
      </w:r>
      <w:r w:rsidR="007B7640" w:rsidRPr="00CD59CC">
        <w:rPr>
          <w:rFonts w:ascii="Arial" w:hAnsi="Arial" w:cs="Arial"/>
          <w:i w:val="0"/>
          <w:lang w:val="en-GB"/>
        </w:rPr>
        <w:t xml:space="preserve"> </w:t>
      </w:r>
      <w:r w:rsidRPr="00CD59CC">
        <w:rPr>
          <w:rFonts w:ascii="Arial" w:hAnsi="Arial" w:cs="Arial"/>
          <w:i w:val="0"/>
          <w:lang w:val="en-GB"/>
        </w:rPr>
        <w:t>accessible</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people</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[see</w:t>
      </w:r>
      <w:r w:rsidR="007B7640" w:rsidRPr="00CD59CC">
        <w:rPr>
          <w:rFonts w:ascii="Arial" w:hAnsi="Arial" w:cs="Arial"/>
          <w:i w:val="0"/>
          <w:lang w:val="en-GB"/>
        </w:rPr>
        <w:t xml:space="preserve"> </w:t>
      </w:r>
      <w:r w:rsidRPr="00CD59CC">
        <w:rPr>
          <w:rFonts w:ascii="Arial" w:hAnsi="Arial" w:cs="Arial"/>
          <w:i w:val="0"/>
          <w:lang w:val="en-GB"/>
        </w:rPr>
        <w:t>below,</w:t>
      </w:r>
      <w:r w:rsidR="007B7640" w:rsidRPr="00CD59CC">
        <w:rPr>
          <w:rFonts w:ascii="Arial" w:hAnsi="Arial" w:cs="Arial"/>
          <w:i w:val="0"/>
          <w:lang w:val="en-GB"/>
        </w:rPr>
        <w:t xml:space="preserve"> </w:t>
      </w: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point</w:t>
      </w:r>
      <w:r w:rsidR="007B7640" w:rsidRPr="00CD59CC">
        <w:rPr>
          <w:rFonts w:ascii="Arial" w:hAnsi="Arial" w:cs="Arial"/>
          <w:i w:val="0"/>
          <w:lang w:val="en-GB"/>
        </w:rPr>
        <w:t xml:space="preserve"> </w:t>
      </w:r>
      <w:r w:rsidRPr="00CD59CC">
        <w:rPr>
          <w:rFonts w:ascii="Arial" w:hAnsi="Arial" w:cs="Arial"/>
          <w:i w:val="0"/>
          <w:lang w:val="en-GB"/>
        </w:rPr>
        <w:t>(i)]</w:t>
      </w:r>
      <w:r w:rsidR="007B7640" w:rsidRPr="00CD59CC">
        <w:rPr>
          <w:rFonts w:ascii="Arial" w:hAnsi="Arial" w:cs="Arial"/>
          <w:i w:val="0"/>
          <w:lang w:val="en-GB"/>
        </w:rPr>
        <w:t xml:space="preserve"> </w:t>
      </w:r>
      <w:r w:rsidRPr="00CD59CC">
        <w:rPr>
          <w:rFonts w:ascii="Arial" w:hAnsi="Arial" w:cs="Arial"/>
          <w:i w:val="0"/>
          <w:lang w:val="en-GB"/>
        </w:rPr>
        <w:t>should</w:t>
      </w:r>
      <w:r w:rsidR="007B7640" w:rsidRPr="00CD59CC">
        <w:rPr>
          <w:rFonts w:ascii="Arial" w:hAnsi="Arial" w:cs="Arial"/>
          <w:i w:val="0"/>
          <w:lang w:val="en-GB"/>
        </w:rPr>
        <w:t xml:space="preserve"> </w:t>
      </w:r>
      <w:r w:rsidRPr="00CD59CC">
        <w:rPr>
          <w:rFonts w:ascii="Arial" w:hAnsi="Arial" w:cs="Arial"/>
          <w:i w:val="0"/>
          <w:lang w:val="en-GB"/>
        </w:rPr>
        <w:t>reduce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need</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individualised</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accommodations,</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meet</w:t>
      </w:r>
      <w:r w:rsidR="007B7640" w:rsidRPr="00CD59CC">
        <w:rPr>
          <w:rFonts w:ascii="Arial" w:hAnsi="Arial" w:cs="Arial"/>
          <w:i w:val="0"/>
          <w:lang w:val="en-GB"/>
        </w:rPr>
        <w:t xml:space="preserve"> </w:t>
      </w:r>
      <w:r w:rsidRPr="00CD59CC">
        <w:rPr>
          <w:rFonts w:ascii="Arial" w:hAnsi="Arial" w:cs="Arial"/>
          <w:i w:val="0"/>
          <w:lang w:val="en-GB"/>
        </w:rPr>
        <w:t>some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access</w:t>
      </w:r>
      <w:r w:rsidR="007B7640" w:rsidRPr="00CD59CC">
        <w:rPr>
          <w:rFonts w:ascii="Arial" w:hAnsi="Arial" w:cs="Arial"/>
          <w:i w:val="0"/>
          <w:lang w:val="en-GB"/>
        </w:rPr>
        <w:t xml:space="preserve"> </w:t>
      </w:r>
      <w:r w:rsidRPr="00CD59CC">
        <w:rPr>
          <w:rFonts w:ascii="Arial" w:hAnsi="Arial" w:cs="Arial"/>
          <w:i w:val="0"/>
          <w:lang w:val="en-GB"/>
        </w:rPr>
        <w:t>needs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people</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by</w:t>
      </w:r>
      <w:r w:rsidR="007B7640" w:rsidRPr="00CD59CC">
        <w:rPr>
          <w:rFonts w:ascii="Arial" w:hAnsi="Arial" w:cs="Arial"/>
          <w:i w:val="0"/>
          <w:lang w:val="en-GB"/>
        </w:rPr>
        <w:t xml:space="preserve"> </w:t>
      </w:r>
      <w:r w:rsidRPr="00CD59CC">
        <w:rPr>
          <w:rFonts w:ascii="Arial" w:hAnsi="Arial" w:cs="Arial"/>
          <w:i w:val="0"/>
          <w:lang w:val="en-GB"/>
        </w:rPr>
        <w:t>anticipation</w:t>
      </w:r>
      <w:r w:rsidR="007B7640" w:rsidRPr="00CD59CC">
        <w:rPr>
          <w:rFonts w:ascii="Arial" w:hAnsi="Arial" w:cs="Arial"/>
          <w:lang w:val="en-GB"/>
        </w:rPr>
        <w:t xml:space="preserve"> </w:t>
      </w:r>
      <w:r w:rsidRPr="00CD59CC">
        <w:rPr>
          <w:rFonts w:ascii="Arial" w:hAnsi="Arial" w:cs="Arial"/>
          <w:i w:val="0"/>
          <w:lang w:val="en-GB"/>
        </w:rPr>
        <w:t>outside</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field</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employment.</w:t>
      </w:r>
      <w:r w:rsidR="007B7640" w:rsidRPr="00CD59CC">
        <w:rPr>
          <w:rFonts w:ascii="Arial" w:hAnsi="Arial" w:cs="Arial"/>
          <w:i w:val="0"/>
          <w:lang w:val="en-GB"/>
        </w:rPr>
        <w:t xml:space="preserve"> </w:t>
      </w:r>
    </w:p>
    <w:p w14:paraId="07282AB0" w14:textId="77777777" w:rsidR="00AF4C10" w:rsidRPr="00CD59CC" w:rsidRDefault="00AF4C10" w:rsidP="00CD59CC">
      <w:pPr>
        <w:pStyle w:val="BodyText"/>
        <w:rPr>
          <w:rFonts w:ascii="Arial" w:hAnsi="Arial" w:cs="Arial"/>
          <w:i w:val="0"/>
          <w:lang w:val="en-GB"/>
        </w:rPr>
      </w:pPr>
    </w:p>
    <w:p w14:paraId="2AFA471B" w14:textId="77777777" w:rsidR="00AF4C10" w:rsidRDefault="00AF4C10" w:rsidP="00CD59CC">
      <w:pPr>
        <w:pStyle w:val="BodyText"/>
        <w:rPr>
          <w:rFonts w:ascii="Arial" w:hAnsi="Arial" w:cs="Arial"/>
          <w:i w:val="0"/>
          <w:lang w:val="en-GB"/>
        </w:rPr>
      </w:pPr>
      <w:r w:rsidRPr="00CD59CC">
        <w:rPr>
          <w:rFonts w:ascii="Arial" w:hAnsi="Arial" w:cs="Arial"/>
          <w:i w:val="0"/>
          <w:lang w:val="en-GB"/>
        </w:rPr>
        <w:t>There</w:t>
      </w:r>
      <w:r w:rsidR="007B7640" w:rsidRPr="00CD59CC">
        <w:rPr>
          <w:rFonts w:ascii="Arial" w:hAnsi="Arial" w:cs="Arial"/>
          <w:i w:val="0"/>
          <w:lang w:val="en-GB"/>
        </w:rPr>
        <w:t xml:space="preserve"> </w:t>
      </w:r>
      <w:r w:rsidRPr="00CD59CC">
        <w:rPr>
          <w:rFonts w:ascii="Arial" w:hAnsi="Arial" w:cs="Arial"/>
          <w:i w:val="0"/>
          <w:lang w:val="en-GB"/>
        </w:rPr>
        <w:t>are</w:t>
      </w:r>
      <w:r w:rsidR="007B7640" w:rsidRPr="00CD59CC">
        <w:rPr>
          <w:rFonts w:ascii="Arial" w:hAnsi="Arial" w:cs="Arial"/>
          <w:i w:val="0"/>
          <w:lang w:val="en-GB"/>
        </w:rPr>
        <w:t xml:space="preserve"> </w:t>
      </w:r>
      <w:r w:rsidRPr="00CD59CC">
        <w:rPr>
          <w:rFonts w:ascii="Arial" w:hAnsi="Arial" w:cs="Arial"/>
          <w:i w:val="0"/>
          <w:lang w:val="en-GB"/>
        </w:rPr>
        <w:t>also</w:t>
      </w:r>
      <w:r w:rsidR="007B7640" w:rsidRPr="00CD59CC">
        <w:rPr>
          <w:rFonts w:ascii="Arial" w:hAnsi="Arial" w:cs="Arial"/>
          <w:i w:val="0"/>
          <w:lang w:val="en-GB"/>
        </w:rPr>
        <w:t xml:space="preserve"> </w:t>
      </w:r>
      <w:r w:rsidRPr="00CD59CC">
        <w:rPr>
          <w:rFonts w:ascii="Arial" w:hAnsi="Arial" w:cs="Arial"/>
          <w:i w:val="0"/>
          <w:lang w:val="en-GB"/>
        </w:rPr>
        <w:t>examples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reasonable</w:t>
      </w:r>
      <w:r w:rsidR="007B7640" w:rsidRPr="00CD59CC">
        <w:rPr>
          <w:rFonts w:ascii="Arial" w:hAnsi="Arial" w:cs="Arial"/>
          <w:i w:val="0"/>
          <w:lang w:val="en-GB"/>
        </w:rPr>
        <w:t xml:space="preserve"> </w:t>
      </w:r>
      <w:r w:rsidRPr="00CD59CC">
        <w:rPr>
          <w:rFonts w:ascii="Arial" w:hAnsi="Arial" w:cs="Arial"/>
          <w:i w:val="0"/>
          <w:lang w:val="en-GB"/>
        </w:rPr>
        <w:t>accommodation</w:t>
      </w:r>
      <w:r w:rsidR="007B7640" w:rsidRPr="00CD59CC">
        <w:rPr>
          <w:rFonts w:ascii="Arial" w:hAnsi="Arial" w:cs="Arial"/>
          <w:i w:val="0"/>
          <w:lang w:val="en-GB"/>
        </w:rPr>
        <w:t xml:space="preserve"> </w:t>
      </w:r>
      <w:r w:rsidRPr="00CD59CC">
        <w:rPr>
          <w:rFonts w:ascii="Arial" w:hAnsi="Arial" w:cs="Arial"/>
          <w:i w:val="0"/>
          <w:lang w:val="en-GB"/>
        </w:rPr>
        <w:t>duties</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area</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education.</w:t>
      </w:r>
      <w:r w:rsidR="007B7640" w:rsidRPr="00CD59CC">
        <w:rPr>
          <w:rFonts w:ascii="Arial" w:hAnsi="Arial" w:cs="Arial"/>
          <w:i w:val="0"/>
          <w:lang w:val="en-GB"/>
        </w:rPr>
        <w:t xml:space="preserve"> </w:t>
      </w: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Article</w:t>
      </w:r>
      <w:r w:rsidR="007B7640" w:rsidRPr="00CD59CC">
        <w:rPr>
          <w:rFonts w:ascii="Arial" w:hAnsi="Arial" w:cs="Arial"/>
          <w:i w:val="0"/>
          <w:lang w:val="en-GB"/>
        </w:rPr>
        <w:t xml:space="preserve"> </w:t>
      </w:r>
      <w:r w:rsidRPr="00CD59CC">
        <w:rPr>
          <w:rFonts w:ascii="Arial" w:hAnsi="Arial" w:cs="Arial"/>
          <w:i w:val="0"/>
          <w:lang w:val="en-GB"/>
        </w:rPr>
        <w:t>24</w:t>
      </w:r>
      <w:r w:rsidR="007B7640" w:rsidRPr="00CD59CC">
        <w:rPr>
          <w:rFonts w:ascii="Arial" w:hAnsi="Arial" w:cs="Arial"/>
          <w:i w:val="0"/>
          <w:lang w:val="en-GB"/>
        </w:rPr>
        <w:t xml:space="preserve"> </w:t>
      </w:r>
      <w:r w:rsidRPr="00CD59CC">
        <w:rPr>
          <w:rFonts w:ascii="Arial" w:hAnsi="Arial" w:cs="Arial"/>
          <w:i w:val="0"/>
          <w:lang w:val="en-GB"/>
        </w:rPr>
        <w:t>Paragraph</w:t>
      </w:r>
      <w:r w:rsidR="007B7640" w:rsidRPr="00CD59CC">
        <w:rPr>
          <w:rFonts w:ascii="Arial" w:hAnsi="Arial" w:cs="Arial"/>
          <w:i w:val="0"/>
          <w:lang w:val="en-GB"/>
        </w:rPr>
        <w:t xml:space="preserve"> </w:t>
      </w:r>
      <w:r w:rsidRPr="00CD59CC">
        <w:rPr>
          <w:rFonts w:ascii="Arial" w:hAnsi="Arial" w:cs="Arial"/>
          <w:i w:val="0"/>
          <w:lang w:val="en-GB"/>
        </w:rPr>
        <w:t>(3)</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Government</w:t>
      </w:r>
      <w:r w:rsidR="007B7640" w:rsidRPr="00CD59CC">
        <w:rPr>
          <w:rFonts w:ascii="Arial" w:hAnsi="Arial" w:cs="Arial"/>
          <w:i w:val="0"/>
          <w:lang w:val="en-GB"/>
        </w:rPr>
        <w:t xml:space="preserve"> </w:t>
      </w:r>
      <w:r w:rsidRPr="00CD59CC">
        <w:rPr>
          <w:rFonts w:ascii="Arial" w:hAnsi="Arial" w:cs="Arial"/>
          <w:i w:val="0"/>
          <w:lang w:val="en-GB"/>
        </w:rPr>
        <w:t>Decree</w:t>
      </w:r>
      <w:r w:rsidR="007B7640" w:rsidRPr="00CD59CC">
        <w:rPr>
          <w:rFonts w:ascii="Arial" w:hAnsi="Arial" w:cs="Arial"/>
          <w:i w:val="0"/>
          <w:lang w:val="en-GB"/>
        </w:rPr>
        <w:t xml:space="preserve"> </w:t>
      </w:r>
      <w:r w:rsidRPr="00CD59CC">
        <w:rPr>
          <w:rFonts w:ascii="Arial" w:hAnsi="Arial" w:cs="Arial"/>
          <w:i w:val="0"/>
          <w:lang w:val="en-GB"/>
        </w:rPr>
        <w:t>423/2012</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Admission</w:t>
      </w:r>
      <w:r w:rsidR="007B7640" w:rsidRPr="00CD59CC">
        <w:rPr>
          <w:rFonts w:ascii="Arial" w:hAnsi="Arial" w:cs="Arial"/>
          <w:i w:val="0"/>
          <w:lang w:val="en-GB"/>
        </w:rPr>
        <w:t xml:space="preserve"> </w:t>
      </w:r>
      <w:r w:rsidRPr="00CD59CC">
        <w:rPr>
          <w:rFonts w:ascii="Arial" w:hAnsi="Arial" w:cs="Arial"/>
          <w:i w:val="0"/>
          <w:lang w:val="en-GB"/>
        </w:rPr>
        <w:t>Procedure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Universities,</w:t>
      </w:r>
      <w:r w:rsidR="007B7640" w:rsidRPr="00CD59CC">
        <w:rPr>
          <w:rFonts w:ascii="Arial" w:hAnsi="Arial" w:cs="Arial"/>
          <w:i w:val="0"/>
          <w:lang w:val="en-GB"/>
        </w:rPr>
        <w:t xml:space="preserve"> </w:t>
      </w:r>
      <w:r w:rsidRPr="00CD59CC">
        <w:rPr>
          <w:rFonts w:ascii="Arial" w:hAnsi="Arial" w:cs="Arial"/>
          <w:i w:val="0"/>
          <w:lang w:val="en-GB"/>
        </w:rPr>
        <w:t>institutions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higher</w:t>
      </w:r>
      <w:r w:rsidR="007B7640" w:rsidRPr="00CD59CC">
        <w:rPr>
          <w:rFonts w:ascii="Arial" w:hAnsi="Arial" w:cs="Arial"/>
          <w:i w:val="0"/>
          <w:lang w:val="en-GB"/>
        </w:rPr>
        <w:t xml:space="preserve"> </w:t>
      </w:r>
      <w:r w:rsidRPr="00CD59CC">
        <w:rPr>
          <w:rFonts w:ascii="Arial" w:hAnsi="Arial" w:cs="Arial"/>
          <w:i w:val="0"/>
          <w:lang w:val="en-GB"/>
        </w:rPr>
        <w:t>education</w:t>
      </w:r>
      <w:r w:rsidR="007B7640" w:rsidRPr="00CD59CC">
        <w:rPr>
          <w:rFonts w:ascii="Arial" w:hAnsi="Arial" w:cs="Arial"/>
          <w:i w:val="0"/>
          <w:lang w:val="en-GB"/>
        </w:rPr>
        <w:t xml:space="preserve"> </w:t>
      </w:r>
      <w:r w:rsidRPr="00CD59CC">
        <w:rPr>
          <w:rFonts w:ascii="Arial" w:hAnsi="Arial" w:cs="Arial"/>
          <w:i w:val="0"/>
          <w:lang w:val="en-GB"/>
        </w:rPr>
        <w:t>are</w:t>
      </w:r>
      <w:r w:rsidR="007B7640" w:rsidRPr="00CD59CC">
        <w:rPr>
          <w:rFonts w:ascii="Arial" w:hAnsi="Arial" w:cs="Arial"/>
          <w:i w:val="0"/>
          <w:lang w:val="en-GB"/>
        </w:rPr>
        <w:t xml:space="preserve"> </w:t>
      </w:r>
      <w:r w:rsidRPr="00CD59CC">
        <w:rPr>
          <w:rFonts w:ascii="Arial" w:hAnsi="Arial" w:cs="Arial"/>
          <w:i w:val="0"/>
          <w:lang w:val="en-GB"/>
        </w:rPr>
        <w:t>obliged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provide</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applicants</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conditions</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participation</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admission</w:t>
      </w:r>
      <w:r w:rsidR="007B7640" w:rsidRPr="00CD59CC">
        <w:rPr>
          <w:rFonts w:ascii="Arial" w:hAnsi="Arial" w:cs="Arial"/>
          <w:i w:val="0"/>
          <w:lang w:val="en-GB"/>
        </w:rPr>
        <w:t xml:space="preserve"> </w:t>
      </w:r>
      <w:r w:rsidRPr="00CD59CC">
        <w:rPr>
          <w:rFonts w:ascii="Arial" w:hAnsi="Arial" w:cs="Arial"/>
          <w:i w:val="0"/>
          <w:lang w:val="en-GB"/>
        </w:rPr>
        <w:t>procedure.</w:t>
      </w:r>
      <w:r w:rsidR="007B7640" w:rsidRPr="00CD59CC">
        <w:rPr>
          <w:rFonts w:ascii="Arial" w:hAnsi="Arial" w:cs="Arial"/>
          <w:i w:val="0"/>
          <w:lang w:val="en-GB"/>
        </w:rPr>
        <w:t xml:space="preserve"> </w:t>
      </w:r>
      <w:r w:rsidRPr="00CD59CC">
        <w:rPr>
          <w:rFonts w:ascii="Arial" w:hAnsi="Arial" w:cs="Arial"/>
          <w:i w:val="0"/>
          <w:lang w:val="en-GB"/>
        </w:rPr>
        <w:t>Paragraph</w:t>
      </w:r>
      <w:r w:rsidR="007B7640" w:rsidRPr="00CD59CC">
        <w:rPr>
          <w:rFonts w:ascii="Arial" w:hAnsi="Arial" w:cs="Arial"/>
          <w:i w:val="0"/>
          <w:lang w:val="en-GB"/>
        </w:rPr>
        <w:t xml:space="preserve"> </w:t>
      </w:r>
      <w:r w:rsidRPr="00CD59CC">
        <w:rPr>
          <w:rFonts w:ascii="Arial" w:hAnsi="Arial" w:cs="Arial"/>
          <w:i w:val="0"/>
          <w:lang w:val="en-GB"/>
        </w:rPr>
        <w:t>(5)</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same</w:t>
      </w:r>
      <w:r w:rsidR="007B7640" w:rsidRPr="00CD59CC">
        <w:rPr>
          <w:rFonts w:ascii="Arial" w:hAnsi="Arial" w:cs="Arial"/>
          <w:i w:val="0"/>
          <w:lang w:val="en-GB"/>
        </w:rPr>
        <w:t xml:space="preserve"> </w:t>
      </w:r>
      <w:r w:rsidRPr="00CD59CC">
        <w:rPr>
          <w:rFonts w:ascii="Arial" w:hAnsi="Arial" w:cs="Arial"/>
          <w:i w:val="0"/>
          <w:lang w:val="en-GB"/>
        </w:rPr>
        <w:t>Article</w:t>
      </w:r>
      <w:r w:rsidR="007B7640" w:rsidRPr="00CD59CC">
        <w:rPr>
          <w:rFonts w:ascii="Arial" w:hAnsi="Arial" w:cs="Arial"/>
          <w:i w:val="0"/>
          <w:lang w:val="en-GB"/>
        </w:rPr>
        <w:t xml:space="preserve"> </w:t>
      </w:r>
      <w:r w:rsidRPr="00CD59CC">
        <w:rPr>
          <w:rFonts w:ascii="Arial" w:hAnsi="Arial" w:cs="Arial"/>
          <w:i w:val="0"/>
          <w:lang w:val="en-GB"/>
        </w:rPr>
        <w:t>prescribes</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institution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higher</w:t>
      </w:r>
      <w:r w:rsidR="007B7640" w:rsidRPr="00CD59CC">
        <w:rPr>
          <w:rFonts w:ascii="Arial" w:hAnsi="Arial" w:cs="Arial"/>
          <w:i w:val="0"/>
          <w:lang w:val="en-GB"/>
        </w:rPr>
        <w:t xml:space="preserve"> </w:t>
      </w:r>
      <w:r w:rsidRPr="00CD59CC">
        <w:rPr>
          <w:rFonts w:ascii="Arial" w:hAnsi="Arial" w:cs="Arial"/>
          <w:i w:val="0"/>
          <w:lang w:val="en-GB"/>
        </w:rPr>
        <w:t>education</w:t>
      </w:r>
      <w:r w:rsidR="007B7640" w:rsidRPr="00CD59CC">
        <w:rPr>
          <w:rFonts w:ascii="Arial" w:hAnsi="Arial" w:cs="Arial"/>
          <w:i w:val="0"/>
          <w:lang w:val="en-GB"/>
        </w:rPr>
        <w:t xml:space="preserve"> </w:t>
      </w:r>
      <w:r w:rsidRPr="00CD59CC">
        <w:rPr>
          <w:rFonts w:ascii="Arial" w:hAnsi="Arial" w:cs="Arial"/>
          <w:i w:val="0"/>
          <w:lang w:val="en-GB"/>
        </w:rPr>
        <w:t>determines</w:t>
      </w:r>
      <w:r w:rsidR="007B7640" w:rsidRPr="00CD59CC">
        <w:rPr>
          <w:rFonts w:ascii="Arial" w:hAnsi="Arial" w:cs="Arial"/>
          <w:i w:val="0"/>
          <w:lang w:val="en-GB"/>
        </w:rPr>
        <w:t xml:space="preserve"> </w:t>
      </w:r>
      <w:r w:rsidRPr="00CD59CC">
        <w:rPr>
          <w:rFonts w:ascii="Arial" w:hAnsi="Arial" w:cs="Arial"/>
          <w:i w:val="0"/>
          <w:lang w:val="en-GB"/>
        </w:rPr>
        <w:t>health</w:t>
      </w:r>
      <w:r w:rsidR="007B7640" w:rsidRPr="00CD59CC">
        <w:rPr>
          <w:rFonts w:ascii="Arial" w:hAnsi="Arial" w:cs="Arial"/>
          <w:i w:val="0"/>
          <w:lang w:val="en-GB"/>
        </w:rPr>
        <w:t xml:space="preserve"> </w:t>
      </w:r>
      <w:r w:rsidRPr="00CD59CC">
        <w:rPr>
          <w:rFonts w:ascii="Arial" w:hAnsi="Arial" w:cs="Arial"/>
          <w:i w:val="0"/>
          <w:lang w:val="en-GB"/>
        </w:rPr>
        <w:t>related</w:t>
      </w:r>
      <w:r w:rsidR="007B7640" w:rsidRPr="00CD59CC">
        <w:rPr>
          <w:rFonts w:ascii="Arial" w:hAnsi="Arial" w:cs="Arial"/>
          <w:i w:val="0"/>
          <w:lang w:val="en-GB"/>
        </w:rPr>
        <w:t xml:space="preserve"> </w:t>
      </w:r>
      <w:r w:rsidRPr="00CD59CC">
        <w:rPr>
          <w:rFonts w:ascii="Arial" w:hAnsi="Arial" w:cs="Arial"/>
          <w:i w:val="0"/>
          <w:lang w:val="en-GB"/>
        </w:rPr>
        <w:t>conditions</w:t>
      </w:r>
      <w:r w:rsidR="007B7640" w:rsidRPr="00CD59CC">
        <w:rPr>
          <w:rFonts w:ascii="Arial" w:hAnsi="Arial" w:cs="Arial"/>
          <w:i w:val="0"/>
          <w:lang w:val="en-GB"/>
        </w:rPr>
        <w:t xml:space="preserve"> </w:t>
      </w:r>
      <w:r w:rsidRPr="00CD59CC">
        <w:rPr>
          <w:rFonts w:ascii="Arial" w:hAnsi="Arial" w:cs="Arial"/>
          <w:i w:val="0"/>
          <w:lang w:val="en-GB"/>
        </w:rPr>
        <w:t>or</w:t>
      </w:r>
      <w:r w:rsidR="007B7640" w:rsidRPr="00CD59CC">
        <w:rPr>
          <w:rFonts w:ascii="Arial" w:hAnsi="Arial" w:cs="Arial"/>
          <w:i w:val="0"/>
          <w:lang w:val="en-GB"/>
        </w:rPr>
        <w:t xml:space="preserve"> </w:t>
      </w:r>
      <w:r w:rsidRPr="00CD59CC">
        <w:rPr>
          <w:rFonts w:ascii="Arial" w:hAnsi="Arial" w:cs="Arial"/>
          <w:i w:val="0"/>
          <w:lang w:val="en-GB"/>
        </w:rPr>
        <w:t>conditions</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professional</w:t>
      </w:r>
      <w:r w:rsidR="007B7640" w:rsidRPr="00CD59CC">
        <w:rPr>
          <w:rFonts w:ascii="Arial" w:hAnsi="Arial" w:cs="Arial"/>
          <w:i w:val="0"/>
          <w:lang w:val="en-GB"/>
        </w:rPr>
        <w:t xml:space="preserve"> </w:t>
      </w:r>
      <w:r w:rsidRPr="00CD59CC">
        <w:rPr>
          <w:rFonts w:ascii="Arial" w:hAnsi="Arial" w:cs="Arial"/>
          <w:i w:val="0"/>
          <w:lang w:val="en-GB"/>
        </w:rPr>
        <w:t>suitability</w:t>
      </w:r>
      <w:r w:rsidR="007B7640" w:rsidRPr="00CD59CC">
        <w:rPr>
          <w:rFonts w:ascii="Arial" w:hAnsi="Arial" w:cs="Arial"/>
          <w:i w:val="0"/>
          <w:lang w:val="en-GB"/>
        </w:rPr>
        <w:t xml:space="preserve"> </w:t>
      </w: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admission</w:t>
      </w:r>
      <w:r w:rsidR="007B7640" w:rsidRPr="00CD59CC">
        <w:rPr>
          <w:rFonts w:ascii="Arial" w:hAnsi="Arial" w:cs="Arial"/>
          <w:i w:val="0"/>
          <w:lang w:val="en-GB"/>
        </w:rPr>
        <w:t xml:space="preserve"> </w:t>
      </w:r>
      <w:r w:rsidRPr="00CD59CC">
        <w:rPr>
          <w:rFonts w:ascii="Arial" w:hAnsi="Arial" w:cs="Arial"/>
          <w:i w:val="0"/>
          <w:lang w:val="en-GB"/>
        </w:rPr>
        <w:t>criteria,</w:t>
      </w:r>
      <w:r w:rsidR="007B7640" w:rsidRPr="00CD59CC">
        <w:rPr>
          <w:rFonts w:ascii="Arial" w:hAnsi="Arial" w:cs="Arial"/>
          <w:i w:val="0"/>
          <w:lang w:val="en-GB"/>
        </w:rPr>
        <w:t xml:space="preserve"> </w:t>
      </w:r>
      <w:r w:rsidRPr="00CD59CC">
        <w:rPr>
          <w:rFonts w:ascii="Arial" w:hAnsi="Arial" w:cs="Arial"/>
          <w:i w:val="0"/>
          <w:lang w:val="en-GB"/>
        </w:rPr>
        <w:t>applicants</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can</w:t>
      </w:r>
      <w:r w:rsidR="007B7640" w:rsidRPr="00CD59CC">
        <w:rPr>
          <w:rFonts w:ascii="Arial" w:hAnsi="Arial" w:cs="Arial"/>
          <w:i w:val="0"/>
          <w:lang w:val="en-GB"/>
        </w:rPr>
        <w:t xml:space="preserve"> </w:t>
      </w:r>
      <w:r w:rsidRPr="00CD59CC">
        <w:rPr>
          <w:rFonts w:ascii="Arial" w:hAnsi="Arial" w:cs="Arial"/>
          <w:i w:val="0"/>
          <w:lang w:val="en-GB"/>
        </w:rPr>
        <w:t>request</w:t>
      </w:r>
      <w:r w:rsidR="007B7640" w:rsidRPr="00CD59CC">
        <w:rPr>
          <w:rFonts w:ascii="Arial" w:hAnsi="Arial" w:cs="Arial"/>
          <w:i w:val="0"/>
          <w:lang w:val="en-GB"/>
        </w:rPr>
        <w:t xml:space="preserve"> </w:t>
      </w:r>
      <w:r w:rsidRPr="00CD59CC">
        <w:rPr>
          <w:rFonts w:ascii="Arial" w:hAnsi="Arial" w:cs="Arial"/>
          <w:i w:val="0"/>
          <w:lang w:val="en-GB"/>
        </w:rPr>
        <w:t>exemptions</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accordance</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statutes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particular</w:t>
      </w:r>
      <w:r w:rsidR="007B7640" w:rsidRPr="00CD59CC">
        <w:rPr>
          <w:rFonts w:ascii="Arial" w:hAnsi="Arial" w:cs="Arial"/>
          <w:i w:val="0"/>
          <w:lang w:val="en-GB"/>
        </w:rPr>
        <w:t xml:space="preserve"> </w:t>
      </w:r>
      <w:r w:rsidRPr="00CD59CC">
        <w:rPr>
          <w:rFonts w:ascii="Arial" w:hAnsi="Arial" w:cs="Arial"/>
          <w:i w:val="0"/>
          <w:lang w:val="en-GB"/>
        </w:rPr>
        <w:t>educational</w:t>
      </w:r>
      <w:r w:rsidR="007B7640" w:rsidRPr="00CD59CC">
        <w:rPr>
          <w:rFonts w:ascii="Arial" w:hAnsi="Arial" w:cs="Arial"/>
          <w:i w:val="0"/>
          <w:lang w:val="en-GB"/>
        </w:rPr>
        <w:t xml:space="preserve"> </w:t>
      </w:r>
      <w:r w:rsidRPr="00CD59CC">
        <w:rPr>
          <w:rFonts w:ascii="Arial" w:hAnsi="Arial" w:cs="Arial"/>
          <w:i w:val="0"/>
          <w:lang w:val="en-GB"/>
        </w:rPr>
        <w:t>institution.</w:t>
      </w:r>
      <w:r w:rsidR="007B7640" w:rsidRPr="00CD59CC">
        <w:rPr>
          <w:rFonts w:ascii="Arial" w:hAnsi="Arial" w:cs="Arial"/>
          <w:i w:val="0"/>
          <w:lang w:val="en-GB"/>
        </w:rPr>
        <w:t xml:space="preserve"> </w:t>
      </w:r>
      <w:r w:rsidRPr="00CD59CC">
        <w:rPr>
          <w:rFonts w:ascii="Arial" w:hAnsi="Arial" w:cs="Arial"/>
          <w:i w:val="0"/>
          <w:lang w:val="en-GB"/>
        </w:rPr>
        <w:t>Paragraph</w:t>
      </w:r>
      <w:r w:rsidR="007B7640" w:rsidRPr="00CD59CC">
        <w:rPr>
          <w:rFonts w:ascii="Arial" w:hAnsi="Arial" w:cs="Arial"/>
          <w:i w:val="0"/>
          <w:lang w:val="en-GB"/>
        </w:rPr>
        <w:t xml:space="preserve"> </w:t>
      </w:r>
      <w:r w:rsidRPr="00CD59CC">
        <w:rPr>
          <w:rFonts w:ascii="Arial" w:hAnsi="Arial" w:cs="Arial"/>
          <w:i w:val="0"/>
          <w:lang w:val="en-GB"/>
        </w:rPr>
        <w:t>(6)</w:t>
      </w:r>
      <w:r w:rsidR="007B7640" w:rsidRPr="00CD59CC">
        <w:rPr>
          <w:rFonts w:ascii="Arial" w:hAnsi="Arial" w:cs="Arial"/>
          <w:i w:val="0"/>
          <w:lang w:val="en-GB"/>
        </w:rPr>
        <w:t xml:space="preserve"> </w:t>
      </w:r>
      <w:r w:rsidRPr="00CD59CC">
        <w:rPr>
          <w:rFonts w:ascii="Arial" w:hAnsi="Arial" w:cs="Arial"/>
          <w:i w:val="0"/>
          <w:lang w:val="en-GB"/>
        </w:rPr>
        <w:t>sets</w:t>
      </w:r>
      <w:r w:rsidR="007B7640" w:rsidRPr="00CD59CC">
        <w:rPr>
          <w:rFonts w:ascii="Arial" w:hAnsi="Arial" w:cs="Arial"/>
          <w:i w:val="0"/>
          <w:lang w:val="en-GB"/>
        </w:rPr>
        <w:t xml:space="preserve"> </w:t>
      </w:r>
      <w:r w:rsidRPr="00CD59CC">
        <w:rPr>
          <w:rFonts w:ascii="Arial" w:hAnsi="Arial" w:cs="Arial"/>
          <w:i w:val="0"/>
          <w:lang w:val="en-GB"/>
        </w:rPr>
        <w:t>forth</w:t>
      </w:r>
      <w:r w:rsidR="007B7640" w:rsidRPr="00CD59CC">
        <w:rPr>
          <w:rFonts w:ascii="Arial" w:hAnsi="Arial" w:cs="Arial"/>
          <w:i w:val="0"/>
          <w:lang w:val="en-GB"/>
        </w:rPr>
        <w:t xml:space="preserve"> </w:t>
      </w:r>
      <w:r w:rsidRPr="00CD59CC">
        <w:rPr>
          <w:rFonts w:ascii="Arial" w:hAnsi="Arial" w:cs="Arial"/>
          <w:i w:val="0"/>
          <w:lang w:val="en-GB"/>
        </w:rPr>
        <w:t>that</w:t>
      </w:r>
      <w:r w:rsidR="007B7640" w:rsidRPr="00CD59CC">
        <w:rPr>
          <w:rFonts w:ascii="Arial" w:hAnsi="Arial" w:cs="Arial"/>
          <w:i w:val="0"/>
          <w:lang w:val="en-GB"/>
        </w:rPr>
        <w:t xml:space="preserve"> </w:t>
      </w:r>
      <w:r w:rsidRPr="00CD59CC">
        <w:rPr>
          <w:rFonts w:ascii="Arial" w:hAnsi="Arial" w:cs="Arial"/>
          <w:i w:val="0"/>
          <w:lang w:val="en-GB"/>
        </w:rPr>
        <w:t>such</w:t>
      </w:r>
      <w:r w:rsidR="007B7640" w:rsidRPr="00CD59CC">
        <w:rPr>
          <w:rFonts w:ascii="Arial" w:hAnsi="Arial" w:cs="Arial"/>
          <w:i w:val="0"/>
          <w:lang w:val="en-GB"/>
        </w:rPr>
        <w:t xml:space="preserve"> </w:t>
      </w:r>
      <w:r w:rsidRPr="00CD59CC">
        <w:rPr>
          <w:rFonts w:ascii="Arial" w:hAnsi="Arial" w:cs="Arial"/>
          <w:i w:val="0"/>
          <w:lang w:val="en-GB"/>
        </w:rPr>
        <w:t>exemptions</w:t>
      </w:r>
      <w:r w:rsidR="007B7640" w:rsidRPr="00CD59CC">
        <w:rPr>
          <w:rFonts w:ascii="Arial" w:hAnsi="Arial" w:cs="Arial"/>
          <w:i w:val="0"/>
          <w:lang w:val="en-GB"/>
        </w:rPr>
        <w:t xml:space="preserve"> </w:t>
      </w:r>
      <w:r w:rsidRPr="00CD59CC">
        <w:rPr>
          <w:rFonts w:ascii="Arial" w:hAnsi="Arial" w:cs="Arial"/>
          <w:i w:val="0"/>
          <w:lang w:val="en-GB"/>
        </w:rPr>
        <w:t>shall</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tailored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features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particular</w:t>
      </w:r>
      <w:r w:rsidR="007B7640" w:rsidRPr="00CD59CC">
        <w:rPr>
          <w:rFonts w:ascii="Arial" w:hAnsi="Arial" w:cs="Arial"/>
          <w:i w:val="0"/>
          <w:lang w:val="en-GB"/>
        </w:rPr>
        <w:t xml:space="preserve"> </w:t>
      </w:r>
      <w:r w:rsidRPr="00CD59CC">
        <w:rPr>
          <w:rFonts w:ascii="Arial" w:hAnsi="Arial" w:cs="Arial"/>
          <w:i w:val="0"/>
          <w:lang w:val="en-GB"/>
        </w:rPr>
        <w:t>disability,</w:t>
      </w:r>
      <w:r w:rsidR="007B7640" w:rsidRPr="00CD59CC">
        <w:rPr>
          <w:rFonts w:ascii="Arial" w:hAnsi="Arial" w:cs="Arial"/>
          <w:i w:val="0"/>
          <w:lang w:val="en-GB"/>
        </w:rPr>
        <w:t xml:space="preserve"> </w:t>
      </w:r>
      <w:r w:rsidRPr="00CD59CC">
        <w:rPr>
          <w:rFonts w:ascii="Arial" w:hAnsi="Arial" w:cs="Arial"/>
          <w:i w:val="0"/>
          <w:lang w:val="en-GB"/>
        </w:rPr>
        <w:t>but</w:t>
      </w:r>
      <w:r w:rsidR="007B7640" w:rsidRPr="00CD59CC">
        <w:rPr>
          <w:rFonts w:ascii="Arial" w:hAnsi="Arial" w:cs="Arial"/>
          <w:i w:val="0"/>
          <w:lang w:val="en-GB"/>
        </w:rPr>
        <w:t xml:space="preserve"> </w:t>
      </w:r>
      <w:r w:rsidRPr="00CD59CC">
        <w:rPr>
          <w:rFonts w:ascii="Arial" w:hAnsi="Arial" w:cs="Arial"/>
          <w:i w:val="0"/>
          <w:lang w:val="en-GB"/>
        </w:rPr>
        <w:t>may</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mean</w:t>
      </w:r>
      <w:r w:rsidR="007B7640" w:rsidRPr="00CD59CC">
        <w:rPr>
          <w:rFonts w:ascii="Arial" w:hAnsi="Arial" w:cs="Arial"/>
          <w:i w:val="0"/>
          <w:lang w:val="en-GB"/>
        </w:rPr>
        <w:t xml:space="preserve"> </w:t>
      </w:r>
      <w:r w:rsidRPr="00CD59CC">
        <w:rPr>
          <w:rFonts w:ascii="Arial" w:hAnsi="Arial" w:cs="Arial"/>
          <w:i w:val="0"/>
          <w:lang w:val="en-GB"/>
        </w:rPr>
        <w:t>a</w:t>
      </w:r>
      <w:r w:rsidR="007B7640" w:rsidRPr="00CD59CC">
        <w:rPr>
          <w:rFonts w:ascii="Arial" w:hAnsi="Arial" w:cs="Arial"/>
          <w:i w:val="0"/>
          <w:lang w:val="en-GB"/>
        </w:rPr>
        <w:t xml:space="preserve"> </w:t>
      </w:r>
      <w:r w:rsidRPr="00CD59CC">
        <w:rPr>
          <w:rFonts w:ascii="Arial" w:hAnsi="Arial" w:cs="Arial"/>
          <w:i w:val="0"/>
          <w:lang w:val="en-GB"/>
        </w:rPr>
        <w:t>full</w:t>
      </w:r>
      <w:r w:rsidR="007B7640" w:rsidRPr="00CD59CC">
        <w:rPr>
          <w:rFonts w:ascii="Arial" w:hAnsi="Arial" w:cs="Arial"/>
          <w:i w:val="0"/>
          <w:lang w:val="en-GB"/>
        </w:rPr>
        <w:t xml:space="preserve"> </w:t>
      </w:r>
      <w:r w:rsidRPr="00CD59CC">
        <w:rPr>
          <w:rFonts w:ascii="Arial" w:hAnsi="Arial" w:cs="Arial"/>
          <w:i w:val="0"/>
          <w:lang w:val="en-GB"/>
        </w:rPr>
        <w:t>exemption</w:t>
      </w:r>
      <w:r w:rsidR="007B7640" w:rsidRPr="00CD59CC">
        <w:rPr>
          <w:rFonts w:ascii="Arial" w:hAnsi="Arial" w:cs="Arial"/>
          <w:i w:val="0"/>
          <w:lang w:val="en-GB"/>
        </w:rPr>
        <w:t xml:space="preserve"> </w:t>
      </w:r>
      <w:r w:rsidRPr="00CD59CC">
        <w:rPr>
          <w:rFonts w:ascii="Arial" w:hAnsi="Arial" w:cs="Arial"/>
          <w:i w:val="0"/>
          <w:lang w:val="en-GB"/>
        </w:rPr>
        <w:t>from</w:t>
      </w:r>
      <w:r w:rsidR="007B7640" w:rsidRPr="00CD59CC">
        <w:rPr>
          <w:rFonts w:ascii="Arial" w:hAnsi="Arial" w:cs="Arial"/>
          <w:i w:val="0"/>
          <w:lang w:val="en-GB"/>
        </w:rPr>
        <w:t xml:space="preserve"> </w:t>
      </w:r>
      <w:r w:rsidRPr="00CD59CC">
        <w:rPr>
          <w:rFonts w:ascii="Arial" w:hAnsi="Arial" w:cs="Arial"/>
          <w:i w:val="0"/>
          <w:lang w:val="en-GB"/>
        </w:rPr>
        <w:t>fulfilling</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fundamental</w:t>
      </w:r>
      <w:r w:rsidR="007B7640" w:rsidRPr="00CD59CC">
        <w:rPr>
          <w:rFonts w:ascii="Arial" w:hAnsi="Arial" w:cs="Arial"/>
          <w:i w:val="0"/>
          <w:lang w:val="en-GB"/>
        </w:rPr>
        <w:t xml:space="preserve"> </w:t>
      </w:r>
      <w:r w:rsidRPr="00CD59CC">
        <w:rPr>
          <w:rFonts w:ascii="Arial" w:hAnsi="Arial" w:cs="Arial"/>
          <w:i w:val="0"/>
          <w:lang w:val="en-GB"/>
        </w:rPr>
        <w:t>educational</w:t>
      </w:r>
      <w:r w:rsidR="007B7640" w:rsidRPr="00CD59CC">
        <w:rPr>
          <w:rFonts w:ascii="Arial" w:hAnsi="Arial" w:cs="Arial"/>
          <w:i w:val="0"/>
          <w:lang w:val="en-GB"/>
        </w:rPr>
        <w:t xml:space="preserve"> </w:t>
      </w:r>
      <w:r w:rsidRPr="00CD59CC">
        <w:rPr>
          <w:rFonts w:ascii="Arial" w:hAnsi="Arial" w:cs="Arial"/>
          <w:i w:val="0"/>
          <w:lang w:val="en-GB"/>
        </w:rPr>
        <w:t>requirements</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institution.</w:t>
      </w:r>
    </w:p>
    <w:p w14:paraId="6C9DCF37" w14:textId="77777777" w:rsidR="00C7608B" w:rsidRPr="00CD59CC" w:rsidRDefault="00C7608B" w:rsidP="00CD59CC">
      <w:pPr>
        <w:pStyle w:val="BodyText"/>
        <w:rPr>
          <w:rFonts w:ascii="Arial" w:hAnsi="Arial" w:cs="Arial"/>
          <w:i w:val="0"/>
          <w:lang w:val="en-GB"/>
        </w:rPr>
      </w:pPr>
    </w:p>
    <w:p w14:paraId="6AFDDDFB" w14:textId="77777777" w:rsidR="002B5BCD" w:rsidRPr="00CD59CC" w:rsidRDefault="002B5BCD" w:rsidP="00CD59CC">
      <w:pPr>
        <w:numPr>
          <w:ilvl w:val="0"/>
          <w:numId w:val="9"/>
        </w:numPr>
        <w:ind w:left="567" w:hanging="567"/>
        <w:rPr>
          <w:rFonts w:ascii="Arial" w:hAnsi="Arial" w:cs="Arial"/>
          <w:i/>
        </w:rPr>
      </w:pPr>
      <w:r w:rsidRPr="00CD59CC">
        <w:rPr>
          <w:rFonts w:ascii="Arial" w:hAnsi="Arial" w:cs="Arial"/>
          <w:i/>
        </w:rPr>
        <w:t>Does</w:t>
      </w:r>
      <w:r w:rsidR="007B7640" w:rsidRPr="00CD59CC">
        <w:rPr>
          <w:rFonts w:ascii="Arial" w:hAnsi="Arial" w:cs="Arial"/>
          <w:i/>
        </w:rPr>
        <w:t xml:space="preserve"> </w:t>
      </w:r>
      <w:r w:rsidRPr="00CD59CC">
        <w:rPr>
          <w:rFonts w:ascii="Arial" w:hAnsi="Arial" w:cs="Arial"/>
          <w:i/>
        </w:rPr>
        <w:t>failure</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meet</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duty</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reasonable</w:t>
      </w:r>
      <w:r w:rsidR="007B7640" w:rsidRPr="00CD59CC">
        <w:rPr>
          <w:rFonts w:ascii="Arial" w:hAnsi="Arial" w:cs="Arial"/>
          <w:i/>
        </w:rPr>
        <w:t xml:space="preserve"> </w:t>
      </w:r>
      <w:r w:rsidRPr="00CD59CC">
        <w:rPr>
          <w:rFonts w:ascii="Arial" w:hAnsi="Arial" w:cs="Arial"/>
          <w:i/>
        </w:rPr>
        <w:t>accommodation</w:t>
      </w:r>
      <w:r w:rsidR="007B7640" w:rsidRPr="00CD59CC">
        <w:rPr>
          <w:rFonts w:ascii="Arial" w:hAnsi="Arial" w:cs="Arial"/>
          <w:i/>
        </w:rPr>
        <w:t xml:space="preserve"> </w:t>
      </w:r>
      <w:r w:rsidRPr="00CD59CC">
        <w:rPr>
          <w:rFonts w:ascii="Arial" w:hAnsi="Arial" w:cs="Arial"/>
          <w:i/>
        </w:rPr>
        <w:t>count</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there</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justification</w:t>
      </w:r>
      <w:r w:rsidR="007B7640" w:rsidRPr="00CD59CC">
        <w:rPr>
          <w:rFonts w:ascii="Arial" w:hAnsi="Arial" w:cs="Arial"/>
          <w:i/>
        </w:rPr>
        <w:t xml:space="preserve"> </w:t>
      </w:r>
      <w:r w:rsidRPr="00CD59CC">
        <w:rPr>
          <w:rFonts w:ascii="Arial" w:hAnsi="Arial" w:cs="Arial"/>
          <w:i/>
        </w:rPr>
        <w:t>defence?</w:t>
      </w:r>
      <w:r w:rsidR="007B7640" w:rsidRPr="00CD59CC">
        <w:rPr>
          <w:rFonts w:ascii="Arial" w:hAnsi="Arial" w:cs="Arial"/>
          <w:i/>
        </w:rPr>
        <w:t xml:space="preserve"> </w:t>
      </w:r>
      <w:r w:rsidRPr="00CD59CC">
        <w:rPr>
          <w:rFonts w:ascii="Arial" w:hAnsi="Arial" w:cs="Arial"/>
          <w:i/>
        </w:rPr>
        <w:t>How</w:t>
      </w:r>
      <w:r w:rsidR="007B7640" w:rsidRPr="00CD59CC">
        <w:rPr>
          <w:rFonts w:ascii="Arial" w:hAnsi="Arial" w:cs="Arial"/>
          <w:i/>
        </w:rPr>
        <w:t xml:space="preserve"> </w:t>
      </w:r>
      <w:r w:rsidRPr="00CD59CC">
        <w:rPr>
          <w:rFonts w:ascii="Arial" w:hAnsi="Arial" w:cs="Arial"/>
          <w:i/>
        </w:rPr>
        <w:t>does</w:t>
      </w:r>
      <w:r w:rsidR="007B7640" w:rsidRPr="00CD59CC">
        <w:rPr>
          <w:rFonts w:ascii="Arial" w:hAnsi="Arial" w:cs="Arial"/>
          <w:i/>
        </w:rPr>
        <w:t xml:space="preserve"> </w:t>
      </w:r>
      <w:r w:rsidRPr="00CD59CC">
        <w:rPr>
          <w:rFonts w:ascii="Arial" w:hAnsi="Arial" w:cs="Arial"/>
          <w:i/>
        </w:rPr>
        <w:t>this</w:t>
      </w:r>
      <w:r w:rsidR="007B7640" w:rsidRPr="00CD59CC">
        <w:rPr>
          <w:rFonts w:ascii="Arial" w:hAnsi="Arial" w:cs="Arial"/>
          <w:i/>
        </w:rPr>
        <w:t xml:space="preserve"> </w:t>
      </w:r>
      <w:r w:rsidRPr="00CD59CC">
        <w:rPr>
          <w:rFonts w:ascii="Arial" w:hAnsi="Arial" w:cs="Arial"/>
          <w:i/>
        </w:rPr>
        <w:t>relate</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prohibition</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direct</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indirect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00E80EE8" w:rsidRPr="00CD59CC">
        <w:rPr>
          <w:rFonts w:ascii="Arial" w:hAnsi="Arial" w:cs="Arial"/>
          <w:i/>
        </w:rPr>
        <w:t>What</w:t>
      </w:r>
      <w:r w:rsidR="007B7640" w:rsidRPr="00CD59CC">
        <w:rPr>
          <w:rFonts w:ascii="Arial" w:hAnsi="Arial" w:cs="Arial"/>
          <w:i/>
        </w:rPr>
        <w:t xml:space="preserve"> </w:t>
      </w:r>
      <w:r w:rsidR="00E80EE8" w:rsidRPr="00CD59CC">
        <w:rPr>
          <w:rFonts w:ascii="Arial" w:hAnsi="Arial" w:cs="Arial"/>
          <w:i/>
        </w:rPr>
        <w:t>is</w:t>
      </w:r>
      <w:r w:rsidR="007B7640" w:rsidRPr="00CD59CC">
        <w:rPr>
          <w:rFonts w:ascii="Arial" w:hAnsi="Arial" w:cs="Arial"/>
          <w:i/>
        </w:rPr>
        <w:t xml:space="preserve"> </w:t>
      </w:r>
      <w:r w:rsidR="00E80EE8" w:rsidRPr="00CD59CC">
        <w:rPr>
          <w:rFonts w:ascii="Arial" w:hAnsi="Arial" w:cs="Arial"/>
          <w:i/>
        </w:rPr>
        <w:t>the</w:t>
      </w:r>
      <w:r w:rsidR="007B7640" w:rsidRPr="00CD59CC">
        <w:rPr>
          <w:rFonts w:ascii="Arial" w:hAnsi="Arial" w:cs="Arial"/>
          <w:i/>
        </w:rPr>
        <w:t xml:space="preserve"> </w:t>
      </w:r>
      <w:r w:rsidR="00E80EE8" w:rsidRPr="00CD59CC">
        <w:rPr>
          <w:rFonts w:ascii="Arial" w:hAnsi="Arial" w:cs="Arial"/>
          <w:i/>
        </w:rPr>
        <w:t>potential</w:t>
      </w:r>
      <w:r w:rsidR="007B7640" w:rsidRPr="00CD59CC">
        <w:rPr>
          <w:rFonts w:ascii="Arial" w:hAnsi="Arial" w:cs="Arial"/>
          <w:i/>
        </w:rPr>
        <w:t xml:space="preserve"> </w:t>
      </w:r>
      <w:r w:rsidR="00E80EE8" w:rsidRPr="00CD59CC">
        <w:rPr>
          <w:rFonts w:ascii="Arial" w:hAnsi="Arial" w:cs="Arial"/>
          <w:i/>
        </w:rPr>
        <w:t>sanction?</w:t>
      </w:r>
      <w:r w:rsidR="007B7640" w:rsidRPr="00CD59CC">
        <w:rPr>
          <w:rFonts w:ascii="Arial" w:hAnsi="Arial" w:cs="Arial"/>
          <w:i/>
        </w:rPr>
        <w:t xml:space="preserve"> </w:t>
      </w:r>
      <w:r w:rsidR="00E80EE8" w:rsidRPr="00CD59CC">
        <w:rPr>
          <w:rFonts w:ascii="Arial" w:hAnsi="Arial" w:cs="Arial"/>
          <w:i/>
        </w:rPr>
        <w:t>(i</w:t>
      </w:r>
      <w:r w:rsidR="006E65B5" w:rsidRPr="00CD59CC">
        <w:rPr>
          <w:rFonts w:ascii="Arial" w:hAnsi="Arial" w:cs="Arial"/>
          <w:i/>
        </w:rPr>
        <w:t>.</w:t>
      </w:r>
      <w:r w:rsidR="00E80EE8" w:rsidRPr="00CD59CC">
        <w:rPr>
          <w:rFonts w:ascii="Arial" w:hAnsi="Arial" w:cs="Arial"/>
          <w:i/>
        </w:rPr>
        <w:t>e</w:t>
      </w:r>
      <w:r w:rsidR="006E65B5" w:rsidRPr="00CD59CC">
        <w:rPr>
          <w:rFonts w:ascii="Arial" w:hAnsi="Arial" w:cs="Arial"/>
          <w:i/>
        </w:rPr>
        <w:t>.</w:t>
      </w:r>
      <w:r w:rsidR="00E80EE8" w:rsidRPr="00CD59CC">
        <w:rPr>
          <w:rFonts w:ascii="Arial" w:hAnsi="Arial" w:cs="Arial"/>
          <w:i/>
        </w:rPr>
        <w:t>:</w:t>
      </w:r>
      <w:r w:rsidR="007B7640" w:rsidRPr="00CD59CC">
        <w:rPr>
          <w:rFonts w:ascii="Arial" w:hAnsi="Arial" w:cs="Arial"/>
          <w:i/>
        </w:rPr>
        <w:t xml:space="preserve"> </w:t>
      </w:r>
      <w:r w:rsidR="00E80EE8" w:rsidRPr="00CD59CC">
        <w:rPr>
          <w:rFonts w:ascii="Arial" w:hAnsi="Arial" w:cs="Arial"/>
          <w:i/>
        </w:rPr>
        <w:t>fine)</w:t>
      </w:r>
    </w:p>
    <w:p w14:paraId="2839DFF2" w14:textId="77777777" w:rsidR="002B5BCD" w:rsidRPr="00CD59CC" w:rsidRDefault="002B5BCD" w:rsidP="00CD59CC">
      <w:pPr>
        <w:ind w:left="567" w:hanging="567"/>
        <w:rPr>
          <w:rFonts w:ascii="Arial" w:hAnsi="Arial" w:cs="Arial"/>
        </w:rPr>
      </w:pPr>
    </w:p>
    <w:p w14:paraId="4F5100D5" w14:textId="77777777" w:rsidR="00AF4C10" w:rsidRPr="00CD59CC" w:rsidRDefault="00AF4C10" w:rsidP="00CD59CC">
      <w:pPr>
        <w:rPr>
          <w:rFonts w:ascii="Arial" w:hAnsi="Arial" w:cs="Arial"/>
        </w:rPr>
      </w:pPr>
      <w:r w:rsidRPr="00CD59CC">
        <w:rPr>
          <w:rFonts w:ascii="Arial" w:hAnsi="Arial" w:cs="Arial"/>
        </w:rPr>
        <w:lastRenderedPageBreak/>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law</w:t>
      </w:r>
      <w:r w:rsidRPr="00CD59CC">
        <w:rPr>
          <w:rStyle w:val="Lbjegyzet-karakterek"/>
          <w:rFonts w:ascii="Arial" w:hAnsi="Arial" w:cs="Arial"/>
        </w:rPr>
        <w:footnoteReference w:id="51"/>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accessibility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p>
    <w:p w14:paraId="7199D4E0" w14:textId="77777777" w:rsidR="00AF4C10" w:rsidRPr="00CD59CC" w:rsidRDefault="00AF4C10" w:rsidP="00CD59CC">
      <w:pPr>
        <w:rPr>
          <w:rFonts w:ascii="Arial" w:hAnsi="Arial" w:cs="Arial"/>
        </w:rPr>
      </w:pPr>
    </w:p>
    <w:p w14:paraId="35888BFD" w14:textId="77777777" w:rsidR="00AF4C10" w:rsidRPr="00CD59CC" w:rsidRDefault="00AF4C10"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relies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Guideline</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309/1/2011.</w:t>
      </w:r>
      <w:r w:rsidR="007B7640" w:rsidRPr="00CD59CC">
        <w:rPr>
          <w:rFonts w:ascii="Arial" w:hAnsi="Arial" w:cs="Arial"/>
        </w:rPr>
        <w:t xml:space="preserve"> </w:t>
      </w:r>
      <w:r w:rsidRPr="00CD59CC">
        <w:rPr>
          <w:rFonts w:ascii="Arial" w:hAnsi="Arial" w:cs="Arial"/>
        </w:rPr>
        <w:t>(II.11.)</w:t>
      </w:r>
      <w:r w:rsidR="007B7640" w:rsidRPr="00CD59CC">
        <w:rPr>
          <w:rFonts w:ascii="Arial" w:hAnsi="Arial" w:cs="Arial"/>
        </w:rPr>
        <w:t xml:space="preserve"> </w:t>
      </w:r>
      <w:r w:rsidRPr="00CD59CC">
        <w:rPr>
          <w:rFonts w:ascii="Arial" w:hAnsi="Arial" w:cs="Arial"/>
        </w:rPr>
        <w:t>TT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Advisory</w:t>
      </w:r>
      <w:r w:rsidR="007B7640" w:rsidRPr="00CD59CC">
        <w:rPr>
          <w:rFonts w:ascii="Arial" w:hAnsi="Arial" w:cs="Arial"/>
        </w:rPr>
        <w:t xml:space="preserve"> </w:t>
      </w:r>
      <w:r w:rsidRPr="00CD59CC">
        <w:rPr>
          <w:rFonts w:ascii="Arial" w:hAnsi="Arial" w:cs="Arial"/>
        </w:rPr>
        <w:t>Board,</w:t>
      </w:r>
      <w:r w:rsidRPr="00CD59CC">
        <w:rPr>
          <w:rStyle w:val="Lbjegyzet-karakterek"/>
          <w:rFonts w:ascii="Arial" w:hAnsi="Arial" w:cs="Arial"/>
        </w:rPr>
        <w:footnoteReference w:id="52"/>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failure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guarantee</w:t>
      </w:r>
      <w:r w:rsidR="007B7640" w:rsidRPr="00CD59CC">
        <w:rPr>
          <w:rFonts w:ascii="Arial" w:hAnsi="Arial" w:cs="Arial"/>
        </w:rPr>
        <w:t xml:space="preserve"> </w:t>
      </w:r>
      <w:r w:rsidRPr="00CD59CC">
        <w:rPr>
          <w:rFonts w:ascii="Arial" w:hAnsi="Arial" w:cs="Arial"/>
        </w:rPr>
        <w:t>accessibility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amounts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breach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covers</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omission.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failure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guarantee</w:t>
      </w:r>
      <w:r w:rsidR="007B7640" w:rsidRPr="00CD59CC">
        <w:rPr>
          <w:rFonts w:ascii="Arial" w:hAnsi="Arial" w:cs="Arial"/>
        </w:rPr>
        <w:t xml:space="preserve"> </w:t>
      </w:r>
      <w:r w:rsidRPr="00CD59CC">
        <w:rPr>
          <w:rFonts w:ascii="Arial" w:hAnsi="Arial" w:cs="Arial"/>
        </w:rPr>
        <w:t>accessibility</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8</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failure,</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treated</w:t>
      </w:r>
      <w:r w:rsidR="007B7640" w:rsidRPr="00CD59CC">
        <w:rPr>
          <w:rFonts w:ascii="Arial" w:hAnsi="Arial" w:cs="Arial"/>
        </w:rPr>
        <w:t xml:space="preserve"> </w:t>
      </w:r>
      <w:r w:rsidRPr="00CD59CC">
        <w:rPr>
          <w:rFonts w:ascii="Arial" w:hAnsi="Arial" w:cs="Arial"/>
        </w:rPr>
        <w:t>less</w:t>
      </w:r>
      <w:r w:rsidR="007B7640" w:rsidRPr="00CD59CC">
        <w:rPr>
          <w:rFonts w:ascii="Arial" w:hAnsi="Arial" w:cs="Arial"/>
        </w:rPr>
        <w:t xml:space="preserve"> </w:t>
      </w:r>
      <w:r w:rsidRPr="00CD59CC">
        <w:rPr>
          <w:rFonts w:ascii="Arial" w:hAnsi="Arial" w:cs="Arial"/>
        </w:rPr>
        <w:t>favourably</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without</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movement,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p>
    <w:p w14:paraId="526F3111" w14:textId="77777777" w:rsidR="00AF4C10" w:rsidRPr="00CD59CC" w:rsidRDefault="00AF4C10" w:rsidP="00CD59CC">
      <w:pPr>
        <w:rPr>
          <w:rFonts w:ascii="Arial" w:hAnsi="Arial" w:cs="Arial"/>
        </w:rPr>
      </w:pPr>
    </w:p>
    <w:p w14:paraId="0EBA2FF2" w14:textId="77777777" w:rsidR="00AF4C10" w:rsidRPr="00CD59CC" w:rsidRDefault="00AF4C10" w:rsidP="00CD59CC">
      <w:pPr>
        <w:rPr>
          <w:rFonts w:ascii="Arial" w:hAnsi="Arial" w:cs="Arial"/>
        </w:rPr>
      </w:pPr>
      <w:r w:rsidRPr="00CD59CC">
        <w:rPr>
          <w:rFonts w:ascii="Arial" w:hAnsi="Arial" w:cs="Arial"/>
        </w:rPr>
        <w:t>Using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logic,</w:t>
      </w:r>
      <w:r w:rsidR="007B7640" w:rsidRPr="00CD59CC">
        <w:rPr>
          <w:rFonts w:ascii="Arial" w:hAnsi="Arial" w:cs="Arial"/>
        </w:rPr>
        <w:t xml:space="preserve"> </w:t>
      </w:r>
      <w:r w:rsidRPr="00CD59CC">
        <w:rPr>
          <w:rFonts w:ascii="Arial" w:hAnsi="Arial" w:cs="Arial"/>
        </w:rPr>
        <w:t>we</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say</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statutory</w:t>
      </w:r>
      <w:r w:rsidR="007B7640" w:rsidRPr="00CD59CC">
        <w:rPr>
          <w:rFonts w:ascii="Arial" w:hAnsi="Arial" w:cs="Arial"/>
        </w:rPr>
        <w:t xml:space="preserve"> </w:t>
      </w:r>
      <w:r w:rsidRPr="00CD59CC">
        <w:rPr>
          <w:rFonts w:ascii="Arial" w:hAnsi="Arial" w:cs="Arial"/>
        </w:rPr>
        <w:t>obligation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provide</w:t>
      </w:r>
      <w:r w:rsidR="007B7640" w:rsidRPr="00CD59CC">
        <w:rPr>
          <w:rFonts w:ascii="Arial" w:hAnsi="Arial" w:cs="Arial"/>
        </w:rPr>
        <w:t xml:space="preserve"> </w:t>
      </w:r>
      <w:r w:rsidRPr="00CD59CC">
        <w:rPr>
          <w:rFonts w:ascii="Arial" w:hAnsi="Arial" w:cs="Arial"/>
        </w:rPr>
        <w:t>reasonable</w:t>
      </w:r>
      <w:r w:rsidR="007B7640" w:rsidRPr="00CD59CC">
        <w:rPr>
          <w:rFonts w:ascii="Arial" w:hAnsi="Arial" w:cs="Arial"/>
        </w:rPr>
        <w:t xml:space="preserve"> </w:t>
      </w:r>
      <w:r w:rsidRPr="00CD59CC">
        <w:rPr>
          <w:rFonts w:ascii="Arial" w:hAnsi="Arial" w:cs="Arial"/>
        </w:rPr>
        <w:t>accommodation</w:t>
      </w:r>
      <w:r w:rsidR="007B7640" w:rsidRPr="00CD59CC">
        <w:rPr>
          <w:rFonts w:ascii="Arial" w:hAnsi="Arial" w:cs="Arial"/>
        </w:rPr>
        <w:t xml:space="preserve"> </w:t>
      </w:r>
      <w:r w:rsidRPr="00CD59CC">
        <w:rPr>
          <w:rFonts w:ascii="Arial" w:hAnsi="Arial" w:cs="Arial"/>
        </w:rPr>
        <w:t>(recruitment,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adaptation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working</w:t>
      </w:r>
      <w:r w:rsidR="007B7640" w:rsidRPr="00CD59CC">
        <w:rPr>
          <w:rFonts w:ascii="Arial" w:hAnsi="Arial" w:cs="Arial"/>
        </w:rPr>
        <w:t xml:space="preserve"> </w:t>
      </w:r>
      <w:r w:rsidRPr="00CD59CC">
        <w:rPr>
          <w:rFonts w:ascii="Arial" w:hAnsi="Arial" w:cs="Arial"/>
        </w:rPr>
        <w:t>environment</w:t>
      </w:r>
      <w:r w:rsidR="007B7640" w:rsidRPr="00CD59CC">
        <w:rPr>
          <w:rFonts w:ascii="Arial" w:hAnsi="Arial" w:cs="Arial"/>
        </w:rPr>
        <w:t xml:space="preserve"> </w:t>
      </w:r>
      <w:r w:rsidRPr="00CD59CC">
        <w:rPr>
          <w:rFonts w:ascii="Arial" w:hAnsi="Arial" w:cs="Arial"/>
        </w:rPr>
        <w:t>after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employed),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failure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meet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reasonable</w:t>
      </w:r>
      <w:r w:rsidR="007B7640" w:rsidRPr="00CD59CC">
        <w:rPr>
          <w:rFonts w:ascii="Arial" w:hAnsi="Arial" w:cs="Arial"/>
        </w:rPr>
        <w:t xml:space="preserve"> </w:t>
      </w:r>
      <w:r w:rsidRPr="00CD59CC">
        <w:rPr>
          <w:rFonts w:ascii="Arial" w:hAnsi="Arial" w:cs="Arial"/>
        </w:rPr>
        <w:t>accommodation</w:t>
      </w:r>
      <w:r w:rsidR="007B7640" w:rsidRPr="00CD59CC">
        <w:rPr>
          <w:rFonts w:ascii="Arial" w:hAnsi="Arial" w:cs="Arial"/>
        </w:rPr>
        <w:t xml:space="preserve"> </w:t>
      </w:r>
      <w:r w:rsidRPr="00CD59CC">
        <w:rPr>
          <w:rFonts w:ascii="Arial" w:hAnsi="Arial" w:cs="Arial"/>
        </w:rPr>
        <w:t>duty</w:t>
      </w:r>
      <w:r w:rsidR="007B7640" w:rsidRPr="00CD59CC">
        <w:rPr>
          <w:rFonts w:ascii="Arial" w:hAnsi="Arial" w:cs="Arial"/>
        </w:rPr>
        <w:t xml:space="preserve"> </w:t>
      </w:r>
      <w:r w:rsidRPr="00CD59CC">
        <w:rPr>
          <w:rFonts w:ascii="Arial" w:hAnsi="Arial" w:cs="Arial"/>
        </w:rPr>
        <w:t>counts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obligation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place</w:t>
      </w:r>
      <w:r w:rsidR="007B7640" w:rsidRPr="00CD59CC">
        <w:rPr>
          <w:rFonts w:ascii="Arial" w:hAnsi="Arial" w:cs="Arial"/>
        </w:rPr>
        <w:t xml:space="preserve"> </w:t>
      </w:r>
      <w:r w:rsidRPr="00CD59CC">
        <w:rPr>
          <w:rFonts w:ascii="Arial" w:hAnsi="Arial" w:cs="Arial"/>
        </w:rPr>
        <w:t>(e.g.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adapt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working</w:t>
      </w:r>
      <w:r w:rsidR="007B7640" w:rsidRPr="00CD59CC">
        <w:rPr>
          <w:rFonts w:ascii="Arial" w:hAnsi="Arial" w:cs="Arial"/>
        </w:rPr>
        <w:t xml:space="preserve"> </w:t>
      </w:r>
      <w:r w:rsidRPr="00CD59CC">
        <w:rPr>
          <w:rFonts w:ascii="Arial" w:hAnsi="Arial" w:cs="Arial"/>
        </w:rPr>
        <w:t>environment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order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make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capable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offering</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failure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meet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duty</w:t>
      </w:r>
      <w:r w:rsidR="007B7640" w:rsidRPr="00CD59CC">
        <w:rPr>
          <w:rFonts w:ascii="Arial" w:hAnsi="Arial" w:cs="Arial"/>
        </w:rPr>
        <w:t xml:space="preserve"> </w:t>
      </w:r>
      <w:r w:rsidRPr="00CD59CC">
        <w:rPr>
          <w:rFonts w:ascii="Arial" w:hAnsi="Arial" w:cs="Arial"/>
        </w:rPr>
        <w:t>cannot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sanctioned</w:t>
      </w:r>
      <w:r w:rsidR="007B7640" w:rsidRPr="00CD59CC">
        <w:rPr>
          <w:rFonts w:ascii="Arial" w:hAnsi="Arial" w:cs="Arial"/>
        </w:rPr>
        <w:t xml:space="preserve"> </w:t>
      </w:r>
      <w:r w:rsidRPr="00CD59CC">
        <w:rPr>
          <w:rFonts w:ascii="Arial" w:hAnsi="Arial" w:cs="Arial"/>
        </w:rPr>
        <w:t>through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legislation.</w:t>
      </w:r>
      <w:r w:rsidR="007B7640" w:rsidRPr="00CD59CC">
        <w:rPr>
          <w:rFonts w:ascii="Arial" w:hAnsi="Arial" w:cs="Arial"/>
        </w:rPr>
        <w:t xml:space="preserve"> </w:t>
      </w:r>
    </w:p>
    <w:p w14:paraId="17CE176E" w14:textId="77777777" w:rsidR="00AF4C10" w:rsidRPr="00CD59CC" w:rsidRDefault="00AF4C10" w:rsidP="00BB4E9F">
      <w:pPr>
        <w:ind w:left="567" w:hanging="567"/>
        <w:rPr>
          <w:rFonts w:ascii="Arial" w:hAnsi="Arial" w:cs="Arial"/>
        </w:rPr>
      </w:pPr>
    </w:p>
    <w:p w14:paraId="5865997F" w14:textId="77777777" w:rsidR="00AF4C10" w:rsidRPr="00CD59CC" w:rsidRDefault="00AF4C10"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failure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provide</w:t>
      </w:r>
      <w:r w:rsidR="007B7640" w:rsidRPr="00CD59CC">
        <w:rPr>
          <w:rFonts w:ascii="Arial" w:hAnsi="Arial" w:cs="Arial"/>
        </w:rPr>
        <w:t xml:space="preserve"> </w:t>
      </w:r>
      <w:r w:rsidRPr="00CD59CC">
        <w:rPr>
          <w:rFonts w:ascii="Arial" w:hAnsi="Arial" w:cs="Arial"/>
        </w:rPr>
        <w:t>reasonable</w:t>
      </w:r>
      <w:r w:rsidR="007B7640" w:rsidRPr="00CD59CC">
        <w:rPr>
          <w:rFonts w:ascii="Arial" w:hAnsi="Arial" w:cs="Arial"/>
        </w:rPr>
        <w:t xml:space="preserve"> </w:t>
      </w:r>
      <w:r w:rsidRPr="00CD59CC">
        <w:rPr>
          <w:rFonts w:ascii="Arial" w:hAnsi="Arial" w:cs="Arial"/>
        </w:rPr>
        <w:t>accommodation</w:t>
      </w:r>
      <w:r w:rsidR="007B7640" w:rsidRPr="00CD59CC">
        <w:rPr>
          <w:rFonts w:ascii="Arial" w:hAnsi="Arial" w:cs="Arial"/>
        </w:rPr>
        <w:t xml:space="preserve"> </w:t>
      </w:r>
      <w:r w:rsidRPr="00CD59CC">
        <w:rPr>
          <w:rFonts w:ascii="Arial" w:hAnsi="Arial" w:cs="Arial"/>
        </w:rPr>
        <w:t>amounts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sanctions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applied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instances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(e.g.</w:t>
      </w:r>
      <w:r w:rsidR="007B7640" w:rsidRPr="00CD59CC">
        <w:rPr>
          <w:rFonts w:ascii="Arial" w:hAnsi="Arial" w:cs="Arial"/>
        </w:rPr>
        <w:t xml:space="preserve"> </w:t>
      </w:r>
      <w:r w:rsidRPr="00CD59CC">
        <w:rPr>
          <w:rFonts w:ascii="Arial" w:hAnsi="Arial" w:cs="Arial"/>
        </w:rPr>
        <w:t>fine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awarded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etc.</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description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sanctions,</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6</w:t>
      </w:r>
      <w:r w:rsidR="00FD3C9E" w:rsidRPr="00CD59CC">
        <w:rPr>
          <w:rFonts w:ascii="Arial" w:hAnsi="Arial" w:cs="Arial"/>
        </w:rPr>
        <w:t>.5</w:t>
      </w:r>
      <w:r w:rsidRPr="00CD59CC">
        <w:rPr>
          <w:rFonts w:ascii="Arial" w:hAnsi="Arial" w:cs="Arial"/>
        </w:rPr>
        <w:t>).</w:t>
      </w:r>
    </w:p>
    <w:p w14:paraId="4CBE825D" w14:textId="77777777" w:rsidR="00AF4C10" w:rsidRPr="00CD59CC" w:rsidRDefault="00AF4C10" w:rsidP="00CD59CC">
      <w:pPr>
        <w:ind w:left="567" w:hanging="567"/>
        <w:rPr>
          <w:rFonts w:ascii="Arial" w:hAnsi="Arial" w:cs="Arial"/>
        </w:rPr>
      </w:pPr>
    </w:p>
    <w:p w14:paraId="439C12D6" w14:textId="77777777" w:rsidR="002B5BCD" w:rsidRPr="00CD59CC" w:rsidRDefault="002B5BCD" w:rsidP="00CD59CC">
      <w:pPr>
        <w:pStyle w:val="BodyText"/>
        <w:numPr>
          <w:ilvl w:val="0"/>
          <w:numId w:val="9"/>
        </w:numPr>
        <w:ind w:left="567" w:hanging="567"/>
        <w:rPr>
          <w:rFonts w:ascii="Arial" w:hAnsi="Arial" w:cs="Arial"/>
          <w:iCs w:val="0"/>
          <w:lang w:val="en-GB"/>
        </w:rPr>
      </w:pPr>
      <w:r w:rsidRPr="00CD59CC">
        <w:rPr>
          <w:rFonts w:ascii="Arial" w:hAnsi="Arial" w:cs="Arial"/>
          <w:iCs w:val="0"/>
          <w:lang w:val="en-GB"/>
        </w:rPr>
        <w:t>Has</w:t>
      </w:r>
      <w:r w:rsidR="007B7640" w:rsidRPr="00CD59CC">
        <w:rPr>
          <w:rFonts w:ascii="Arial" w:hAnsi="Arial" w:cs="Arial"/>
          <w:iCs w:val="0"/>
          <w:lang w:val="en-GB"/>
        </w:rPr>
        <w:t xml:space="preserve"> </w:t>
      </w:r>
      <w:r w:rsidRPr="00CD59CC">
        <w:rPr>
          <w:rFonts w:ascii="Arial" w:hAnsi="Arial" w:cs="Arial"/>
          <w:iCs w:val="0"/>
          <w:lang w:val="en-GB"/>
        </w:rPr>
        <w:t>national</w:t>
      </w:r>
      <w:r w:rsidR="007B7640" w:rsidRPr="00CD59CC">
        <w:rPr>
          <w:rFonts w:ascii="Arial" w:hAnsi="Arial" w:cs="Arial"/>
          <w:iCs w:val="0"/>
          <w:lang w:val="en-GB"/>
        </w:rPr>
        <w:t xml:space="preserve"> </w:t>
      </w:r>
      <w:r w:rsidRPr="00CD59CC">
        <w:rPr>
          <w:rFonts w:ascii="Arial" w:hAnsi="Arial" w:cs="Arial"/>
          <w:iCs w:val="0"/>
          <w:lang w:val="en-GB"/>
        </w:rPr>
        <w:t>law</w:t>
      </w:r>
      <w:r w:rsidR="007B7640" w:rsidRPr="00CD59CC">
        <w:rPr>
          <w:rFonts w:ascii="Arial" w:hAnsi="Arial" w:cs="Arial"/>
          <w:iCs w:val="0"/>
          <w:lang w:val="en-GB"/>
        </w:rPr>
        <w:t xml:space="preserve"> </w:t>
      </w:r>
      <w:r w:rsidRPr="00CD59CC">
        <w:rPr>
          <w:rFonts w:ascii="Arial" w:hAnsi="Arial" w:cs="Arial"/>
          <w:iCs w:val="0"/>
          <w:lang w:val="en-GB"/>
        </w:rPr>
        <w:t>(including</w:t>
      </w:r>
      <w:r w:rsidR="007B7640" w:rsidRPr="00CD59CC">
        <w:rPr>
          <w:rFonts w:ascii="Arial" w:hAnsi="Arial" w:cs="Arial"/>
          <w:iCs w:val="0"/>
          <w:lang w:val="en-GB"/>
        </w:rPr>
        <w:t xml:space="preserve"> </w:t>
      </w:r>
      <w:r w:rsidRPr="00CD59CC">
        <w:rPr>
          <w:rFonts w:ascii="Arial" w:hAnsi="Arial" w:cs="Arial"/>
          <w:iCs w:val="0"/>
          <w:lang w:val="en-GB"/>
        </w:rPr>
        <w:t>case</w:t>
      </w:r>
      <w:r w:rsidR="007B7640" w:rsidRPr="00CD59CC">
        <w:rPr>
          <w:rFonts w:ascii="Arial" w:hAnsi="Arial" w:cs="Arial"/>
          <w:iCs w:val="0"/>
          <w:lang w:val="en-GB"/>
        </w:rPr>
        <w:t xml:space="preserve"> </w:t>
      </w:r>
      <w:r w:rsidRPr="00CD59CC">
        <w:rPr>
          <w:rFonts w:ascii="Arial" w:hAnsi="Arial" w:cs="Arial"/>
          <w:iCs w:val="0"/>
          <w:lang w:val="en-GB"/>
        </w:rPr>
        <w:t>law)</w:t>
      </w:r>
      <w:r w:rsidR="007B7640" w:rsidRPr="00CD59CC">
        <w:rPr>
          <w:rFonts w:ascii="Arial" w:hAnsi="Arial" w:cs="Arial"/>
          <w:iCs w:val="0"/>
          <w:lang w:val="en-GB"/>
        </w:rPr>
        <w:t xml:space="preserve"> </w:t>
      </w:r>
      <w:r w:rsidRPr="00CD59CC">
        <w:rPr>
          <w:rFonts w:ascii="Arial" w:hAnsi="Arial" w:cs="Arial"/>
          <w:iCs w:val="0"/>
          <w:lang w:val="en-GB"/>
        </w:rPr>
        <w:t>implemented</w:t>
      </w:r>
      <w:r w:rsidR="007B7640" w:rsidRPr="00CD59CC">
        <w:rPr>
          <w:rFonts w:ascii="Arial" w:hAnsi="Arial" w:cs="Arial"/>
          <w:iCs w:val="0"/>
          <w:lang w:val="en-GB"/>
        </w:rPr>
        <w:t xml:space="preserve"> </w:t>
      </w:r>
      <w:r w:rsidRPr="00CD59CC">
        <w:rPr>
          <w:rFonts w:ascii="Arial" w:hAnsi="Arial" w:cs="Arial"/>
          <w:iCs w:val="0"/>
          <w:lang w:val="en-GB"/>
        </w:rPr>
        <w:t>the</w:t>
      </w:r>
      <w:r w:rsidR="007B7640" w:rsidRPr="00CD59CC">
        <w:rPr>
          <w:rFonts w:ascii="Arial" w:hAnsi="Arial" w:cs="Arial"/>
          <w:iCs w:val="0"/>
          <w:lang w:val="en-GB"/>
        </w:rPr>
        <w:t xml:space="preserve"> </w:t>
      </w:r>
      <w:r w:rsidRPr="00CD59CC">
        <w:rPr>
          <w:rFonts w:ascii="Arial" w:hAnsi="Arial" w:cs="Arial"/>
          <w:iCs w:val="0"/>
          <w:lang w:val="en-GB"/>
        </w:rPr>
        <w:t>duty</w:t>
      </w:r>
      <w:r w:rsidR="007B7640" w:rsidRPr="00CD59CC">
        <w:rPr>
          <w:rFonts w:ascii="Arial" w:hAnsi="Arial" w:cs="Arial"/>
          <w:iCs w:val="0"/>
          <w:lang w:val="en-GB"/>
        </w:rPr>
        <w:t xml:space="preserve"> </w:t>
      </w:r>
      <w:r w:rsidRPr="00CD59CC">
        <w:rPr>
          <w:rFonts w:ascii="Arial" w:hAnsi="Arial" w:cs="Arial"/>
          <w:iCs w:val="0"/>
          <w:lang w:val="en-GB"/>
        </w:rPr>
        <w:t>to</w:t>
      </w:r>
      <w:r w:rsidR="007B7640" w:rsidRPr="00CD59CC">
        <w:rPr>
          <w:rFonts w:ascii="Arial" w:hAnsi="Arial" w:cs="Arial"/>
          <w:iCs w:val="0"/>
          <w:lang w:val="en-GB"/>
        </w:rPr>
        <w:t xml:space="preserve"> </w:t>
      </w:r>
      <w:r w:rsidRPr="00CD59CC">
        <w:rPr>
          <w:rFonts w:ascii="Arial" w:hAnsi="Arial" w:cs="Arial"/>
          <w:iCs w:val="0"/>
          <w:lang w:val="en-GB"/>
        </w:rPr>
        <w:t>provide</w:t>
      </w:r>
      <w:r w:rsidR="007B7640" w:rsidRPr="00CD59CC">
        <w:rPr>
          <w:rFonts w:ascii="Arial" w:hAnsi="Arial" w:cs="Arial"/>
          <w:iCs w:val="0"/>
          <w:lang w:val="en-GB"/>
        </w:rPr>
        <w:t xml:space="preserve"> </w:t>
      </w:r>
      <w:r w:rsidRPr="00CD59CC">
        <w:rPr>
          <w:rFonts w:ascii="Arial" w:hAnsi="Arial" w:cs="Arial"/>
          <w:iCs w:val="0"/>
          <w:lang w:val="en-GB"/>
        </w:rPr>
        <w:t>reasonable</w:t>
      </w:r>
      <w:r w:rsidR="007B7640" w:rsidRPr="00CD59CC">
        <w:rPr>
          <w:rFonts w:ascii="Arial" w:hAnsi="Arial" w:cs="Arial"/>
          <w:iCs w:val="0"/>
          <w:lang w:val="en-GB"/>
        </w:rPr>
        <w:t xml:space="preserve"> </w:t>
      </w:r>
      <w:r w:rsidRPr="00CD59CC">
        <w:rPr>
          <w:rFonts w:ascii="Arial" w:hAnsi="Arial" w:cs="Arial"/>
          <w:iCs w:val="0"/>
          <w:lang w:val="en-GB"/>
        </w:rPr>
        <w:t>accommodation</w:t>
      </w:r>
      <w:r w:rsidR="007B7640" w:rsidRPr="00CD59CC">
        <w:rPr>
          <w:rFonts w:ascii="Arial" w:hAnsi="Arial" w:cs="Arial"/>
          <w:iCs w:val="0"/>
          <w:lang w:val="en-GB"/>
        </w:rPr>
        <w:t xml:space="preserve"> </w:t>
      </w:r>
      <w:r w:rsidRPr="00CD59CC">
        <w:rPr>
          <w:rFonts w:ascii="Arial" w:hAnsi="Arial" w:cs="Arial"/>
          <w:iCs w:val="0"/>
          <w:lang w:val="en-GB"/>
        </w:rPr>
        <w:t>in</w:t>
      </w:r>
      <w:r w:rsidR="007B7640" w:rsidRPr="00CD59CC">
        <w:rPr>
          <w:rFonts w:ascii="Arial" w:hAnsi="Arial" w:cs="Arial"/>
          <w:iCs w:val="0"/>
          <w:lang w:val="en-GB"/>
        </w:rPr>
        <w:t xml:space="preserve"> </w:t>
      </w:r>
      <w:r w:rsidRPr="00CD59CC">
        <w:rPr>
          <w:rFonts w:ascii="Arial" w:hAnsi="Arial" w:cs="Arial"/>
          <w:iCs w:val="0"/>
          <w:lang w:val="en-GB"/>
        </w:rPr>
        <w:t>respect</w:t>
      </w:r>
      <w:r w:rsidR="007B7640" w:rsidRPr="00CD59CC">
        <w:rPr>
          <w:rFonts w:ascii="Arial" w:hAnsi="Arial" w:cs="Arial"/>
          <w:iCs w:val="0"/>
          <w:lang w:val="en-GB"/>
        </w:rPr>
        <w:t xml:space="preserve"> </w:t>
      </w:r>
      <w:r w:rsidRPr="00CD59CC">
        <w:rPr>
          <w:rFonts w:ascii="Arial" w:hAnsi="Arial" w:cs="Arial"/>
          <w:iCs w:val="0"/>
          <w:lang w:val="en-GB"/>
        </w:rPr>
        <w:t>of</w:t>
      </w:r>
      <w:r w:rsidR="007B7640" w:rsidRPr="00CD59CC">
        <w:rPr>
          <w:rFonts w:ascii="Arial" w:hAnsi="Arial" w:cs="Arial"/>
          <w:iCs w:val="0"/>
          <w:lang w:val="en-GB"/>
        </w:rPr>
        <w:t xml:space="preserve"> </w:t>
      </w:r>
      <w:r w:rsidRPr="00CD59CC">
        <w:rPr>
          <w:rFonts w:ascii="Arial" w:hAnsi="Arial" w:cs="Arial"/>
          <w:iCs w:val="0"/>
          <w:lang w:val="en-GB"/>
        </w:rPr>
        <w:t>any</w:t>
      </w:r>
      <w:r w:rsidR="007B7640" w:rsidRPr="00CD59CC">
        <w:rPr>
          <w:rFonts w:ascii="Arial" w:hAnsi="Arial" w:cs="Arial"/>
          <w:iCs w:val="0"/>
          <w:lang w:val="en-GB"/>
        </w:rPr>
        <w:t xml:space="preserve"> </w:t>
      </w:r>
      <w:r w:rsidRPr="00CD59CC">
        <w:rPr>
          <w:rFonts w:ascii="Arial" w:hAnsi="Arial" w:cs="Arial"/>
          <w:iCs w:val="0"/>
          <w:lang w:val="en-GB"/>
        </w:rPr>
        <w:t>of</w:t>
      </w:r>
      <w:r w:rsidR="007B7640" w:rsidRPr="00CD59CC">
        <w:rPr>
          <w:rFonts w:ascii="Arial" w:hAnsi="Arial" w:cs="Arial"/>
          <w:iCs w:val="0"/>
          <w:lang w:val="en-GB"/>
        </w:rPr>
        <w:t xml:space="preserve"> </w:t>
      </w:r>
      <w:r w:rsidRPr="00CD59CC">
        <w:rPr>
          <w:rFonts w:ascii="Arial" w:hAnsi="Arial" w:cs="Arial"/>
          <w:iCs w:val="0"/>
          <w:lang w:val="en-GB"/>
        </w:rPr>
        <w:t>the</w:t>
      </w:r>
      <w:r w:rsidR="007B7640" w:rsidRPr="00CD59CC">
        <w:rPr>
          <w:rFonts w:ascii="Arial" w:hAnsi="Arial" w:cs="Arial"/>
          <w:iCs w:val="0"/>
          <w:lang w:val="en-GB"/>
        </w:rPr>
        <w:t xml:space="preserve"> </w:t>
      </w:r>
      <w:r w:rsidRPr="00CD59CC">
        <w:rPr>
          <w:rFonts w:ascii="Arial" w:hAnsi="Arial" w:cs="Arial"/>
          <w:iCs w:val="0"/>
          <w:lang w:val="en-GB"/>
        </w:rPr>
        <w:t>other</w:t>
      </w:r>
      <w:r w:rsidR="007B7640" w:rsidRPr="00CD59CC">
        <w:rPr>
          <w:rFonts w:ascii="Arial" w:hAnsi="Arial" w:cs="Arial"/>
          <w:iCs w:val="0"/>
          <w:lang w:val="en-GB"/>
        </w:rPr>
        <w:t xml:space="preserve"> </w:t>
      </w:r>
      <w:r w:rsidRPr="00CD59CC">
        <w:rPr>
          <w:rFonts w:ascii="Arial" w:hAnsi="Arial" w:cs="Arial"/>
          <w:iCs w:val="0"/>
          <w:lang w:val="en-GB"/>
        </w:rPr>
        <w:t>grounds</w:t>
      </w:r>
      <w:r w:rsidR="007B7640" w:rsidRPr="00CD59CC">
        <w:rPr>
          <w:rFonts w:ascii="Arial" w:hAnsi="Arial" w:cs="Arial"/>
          <w:iCs w:val="0"/>
          <w:lang w:val="en-GB"/>
        </w:rPr>
        <w:t xml:space="preserve"> </w:t>
      </w:r>
      <w:r w:rsidRPr="00CD59CC">
        <w:rPr>
          <w:rFonts w:ascii="Arial" w:hAnsi="Arial" w:cs="Arial"/>
          <w:iCs w:val="0"/>
          <w:lang w:val="en-GB"/>
        </w:rPr>
        <w:t>(e.g.</w:t>
      </w:r>
      <w:r w:rsidR="007B7640" w:rsidRPr="00CD59CC">
        <w:rPr>
          <w:rFonts w:ascii="Arial" w:hAnsi="Arial" w:cs="Arial"/>
          <w:iCs w:val="0"/>
          <w:lang w:val="en-GB"/>
        </w:rPr>
        <w:t xml:space="preserve"> </w:t>
      </w:r>
      <w:r w:rsidRPr="00CD59CC">
        <w:rPr>
          <w:rFonts w:ascii="Arial" w:hAnsi="Arial" w:cs="Arial"/>
          <w:iCs w:val="0"/>
          <w:lang w:val="en-GB"/>
        </w:rPr>
        <w:t>religion)</w:t>
      </w:r>
    </w:p>
    <w:p w14:paraId="558B688B" w14:textId="77777777" w:rsidR="002B5BCD" w:rsidRPr="00CD59CC" w:rsidRDefault="002B5BCD" w:rsidP="00CD59CC">
      <w:pPr>
        <w:pStyle w:val="ListParagraph"/>
        <w:rPr>
          <w:rFonts w:ascii="Arial" w:hAnsi="Arial" w:cs="Arial"/>
        </w:rPr>
      </w:pPr>
    </w:p>
    <w:p w14:paraId="60367D4D" w14:textId="77777777" w:rsidR="002B5BCD" w:rsidRPr="00CD59CC" w:rsidRDefault="002B5BCD" w:rsidP="00BB4E9F">
      <w:pPr>
        <w:pStyle w:val="ListParagraph"/>
        <w:numPr>
          <w:ilvl w:val="0"/>
          <w:numId w:val="33"/>
        </w:numPr>
        <w:tabs>
          <w:tab w:val="left" w:pos="1134"/>
        </w:tabs>
        <w:ind w:left="1134" w:hanging="567"/>
        <w:contextualSpacing/>
        <w:rPr>
          <w:rFonts w:ascii="Arial" w:hAnsi="Arial" w:cs="Arial"/>
          <w:i/>
        </w:rPr>
      </w:pPr>
      <w:r w:rsidRPr="00CD59CC">
        <w:rPr>
          <w:rFonts w:ascii="Arial" w:hAnsi="Arial" w:cs="Arial"/>
          <w:i/>
        </w:rPr>
        <w:t>race</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ethnic</w:t>
      </w:r>
      <w:r w:rsidR="007B7640" w:rsidRPr="00CD59CC">
        <w:rPr>
          <w:rFonts w:ascii="Arial" w:hAnsi="Arial" w:cs="Arial"/>
          <w:i/>
        </w:rPr>
        <w:t xml:space="preserve"> </w:t>
      </w:r>
      <w:r w:rsidRPr="00CD59CC">
        <w:rPr>
          <w:rFonts w:ascii="Arial" w:hAnsi="Arial" w:cs="Arial"/>
          <w:i/>
        </w:rPr>
        <w:t>origin</w:t>
      </w:r>
    </w:p>
    <w:p w14:paraId="2571E6E3" w14:textId="77777777" w:rsidR="0008392E" w:rsidRPr="00BB4E9F" w:rsidRDefault="0008392E" w:rsidP="00BB4E9F">
      <w:pPr>
        <w:pStyle w:val="ListParagraph"/>
        <w:tabs>
          <w:tab w:val="left" w:pos="1134"/>
        </w:tabs>
        <w:ind w:left="0"/>
        <w:contextualSpacing/>
        <w:rPr>
          <w:rFonts w:ascii="Arial" w:hAnsi="Arial"/>
          <w:i/>
        </w:rPr>
      </w:pPr>
    </w:p>
    <w:p w14:paraId="1DB36C3B" w14:textId="77777777" w:rsidR="0008392E" w:rsidRPr="00CD59CC" w:rsidRDefault="0008392E" w:rsidP="00CD59CC">
      <w:pPr>
        <w:pStyle w:val="ListParagraph"/>
        <w:tabs>
          <w:tab w:val="left" w:pos="1134"/>
        </w:tabs>
        <w:ind w:left="0"/>
        <w:contextualSpacing/>
        <w:rPr>
          <w:rFonts w:ascii="Arial" w:hAnsi="Arial" w:cs="Arial"/>
          <w:i/>
        </w:rPr>
      </w:pPr>
      <w:r w:rsidRPr="00CD59CC">
        <w:rPr>
          <w:rFonts w:ascii="Arial" w:hAnsi="Arial" w:cs="Arial"/>
          <w:iCs/>
        </w:rPr>
        <w:t>There</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no</w:t>
      </w:r>
      <w:r w:rsidR="007B7640" w:rsidRPr="00CD59CC">
        <w:rPr>
          <w:rFonts w:ascii="Arial" w:hAnsi="Arial" w:cs="Arial"/>
          <w:iCs/>
        </w:rPr>
        <w:t xml:space="preserve"> </w:t>
      </w:r>
      <w:r w:rsidRPr="00CD59CC">
        <w:rPr>
          <w:rFonts w:ascii="Arial" w:hAnsi="Arial" w:cs="Arial"/>
          <w:iCs/>
        </w:rPr>
        <w:t>law</w:t>
      </w:r>
      <w:r w:rsidR="007B7640" w:rsidRPr="00CD59CC">
        <w:rPr>
          <w:rFonts w:ascii="Arial" w:hAnsi="Arial" w:cs="Arial"/>
          <w:iCs/>
        </w:rPr>
        <w:t xml:space="preserve"> </w:t>
      </w:r>
      <w:r w:rsidRPr="00CD59CC">
        <w:rPr>
          <w:rFonts w:ascii="Arial" w:hAnsi="Arial" w:cs="Arial"/>
          <w:iCs/>
        </w:rPr>
        <w:t>expressly</w:t>
      </w:r>
      <w:r w:rsidR="007B7640" w:rsidRPr="00CD59CC">
        <w:rPr>
          <w:rFonts w:ascii="Arial" w:hAnsi="Arial" w:cs="Arial"/>
          <w:iCs/>
        </w:rPr>
        <w:t xml:space="preserve"> </w:t>
      </w:r>
      <w:r w:rsidRPr="00CD59CC">
        <w:rPr>
          <w:rFonts w:ascii="Arial" w:hAnsi="Arial" w:cs="Arial"/>
          <w:iCs/>
        </w:rPr>
        <w:t>setting</w:t>
      </w:r>
      <w:r w:rsidR="007B7640" w:rsidRPr="00CD59CC">
        <w:rPr>
          <w:rFonts w:ascii="Arial" w:hAnsi="Arial" w:cs="Arial"/>
          <w:iCs/>
        </w:rPr>
        <w:t xml:space="preserve"> </w:t>
      </w:r>
      <w:r w:rsidRPr="00CD59CC">
        <w:rPr>
          <w:rFonts w:ascii="Arial" w:hAnsi="Arial" w:cs="Arial"/>
          <w:iCs/>
        </w:rPr>
        <w:t>forth</w:t>
      </w:r>
      <w:r w:rsidR="007B7640" w:rsidRPr="00CD59CC">
        <w:rPr>
          <w:rFonts w:ascii="Arial" w:hAnsi="Arial" w:cs="Arial"/>
          <w:iCs/>
        </w:rPr>
        <w:t xml:space="preserve"> </w:t>
      </w:r>
      <w:r w:rsidRPr="00CD59CC">
        <w:rPr>
          <w:rFonts w:ascii="Arial" w:hAnsi="Arial" w:cs="Arial"/>
          <w:iCs/>
        </w:rPr>
        <w:t>such</w:t>
      </w:r>
      <w:r w:rsidR="007B7640" w:rsidRPr="00CD59CC">
        <w:rPr>
          <w:rFonts w:ascii="Arial" w:hAnsi="Arial" w:cs="Arial"/>
          <w:iCs/>
        </w:rPr>
        <w:t xml:space="preserve"> </w:t>
      </w:r>
      <w:r w:rsidRPr="00CD59CC">
        <w:rPr>
          <w:rFonts w:ascii="Arial" w:hAnsi="Arial" w:cs="Arial"/>
          <w:iCs/>
        </w:rPr>
        <w:t>an</w:t>
      </w:r>
      <w:r w:rsidR="007B7640" w:rsidRPr="00CD59CC">
        <w:rPr>
          <w:rFonts w:ascii="Arial" w:hAnsi="Arial" w:cs="Arial"/>
          <w:iCs/>
        </w:rPr>
        <w:t xml:space="preserve"> </w:t>
      </w:r>
      <w:r w:rsidRPr="00CD59CC">
        <w:rPr>
          <w:rFonts w:ascii="Arial" w:hAnsi="Arial" w:cs="Arial"/>
          <w:iCs/>
        </w:rPr>
        <w:t>obligation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ground.</w:t>
      </w:r>
    </w:p>
    <w:p w14:paraId="074BDE24" w14:textId="77777777" w:rsidR="0008392E" w:rsidRPr="00CD59CC" w:rsidRDefault="0008392E" w:rsidP="00CD59CC">
      <w:pPr>
        <w:pStyle w:val="ListParagraph"/>
        <w:tabs>
          <w:tab w:val="left" w:pos="1134"/>
        </w:tabs>
        <w:ind w:left="0"/>
        <w:contextualSpacing/>
        <w:rPr>
          <w:rFonts w:ascii="Arial" w:hAnsi="Arial" w:cs="Arial"/>
          <w:i/>
        </w:rPr>
      </w:pPr>
    </w:p>
    <w:p w14:paraId="0495C23B" w14:textId="77777777" w:rsidR="002B5BCD" w:rsidRPr="00CD59CC" w:rsidRDefault="002B5BCD" w:rsidP="00BB4E9F">
      <w:pPr>
        <w:pStyle w:val="ListParagraph"/>
        <w:numPr>
          <w:ilvl w:val="0"/>
          <w:numId w:val="33"/>
        </w:numPr>
        <w:tabs>
          <w:tab w:val="left" w:pos="1134"/>
        </w:tabs>
        <w:ind w:left="1134" w:hanging="567"/>
        <w:contextualSpacing/>
        <w:rPr>
          <w:rFonts w:ascii="Arial" w:hAnsi="Arial" w:cs="Arial"/>
          <w:i/>
        </w:rPr>
      </w:pPr>
      <w:r w:rsidRPr="00CD59CC">
        <w:rPr>
          <w:rFonts w:ascii="Arial" w:hAnsi="Arial" w:cs="Arial"/>
          <w:i/>
        </w:rPr>
        <w:t>religion</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belief</w:t>
      </w:r>
    </w:p>
    <w:p w14:paraId="0048F8ED" w14:textId="77777777" w:rsidR="0008392E" w:rsidRPr="00CD59CC" w:rsidRDefault="0008392E" w:rsidP="00CD59CC">
      <w:pPr>
        <w:pStyle w:val="ListParagraph"/>
        <w:tabs>
          <w:tab w:val="left" w:pos="1134"/>
        </w:tabs>
        <w:ind w:left="1287"/>
        <w:contextualSpacing/>
        <w:rPr>
          <w:rFonts w:ascii="Arial" w:hAnsi="Arial" w:cs="Arial"/>
          <w:i/>
        </w:rPr>
      </w:pPr>
    </w:p>
    <w:p w14:paraId="0A824503" w14:textId="77777777" w:rsidR="0008392E" w:rsidRPr="00CD59CC" w:rsidRDefault="0008392E" w:rsidP="00CD59CC">
      <w:pPr>
        <w:pStyle w:val="ListParagraph"/>
        <w:tabs>
          <w:tab w:val="left" w:pos="1134"/>
        </w:tabs>
        <w:ind w:left="0"/>
        <w:contextualSpacing/>
        <w:rPr>
          <w:rFonts w:ascii="Arial" w:hAnsi="Arial" w:cs="Arial"/>
          <w:i/>
        </w:rPr>
      </w:pPr>
      <w:r w:rsidRPr="00CD59CC">
        <w:rPr>
          <w:rFonts w:ascii="Arial" w:hAnsi="Arial" w:cs="Arial"/>
          <w:iCs/>
        </w:rPr>
        <w:t>There</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no</w:t>
      </w:r>
      <w:r w:rsidR="007B7640" w:rsidRPr="00CD59CC">
        <w:rPr>
          <w:rFonts w:ascii="Arial" w:hAnsi="Arial" w:cs="Arial"/>
          <w:iCs/>
        </w:rPr>
        <w:t xml:space="preserve"> </w:t>
      </w:r>
      <w:r w:rsidRPr="00CD59CC">
        <w:rPr>
          <w:rFonts w:ascii="Arial" w:hAnsi="Arial" w:cs="Arial"/>
          <w:iCs/>
        </w:rPr>
        <w:t>law</w:t>
      </w:r>
      <w:r w:rsidR="007B7640" w:rsidRPr="00CD59CC">
        <w:rPr>
          <w:rFonts w:ascii="Arial" w:hAnsi="Arial" w:cs="Arial"/>
          <w:iCs/>
        </w:rPr>
        <w:t xml:space="preserve"> </w:t>
      </w:r>
      <w:r w:rsidRPr="00CD59CC">
        <w:rPr>
          <w:rFonts w:ascii="Arial" w:hAnsi="Arial" w:cs="Arial"/>
          <w:iCs/>
        </w:rPr>
        <w:t>expressly</w:t>
      </w:r>
      <w:r w:rsidR="007B7640" w:rsidRPr="00CD59CC">
        <w:rPr>
          <w:rFonts w:ascii="Arial" w:hAnsi="Arial" w:cs="Arial"/>
          <w:iCs/>
        </w:rPr>
        <w:t xml:space="preserve"> </w:t>
      </w:r>
      <w:r w:rsidRPr="00CD59CC">
        <w:rPr>
          <w:rFonts w:ascii="Arial" w:hAnsi="Arial" w:cs="Arial"/>
          <w:iCs/>
        </w:rPr>
        <w:t>setting</w:t>
      </w:r>
      <w:r w:rsidR="007B7640" w:rsidRPr="00CD59CC">
        <w:rPr>
          <w:rFonts w:ascii="Arial" w:hAnsi="Arial" w:cs="Arial"/>
          <w:iCs/>
        </w:rPr>
        <w:t xml:space="preserve"> </w:t>
      </w:r>
      <w:r w:rsidRPr="00CD59CC">
        <w:rPr>
          <w:rFonts w:ascii="Arial" w:hAnsi="Arial" w:cs="Arial"/>
          <w:iCs/>
        </w:rPr>
        <w:t>forth</w:t>
      </w:r>
      <w:r w:rsidR="007B7640" w:rsidRPr="00CD59CC">
        <w:rPr>
          <w:rFonts w:ascii="Arial" w:hAnsi="Arial" w:cs="Arial"/>
          <w:iCs/>
        </w:rPr>
        <w:t xml:space="preserve"> </w:t>
      </w:r>
      <w:r w:rsidRPr="00CD59CC">
        <w:rPr>
          <w:rFonts w:ascii="Arial" w:hAnsi="Arial" w:cs="Arial"/>
          <w:iCs/>
        </w:rPr>
        <w:t>such</w:t>
      </w:r>
      <w:r w:rsidR="007B7640" w:rsidRPr="00CD59CC">
        <w:rPr>
          <w:rFonts w:ascii="Arial" w:hAnsi="Arial" w:cs="Arial"/>
          <w:iCs/>
        </w:rPr>
        <w:t xml:space="preserve"> </w:t>
      </w:r>
      <w:r w:rsidRPr="00CD59CC">
        <w:rPr>
          <w:rFonts w:ascii="Arial" w:hAnsi="Arial" w:cs="Arial"/>
          <w:iCs/>
        </w:rPr>
        <w:t>an</w:t>
      </w:r>
      <w:r w:rsidR="007B7640" w:rsidRPr="00CD59CC">
        <w:rPr>
          <w:rFonts w:ascii="Arial" w:hAnsi="Arial" w:cs="Arial"/>
          <w:iCs/>
        </w:rPr>
        <w:t xml:space="preserve"> </w:t>
      </w:r>
      <w:r w:rsidRPr="00CD59CC">
        <w:rPr>
          <w:rFonts w:ascii="Arial" w:hAnsi="Arial" w:cs="Arial"/>
          <w:iCs/>
        </w:rPr>
        <w:t>obligation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ground.</w:t>
      </w:r>
    </w:p>
    <w:p w14:paraId="429E3E50" w14:textId="77777777" w:rsidR="002B5BCD" w:rsidRPr="00CD59CC" w:rsidRDefault="002B5BCD" w:rsidP="00BB4E9F">
      <w:pPr>
        <w:pStyle w:val="ListParagraph"/>
        <w:numPr>
          <w:ilvl w:val="0"/>
          <w:numId w:val="33"/>
        </w:numPr>
        <w:tabs>
          <w:tab w:val="left" w:pos="1134"/>
        </w:tabs>
        <w:ind w:left="1134" w:hanging="567"/>
        <w:contextualSpacing/>
        <w:rPr>
          <w:rFonts w:ascii="Arial" w:hAnsi="Arial" w:cs="Arial"/>
          <w:i/>
        </w:rPr>
      </w:pPr>
      <w:r w:rsidRPr="00CD59CC">
        <w:rPr>
          <w:rFonts w:ascii="Arial" w:hAnsi="Arial" w:cs="Arial"/>
          <w:i/>
        </w:rPr>
        <w:t>age</w:t>
      </w:r>
    </w:p>
    <w:p w14:paraId="4BC94A16" w14:textId="77777777" w:rsidR="0008392E" w:rsidRPr="00CD59CC" w:rsidRDefault="0008392E" w:rsidP="00CD59CC">
      <w:pPr>
        <w:pStyle w:val="ListParagraph"/>
        <w:tabs>
          <w:tab w:val="left" w:pos="1134"/>
        </w:tabs>
        <w:ind w:left="0"/>
        <w:contextualSpacing/>
        <w:rPr>
          <w:rFonts w:ascii="Arial" w:hAnsi="Arial" w:cs="Arial"/>
          <w:i/>
        </w:rPr>
      </w:pPr>
    </w:p>
    <w:p w14:paraId="042C000B" w14:textId="77777777" w:rsidR="0008392E" w:rsidRPr="00CD59CC" w:rsidRDefault="0008392E" w:rsidP="00CD59CC">
      <w:pPr>
        <w:pStyle w:val="ListParagraph"/>
        <w:tabs>
          <w:tab w:val="left" w:pos="1134"/>
        </w:tabs>
        <w:ind w:left="0"/>
        <w:contextualSpacing/>
        <w:rPr>
          <w:rFonts w:ascii="Arial" w:hAnsi="Arial" w:cs="Arial"/>
          <w:i/>
        </w:rPr>
      </w:pPr>
      <w:r w:rsidRPr="00CD59CC">
        <w:rPr>
          <w:rFonts w:ascii="Arial" w:hAnsi="Arial" w:cs="Arial"/>
          <w:iCs/>
        </w:rPr>
        <w:t>There</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no</w:t>
      </w:r>
      <w:r w:rsidR="007B7640" w:rsidRPr="00CD59CC">
        <w:rPr>
          <w:rFonts w:ascii="Arial" w:hAnsi="Arial" w:cs="Arial"/>
          <w:iCs/>
        </w:rPr>
        <w:t xml:space="preserve"> </w:t>
      </w:r>
      <w:r w:rsidRPr="00CD59CC">
        <w:rPr>
          <w:rFonts w:ascii="Arial" w:hAnsi="Arial" w:cs="Arial"/>
          <w:iCs/>
        </w:rPr>
        <w:t>law</w:t>
      </w:r>
      <w:r w:rsidR="007B7640" w:rsidRPr="00CD59CC">
        <w:rPr>
          <w:rFonts w:ascii="Arial" w:hAnsi="Arial" w:cs="Arial"/>
          <w:iCs/>
        </w:rPr>
        <w:t xml:space="preserve"> </w:t>
      </w:r>
      <w:r w:rsidRPr="00CD59CC">
        <w:rPr>
          <w:rFonts w:ascii="Arial" w:hAnsi="Arial" w:cs="Arial"/>
          <w:iCs/>
        </w:rPr>
        <w:t>expressly</w:t>
      </w:r>
      <w:r w:rsidR="007B7640" w:rsidRPr="00CD59CC">
        <w:rPr>
          <w:rFonts w:ascii="Arial" w:hAnsi="Arial" w:cs="Arial"/>
          <w:iCs/>
        </w:rPr>
        <w:t xml:space="preserve"> </w:t>
      </w:r>
      <w:r w:rsidRPr="00CD59CC">
        <w:rPr>
          <w:rFonts w:ascii="Arial" w:hAnsi="Arial" w:cs="Arial"/>
          <w:iCs/>
        </w:rPr>
        <w:t>setting</w:t>
      </w:r>
      <w:r w:rsidR="007B7640" w:rsidRPr="00CD59CC">
        <w:rPr>
          <w:rFonts w:ascii="Arial" w:hAnsi="Arial" w:cs="Arial"/>
          <w:iCs/>
        </w:rPr>
        <w:t xml:space="preserve"> </w:t>
      </w:r>
      <w:r w:rsidRPr="00CD59CC">
        <w:rPr>
          <w:rFonts w:ascii="Arial" w:hAnsi="Arial" w:cs="Arial"/>
          <w:iCs/>
        </w:rPr>
        <w:t>forth</w:t>
      </w:r>
      <w:r w:rsidR="007B7640" w:rsidRPr="00CD59CC">
        <w:rPr>
          <w:rFonts w:ascii="Arial" w:hAnsi="Arial" w:cs="Arial"/>
          <w:iCs/>
        </w:rPr>
        <w:t xml:space="preserve"> </w:t>
      </w:r>
      <w:r w:rsidRPr="00CD59CC">
        <w:rPr>
          <w:rFonts w:ascii="Arial" w:hAnsi="Arial" w:cs="Arial"/>
          <w:iCs/>
        </w:rPr>
        <w:t>such</w:t>
      </w:r>
      <w:r w:rsidR="007B7640" w:rsidRPr="00CD59CC">
        <w:rPr>
          <w:rFonts w:ascii="Arial" w:hAnsi="Arial" w:cs="Arial"/>
          <w:iCs/>
        </w:rPr>
        <w:t xml:space="preserve"> </w:t>
      </w:r>
      <w:r w:rsidRPr="00CD59CC">
        <w:rPr>
          <w:rFonts w:ascii="Arial" w:hAnsi="Arial" w:cs="Arial"/>
          <w:iCs/>
        </w:rPr>
        <w:t>an</w:t>
      </w:r>
      <w:r w:rsidR="007B7640" w:rsidRPr="00CD59CC">
        <w:rPr>
          <w:rFonts w:ascii="Arial" w:hAnsi="Arial" w:cs="Arial"/>
          <w:iCs/>
        </w:rPr>
        <w:t xml:space="preserve"> </w:t>
      </w:r>
      <w:r w:rsidRPr="00CD59CC">
        <w:rPr>
          <w:rFonts w:ascii="Arial" w:hAnsi="Arial" w:cs="Arial"/>
          <w:iCs/>
        </w:rPr>
        <w:t>obligation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ground.</w:t>
      </w:r>
    </w:p>
    <w:p w14:paraId="270A5581" w14:textId="77777777" w:rsidR="0008392E" w:rsidRPr="00CD59CC" w:rsidRDefault="0008392E" w:rsidP="00CD59CC">
      <w:pPr>
        <w:pStyle w:val="ListParagraph"/>
        <w:tabs>
          <w:tab w:val="left" w:pos="1134"/>
        </w:tabs>
        <w:ind w:left="0"/>
        <w:contextualSpacing/>
        <w:rPr>
          <w:rFonts w:ascii="Arial" w:hAnsi="Arial" w:cs="Arial"/>
          <w:i/>
        </w:rPr>
      </w:pPr>
    </w:p>
    <w:p w14:paraId="527EEF7B" w14:textId="77777777" w:rsidR="002B5BCD" w:rsidRPr="00CD59CC" w:rsidRDefault="002B5BCD" w:rsidP="00BB4E9F">
      <w:pPr>
        <w:pStyle w:val="ListParagraph"/>
        <w:numPr>
          <w:ilvl w:val="0"/>
          <w:numId w:val="33"/>
        </w:numPr>
        <w:tabs>
          <w:tab w:val="left" w:pos="1134"/>
        </w:tabs>
        <w:ind w:left="1134" w:hanging="567"/>
        <w:contextualSpacing/>
        <w:rPr>
          <w:rFonts w:ascii="Arial" w:hAnsi="Arial" w:cs="Arial"/>
          <w:i/>
        </w:rPr>
      </w:pPr>
      <w:r w:rsidRPr="00CD59CC">
        <w:rPr>
          <w:rFonts w:ascii="Arial" w:hAnsi="Arial" w:cs="Arial"/>
          <w:i/>
        </w:rPr>
        <w:t>sexual</w:t>
      </w:r>
      <w:r w:rsidR="007B7640" w:rsidRPr="00CD59CC">
        <w:rPr>
          <w:rFonts w:ascii="Arial" w:hAnsi="Arial" w:cs="Arial"/>
          <w:i/>
        </w:rPr>
        <w:t xml:space="preserve"> </w:t>
      </w:r>
      <w:r w:rsidRPr="00CD59CC">
        <w:rPr>
          <w:rFonts w:ascii="Arial" w:hAnsi="Arial" w:cs="Arial"/>
          <w:i/>
        </w:rPr>
        <w:t>orientation</w:t>
      </w:r>
    </w:p>
    <w:p w14:paraId="6AB635AC" w14:textId="77777777" w:rsidR="00710E8C" w:rsidRPr="00CD59CC" w:rsidRDefault="00710E8C" w:rsidP="00CD59CC">
      <w:pPr>
        <w:pStyle w:val="ListParagraph"/>
        <w:tabs>
          <w:tab w:val="left" w:pos="1134"/>
        </w:tabs>
        <w:ind w:left="0"/>
        <w:contextualSpacing/>
        <w:rPr>
          <w:rFonts w:ascii="Arial" w:hAnsi="Arial" w:cs="Arial"/>
          <w:i/>
        </w:rPr>
      </w:pPr>
    </w:p>
    <w:p w14:paraId="6B35E837" w14:textId="6195B8C6" w:rsidR="0008392E" w:rsidRPr="00CD59CC" w:rsidRDefault="0008392E" w:rsidP="00BB4E9F">
      <w:pPr>
        <w:pStyle w:val="ListParagraph"/>
        <w:tabs>
          <w:tab w:val="left" w:pos="1134"/>
        </w:tabs>
        <w:ind w:left="0"/>
        <w:contextualSpacing/>
        <w:rPr>
          <w:rFonts w:ascii="Arial" w:hAnsi="Arial" w:cs="Arial"/>
          <w:i/>
        </w:rPr>
      </w:pPr>
      <w:r w:rsidRPr="00CD59CC">
        <w:rPr>
          <w:rFonts w:ascii="Arial" w:hAnsi="Arial" w:cs="Arial"/>
          <w:iCs/>
        </w:rPr>
        <w:lastRenderedPageBreak/>
        <w:t>There</w:t>
      </w:r>
      <w:r w:rsidR="007B7640" w:rsidRPr="00CD59CC">
        <w:rPr>
          <w:rFonts w:ascii="Arial" w:hAnsi="Arial" w:cs="Arial"/>
          <w:iCs/>
        </w:rPr>
        <w:t xml:space="preserve"> </w:t>
      </w:r>
      <w:r w:rsidRPr="00CD59CC">
        <w:rPr>
          <w:rFonts w:ascii="Arial" w:hAnsi="Arial" w:cs="Arial"/>
          <w:iCs/>
        </w:rPr>
        <w:t>is</w:t>
      </w:r>
      <w:r w:rsidR="007B7640" w:rsidRPr="00CD59CC">
        <w:rPr>
          <w:rFonts w:ascii="Arial" w:hAnsi="Arial" w:cs="Arial"/>
          <w:iCs/>
        </w:rPr>
        <w:t xml:space="preserve"> </w:t>
      </w:r>
      <w:r w:rsidRPr="00CD59CC">
        <w:rPr>
          <w:rFonts w:ascii="Arial" w:hAnsi="Arial" w:cs="Arial"/>
          <w:iCs/>
        </w:rPr>
        <w:t>no</w:t>
      </w:r>
      <w:r w:rsidR="007B7640" w:rsidRPr="00CD59CC">
        <w:rPr>
          <w:rFonts w:ascii="Arial" w:hAnsi="Arial" w:cs="Arial"/>
          <w:iCs/>
        </w:rPr>
        <w:t xml:space="preserve"> </w:t>
      </w:r>
      <w:r w:rsidRPr="00CD59CC">
        <w:rPr>
          <w:rFonts w:ascii="Arial" w:hAnsi="Arial" w:cs="Arial"/>
          <w:iCs/>
        </w:rPr>
        <w:t>law</w:t>
      </w:r>
      <w:r w:rsidR="007B7640" w:rsidRPr="00CD59CC">
        <w:rPr>
          <w:rFonts w:ascii="Arial" w:hAnsi="Arial" w:cs="Arial"/>
          <w:iCs/>
        </w:rPr>
        <w:t xml:space="preserve"> </w:t>
      </w:r>
      <w:r w:rsidRPr="00CD59CC">
        <w:rPr>
          <w:rFonts w:ascii="Arial" w:hAnsi="Arial" w:cs="Arial"/>
          <w:iCs/>
        </w:rPr>
        <w:t>expressly</w:t>
      </w:r>
      <w:r w:rsidR="007B7640" w:rsidRPr="00CD59CC">
        <w:rPr>
          <w:rFonts w:ascii="Arial" w:hAnsi="Arial" w:cs="Arial"/>
          <w:iCs/>
        </w:rPr>
        <w:t xml:space="preserve"> </w:t>
      </w:r>
      <w:r w:rsidRPr="00CD59CC">
        <w:rPr>
          <w:rFonts w:ascii="Arial" w:hAnsi="Arial" w:cs="Arial"/>
          <w:iCs/>
        </w:rPr>
        <w:t>setting</w:t>
      </w:r>
      <w:r w:rsidR="007B7640" w:rsidRPr="00CD59CC">
        <w:rPr>
          <w:rFonts w:ascii="Arial" w:hAnsi="Arial" w:cs="Arial"/>
          <w:iCs/>
        </w:rPr>
        <w:t xml:space="preserve"> </w:t>
      </w:r>
      <w:r w:rsidRPr="00CD59CC">
        <w:rPr>
          <w:rFonts w:ascii="Arial" w:hAnsi="Arial" w:cs="Arial"/>
          <w:iCs/>
        </w:rPr>
        <w:t>forth</w:t>
      </w:r>
      <w:r w:rsidR="007B7640" w:rsidRPr="00CD59CC">
        <w:rPr>
          <w:rFonts w:ascii="Arial" w:hAnsi="Arial" w:cs="Arial"/>
          <w:iCs/>
        </w:rPr>
        <w:t xml:space="preserve"> </w:t>
      </w:r>
      <w:r w:rsidRPr="00CD59CC">
        <w:rPr>
          <w:rFonts w:ascii="Arial" w:hAnsi="Arial" w:cs="Arial"/>
          <w:iCs/>
        </w:rPr>
        <w:t>such</w:t>
      </w:r>
      <w:r w:rsidR="007B7640" w:rsidRPr="00CD59CC">
        <w:rPr>
          <w:rFonts w:ascii="Arial" w:hAnsi="Arial" w:cs="Arial"/>
          <w:iCs/>
        </w:rPr>
        <w:t xml:space="preserve"> </w:t>
      </w:r>
      <w:r w:rsidRPr="00CD59CC">
        <w:rPr>
          <w:rFonts w:ascii="Arial" w:hAnsi="Arial" w:cs="Arial"/>
          <w:iCs/>
        </w:rPr>
        <w:t>an</w:t>
      </w:r>
      <w:r w:rsidR="007B7640" w:rsidRPr="00CD59CC">
        <w:rPr>
          <w:rFonts w:ascii="Arial" w:hAnsi="Arial" w:cs="Arial"/>
          <w:iCs/>
        </w:rPr>
        <w:t xml:space="preserve"> </w:t>
      </w:r>
      <w:r w:rsidRPr="00CD59CC">
        <w:rPr>
          <w:rFonts w:ascii="Arial" w:hAnsi="Arial" w:cs="Arial"/>
          <w:iCs/>
        </w:rPr>
        <w:t>obligation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ground.</w:t>
      </w:r>
    </w:p>
    <w:p w14:paraId="0E1A72EE" w14:textId="77777777" w:rsidR="00FD3C9E" w:rsidRPr="00CD59CC" w:rsidRDefault="00FD3C9E" w:rsidP="00BB4E9F">
      <w:pPr>
        <w:rPr>
          <w:rFonts w:ascii="Arial" w:hAnsi="Arial" w:cs="Arial"/>
          <w:i/>
        </w:rPr>
      </w:pPr>
    </w:p>
    <w:p w14:paraId="27B7CC22" w14:textId="77777777" w:rsidR="002B5BCD" w:rsidRPr="00CD59CC" w:rsidRDefault="002B5BCD" w:rsidP="00CD59CC">
      <w:pPr>
        <w:pStyle w:val="BodyText"/>
        <w:numPr>
          <w:ilvl w:val="0"/>
          <w:numId w:val="9"/>
        </w:numPr>
        <w:ind w:left="567" w:hanging="567"/>
        <w:rPr>
          <w:rFonts w:ascii="Arial" w:hAnsi="Arial" w:cs="Arial"/>
          <w:iCs w:val="0"/>
          <w:lang w:val="en-GB"/>
        </w:rPr>
      </w:pPr>
      <w:r w:rsidRPr="00BB4E9F">
        <w:rPr>
          <w:rFonts w:ascii="Arial" w:hAnsi="Arial"/>
        </w:rPr>
        <w:t>Please</w:t>
      </w:r>
      <w:r w:rsidR="007B7640" w:rsidRPr="00BB4E9F">
        <w:rPr>
          <w:rFonts w:ascii="Arial" w:hAnsi="Arial"/>
        </w:rPr>
        <w:t xml:space="preserve"> </w:t>
      </w:r>
      <w:r w:rsidRPr="00BB4E9F">
        <w:rPr>
          <w:rFonts w:ascii="Arial" w:hAnsi="Arial"/>
        </w:rPr>
        <w:t>specify</w:t>
      </w:r>
      <w:r w:rsidR="007B7640" w:rsidRPr="00BB4E9F">
        <w:rPr>
          <w:rFonts w:ascii="Arial" w:hAnsi="Arial"/>
        </w:rPr>
        <w:t xml:space="preserve"> </w:t>
      </w:r>
      <w:r w:rsidRPr="00BB4E9F">
        <w:rPr>
          <w:rFonts w:ascii="Arial" w:hAnsi="Arial"/>
        </w:rPr>
        <w:t>whether</w:t>
      </w:r>
      <w:r w:rsidR="007B7640" w:rsidRPr="00BB4E9F">
        <w:rPr>
          <w:rFonts w:ascii="Arial" w:hAnsi="Arial"/>
        </w:rPr>
        <w:t xml:space="preserve"> </w:t>
      </w:r>
      <w:r w:rsidRPr="00BB4E9F">
        <w:rPr>
          <w:rFonts w:ascii="Arial" w:hAnsi="Arial"/>
        </w:rPr>
        <w:t>this</w:t>
      </w:r>
      <w:r w:rsidR="007B7640" w:rsidRPr="00BB4E9F">
        <w:rPr>
          <w:rFonts w:ascii="Arial" w:hAnsi="Arial"/>
        </w:rPr>
        <w:t xml:space="preserve"> </w:t>
      </w:r>
      <w:r w:rsidRPr="00BB4E9F">
        <w:rPr>
          <w:rFonts w:ascii="Arial" w:hAnsi="Arial"/>
        </w:rPr>
        <w:t>is</w:t>
      </w:r>
      <w:r w:rsidR="007B7640" w:rsidRPr="00BB4E9F">
        <w:rPr>
          <w:rFonts w:ascii="Arial" w:hAnsi="Arial"/>
        </w:rPr>
        <w:t xml:space="preserve"> </w:t>
      </w:r>
      <w:r w:rsidRPr="00BB4E9F">
        <w:rPr>
          <w:rFonts w:ascii="Arial" w:hAnsi="Arial"/>
        </w:rPr>
        <w:t>within</w:t>
      </w:r>
      <w:r w:rsidR="007B7640" w:rsidRPr="00BB4E9F">
        <w:rPr>
          <w:rFonts w:ascii="Arial" w:hAnsi="Arial"/>
        </w:rPr>
        <w:t xml:space="preserve"> </w:t>
      </w:r>
      <w:r w:rsidRPr="00BB4E9F">
        <w:rPr>
          <w:rFonts w:ascii="Arial" w:hAnsi="Arial"/>
        </w:rPr>
        <w:t>the</w:t>
      </w:r>
      <w:r w:rsidR="007B7640" w:rsidRPr="00BB4E9F">
        <w:rPr>
          <w:rFonts w:ascii="Arial" w:hAnsi="Arial"/>
        </w:rPr>
        <w:t xml:space="preserve"> </w:t>
      </w:r>
      <w:r w:rsidRPr="00BB4E9F">
        <w:rPr>
          <w:rFonts w:ascii="Arial" w:hAnsi="Arial"/>
        </w:rPr>
        <w:t>employment</w:t>
      </w:r>
      <w:r w:rsidR="007B7640" w:rsidRPr="00BB4E9F">
        <w:rPr>
          <w:rFonts w:ascii="Arial" w:hAnsi="Arial"/>
        </w:rPr>
        <w:t xml:space="preserve"> </w:t>
      </w:r>
      <w:r w:rsidRPr="00BB4E9F">
        <w:rPr>
          <w:rFonts w:ascii="Arial" w:hAnsi="Arial"/>
        </w:rPr>
        <w:t>field</w:t>
      </w:r>
      <w:r w:rsidR="007B7640" w:rsidRPr="00BB4E9F">
        <w:rPr>
          <w:rFonts w:ascii="Arial" w:hAnsi="Arial"/>
        </w:rPr>
        <w:t xml:space="preserve"> </w:t>
      </w:r>
      <w:r w:rsidRPr="00BB4E9F">
        <w:rPr>
          <w:rFonts w:ascii="Arial" w:hAnsi="Arial"/>
        </w:rPr>
        <w:t>or</w:t>
      </w:r>
      <w:r w:rsidR="007B7640" w:rsidRPr="00BB4E9F">
        <w:rPr>
          <w:rFonts w:ascii="Arial" w:hAnsi="Arial"/>
        </w:rPr>
        <w:t xml:space="preserve"> </w:t>
      </w:r>
      <w:r w:rsidRPr="00BB4E9F">
        <w:rPr>
          <w:rFonts w:ascii="Arial" w:hAnsi="Arial"/>
        </w:rPr>
        <w:t>in</w:t>
      </w:r>
      <w:r w:rsidR="007B7640" w:rsidRPr="00BB4E9F">
        <w:rPr>
          <w:rFonts w:ascii="Arial" w:hAnsi="Arial"/>
        </w:rPr>
        <w:t xml:space="preserve"> </w:t>
      </w:r>
      <w:r w:rsidRPr="00BB4E9F">
        <w:rPr>
          <w:rFonts w:ascii="Arial" w:hAnsi="Arial"/>
        </w:rPr>
        <w:t>areas</w:t>
      </w:r>
      <w:r w:rsidR="007B7640" w:rsidRPr="00BB4E9F">
        <w:rPr>
          <w:rFonts w:ascii="Arial" w:hAnsi="Arial"/>
        </w:rPr>
        <w:t xml:space="preserve"> </w:t>
      </w:r>
      <w:r w:rsidRPr="00BB4E9F">
        <w:rPr>
          <w:rFonts w:ascii="Arial" w:hAnsi="Arial"/>
        </w:rPr>
        <w:t>outside</w:t>
      </w:r>
      <w:r w:rsidR="007B7640" w:rsidRPr="00BB4E9F">
        <w:rPr>
          <w:rFonts w:ascii="Arial" w:hAnsi="Arial"/>
        </w:rPr>
        <w:t xml:space="preserve"> </w:t>
      </w:r>
      <w:r w:rsidRPr="00BB4E9F">
        <w:rPr>
          <w:rFonts w:ascii="Arial" w:hAnsi="Arial"/>
        </w:rPr>
        <w:t>employment</w:t>
      </w:r>
    </w:p>
    <w:p w14:paraId="511F0C9E" w14:textId="77777777" w:rsidR="002B5BCD" w:rsidRPr="00CD59CC" w:rsidRDefault="002B5BCD" w:rsidP="00CD59CC">
      <w:pPr>
        <w:pStyle w:val="ListParagraph"/>
        <w:rPr>
          <w:rFonts w:ascii="Arial" w:hAnsi="Arial" w:cs="Arial"/>
        </w:rPr>
      </w:pPr>
    </w:p>
    <w:p w14:paraId="2F33E231" w14:textId="77777777" w:rsidR="002B5BCD" w:rsidRPr="00CD59CC" w:rsidRDefault="00710E8C" w:rsidP="00BB4E9F">
      <w:pPr>
        <w:pStyle w:val="ListParagraph"/>
        <w:numPr>
          <w:ilvl w:val="0"/>
          <w:numId w:val="34"/>
        </w:numPr>
        <w:tabs>
          <w:tab w:val="left" w:pos="1134"/>
        </w:tabs>
        <w:ind w:left="1134" w:hanging="567"/>
        <w:contextualSpacing/>
        <w:rPr>
          <w:rFonts w:ascii="Arial" w:hAnsi="Arial" w:cs="Arial"/>
          <w:i/>
        </w:rPr>
      </w:pPr>
      <w:r w:rsidRPr="00CD59CC">
        <w:rPr>
          <w:rFonts w:ascii="Arial" w:hAnsi="Arial" w:cs="Arial"/>
          <w:i/>
        </w:rPr>
        <w:t>r</w:t>
      </w:r>
      <w:r w:rsidR="002B5BCD" w:rsidRPr="00CD59CC">
        <w:rPr>
          <w:rFonts w:ascii="Arial" w:hAnsi="Arial" w:cs="Arial"/>
          <w:i/>
        </w:rPr>
        <w:t>ace</w:t>
      </w:r>
      <w:r w:rsidR="007B7640" w:rsidRPr="00CD59CC">
        <w:rPr>
          <w:rFonts w:ascii="Arial" w:hAnsi="Arial" w:cs="Arial"/>
          <w:i/>
        </w:rPr>
        <w:t xml:space="preserve"> </w:t>
      </w:r>
      <w:r w:rsidR="002B5BCD" w:rsidRPr="00CD59CC">
        <w:rPr>
          <w:rFonts w:ascii="Arial" w:hAnsi="Arial" w:cs="Arial"/>
          <w:i/>
        </w:rPr>
        <w:t>or</w:t>
      </w:r>
      <w:r w:rsidR="007B7640" w:rsidRPr="00CD59CC">
        <w:rPr>
          <w:rFonts w:ascii="Arial" w:hAnsi="Arial" w:cs="Arial"/>
          <w:i/>
        </w:rPr>
        <w:t xml:space="preserve"> </w:t>
      </w:r>
      <w:r w:rsidR="002B5BCD" w:rsidRPr="00CD59CC">
        <w:rPr>
          <w:rFonts w:ascii="Arial" w:hAnsi="Arial" w:cs="Arial"/>
          <w:i/>
        </w:rPr>
        <w:t>ethnic</w:t>
      </w:r>
      <w:r w:rsidR="007B7640" w:rsidRPr="00CD59CC">
        <w:rPr>
          <w:rFonts w:ascii="Arial" w:hAnsi="Arial" w:cs="Arial"/>
          <w:i/>
        </w:rPr>
        <w:t xml:space="preserve"> </w:t>
      </w:r>
      <w:r w:rsidR="002B5BCD" w:rsidRPr="00CD59CC">
        <w:rPr>
          <w:rFonts w:ascii="Arial" w:hAnsi="Arial" w:cs="Arial"/>
          <w:i/>
        </w:rPr>
        <w:t>origin</w:t>
      </w:r>
    </w:p>
    <w:p w14:paraId="74792EA4" w14:textId="77777777" w:rsidR="0008392E" w:rsidRPr="00CD59CC" w:rsidRDefault="0008392E" w:rsidP="00CD59CC">
      <w:pPr>
        <w:pStyle w:val="ListParagraph"/>
        <w:tabs>
          <w:tab w:val="left" w:pos="1134"/>
        </w:tabs>
        <w:ind w:left="0"/>
        <w:contextualSpacing/>
        <w:rPr>
          <w:rFonts w:ascii="Arial" w:hAnsi="Arial" w:cs="Arial"/>
          <w:i/>
        </w:rPr>
      </w:pPr>
    </w:p>
    <w:p w14:paraId="67FF364C" w14:textId="77777777" w:rsidR="0008392E" w:rsidRPr="00CD59CC" w:rsidRDefault="0008392E" w:rsidP="00CD59CC">
      <w:pPr>
        <w:pStyle w:val="BodyText"/>
        <w:rPr>
          <w:rFonts w:ascii="Arial" w:hAnsi="Arial" w:cs="Arial"/>
          <w:iCs w:val="0"/>
          <w:lang w:val="en-GB"/>
        </w:rPr>
      </w:pPr>
      <w:r w:rsidRPr="00CD59CC">
        <w:rPr>
          <w:rFonts w:ascii="Arial" w:hAnsi="Arial" w:cs="Arial"/>
          <w:i w:val="0"/>
          <w:iCs w:val="0"/>
          <w:lang w:val="en-GB"/>
        </w:rPr>
        <w:t>Not</w:t>
      </w:r>
      <w:r w:rsidR="007B7640" w:rsidRPr="00CD59CC">
        <w:rPr>
          <w:rFonts w:ascii="Arial" w:hAnsi="Arial" w:cs="Arial"/>
          <w:i w:val="0"/>
          <w:iCs w:val="0"/>
          <w:lang w:val="en-GB"/>
        </w:rPr>
        <w:t xml:space="preserve"> </w:t>
      </w:r>
      <w:r w:rsidRPr="00CD59CC">
        <w:rPr>
          <w:rFonts w:ascii="Arial" w:hAnsi="Arial" w:cs="Arial"/>
          <w:i w:val="0"/>
          <w:iCs w:val="0"/>
          <w:lang w:val="en-GB"/>
        </w:rPr>
        <w:t>applicable.</w:t>
      </w:r>
      <w:r w:rsidR="007B7640" w:rsidRPr="00CD59CC">
        <w:rPr>
          <w:rFonts w:ascii="Arial" w:hAnsi="Arial" w:cs="Arial"/>
          <w:iCs w:val="0"/>
          <w:lang w:val="en-GB"/>
        </w:rPr>
        <w:t xml:space="preserve"> </w:t>
      </w:r>
    </w:p>
    <w:p w14:paraId="44D2F107" w14:textId="77777777" w:rsidR="0008392E" w:rsidRPr="00CD59CC" w:rsidRDefault="0008392E" w:rsidP="00CD59CC">
      <w:pPr>
        <w:pStyle w:val="ListParagraph"/>
        <w:tabs>
          <w:tab w:val="left" w:pos="1134"/>
        </w:tabs>
        <w:ind w:left="0"/>
        <w:contextualSpacing/>
        <w:rPr>
          <w:rFonts w:ascii="Arial" w:hAnsi="Arial" w:cs="Arial"/>
          <w:i/>
        </w:rPr>
      </w:pPr>
    </w:p>
    <w:p w14:paraId="6B757733" w14:textId="77777777" w:rsidR="002B5BCD" w:rsidRPr="00CD59CC" w:rsidRDefault="002B5BCD" w:rsidP="00BB4E9F">
      <w:pPr>
        <w:pStyle w:val="ListParagraph"/>
        <w:numPr>
          <w:ilvl w:val="0"/>
          <w:numId w:val="34"/>
        </w:numPr>
        <w:tabs>
          <w:tab w:val="left" w:pos="1134"/>
        </w:tabs>
        <w:ind w:left="1134" w:hanging="567"/>
        <w:contextualSpacing/>
        <w:rPr>
          <w:rFonts w:ascii="Arial" w:hAnsi="Arial" w:cs="Arial"/>
          <w:i/>
        </w:rPr>
      </w:pPr>
      <w:r w:rsidRPr="00CD59CC">
        <w:rPr>
          <w:rFonts w:ascii="Arial" w:hAnsi="Arial" w:cs="Arial"/>
          <w:i/>
        </w:rPr>
        <w:t>religion</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belief</w:t>
      </w:r>
    </w:p>
    <w:p w14:paraId="146AE1AE" w14:textId="77777777" w:rsidR="0008392E" w:rsidRPr="00CD59CC" w:rsidRDefault="0008392E" w:rsidP="00CD59CC">
      <w:pPr>
        <w:pStyle w:val="ListParagraph"/>
        <w:tabs>
          <w:tab w:val="left" w:pos="1134"/>
        </w:tabs>
        <w:ind w:left="0"/>
        <w:contextualSpacing/>
        <w:rPr>
          <w:rFonts w:ascii="Arial" w:hAnsi="Arial" w:cs="Arial"/>
          <w:i/>
        </w:rPr>
      </w:pPr>
    </w:p>
    <w:p w14:paraId="63609751" w14:textId="77777777" w:rsidR="0008392E" w:rsidRPr="00CD59CC" w:rsidRDefault="0008392E" w:rsidP="00CD59CC">
      <w:pPr>
        <w:pStyle w:val="BodyText"/>
        <w:rPr>
          <w:rFonts w:ascii="Arial" w:hAnsi="Arial" w:cs="Arial"/>
          <w:iCs w:val="0"/>
          <w:lang w:val="en-GB"/>
        </w:rPr>
      </w:pPr>
      <w:r w:rsidRPr="00CD59CC">
        <w:rPr>
          <w:rFonts w:ascii="Arial" w:hAnsi="Arial" w:cs="Arial"/>
          <w:i w:val="0"/>
          <w:iCs w:val="0"/>
          <w:lang w:val="en-GB"/>
        </w:rPr>
        <w:t>Not</w:t>
      </w:r>
      <w:r w:rsidR="007B7640" w:rsidRPr="00CD59CC">
        <w:rPr>
          <w:rFonts w:ascii="Arial" w:hAnsi="Arial" w:cs="Arial"/>
          <w:i w:val="0"/>
          <w:iCs w:val="0"/>
          <w:lang w:val="en-GB"/>
        </w:rPr>
        <w:t xml:space="preserve"> </w:t>
      </w:r>
      <w:r w:rsidRPr="00CD59CC">
        <w:rPr>
          <w:rFonts w:ascii="Arial" w:hAnsi="Arial" w:cs="Arial"/>
          <w:i w:val="0"/>
          <w:iCs w:val="0"/>
          <w:lang w:val="en-GB"/>
        </w:rPr>
        <w:t>applicable.</w:t>
      </w:r>
      <w:r w:rsidR="007B7640" w:rsidRPr="00CD59CC">
        <w:rPr>
          <w:rFonts w:ascii="Arial" w:hAnsi="Arial" w:cs="Arial"/>
          <w:iCs w:val="0"/>
          <w:lang w:val="en-GB"/>
        </w:rPr>
        <w:t xml:space="preserve"> </w:t>
      </w:r>
    </w:p>
    <w:p w14:paraId="0B99E6BB" w14:textId="77777777" w:rsidR="0008392E" w:rsidRPr="00CD59CC" w:rsidRDefault="0008392E" w:rsidP="00CD59CC">
      <w:pPr>
        <w:pStyle w:val="ListParagraph"/>
        <w:tabs>
          <w:tab w:val="left" w:pos="1134"/>
        </w:tabs>
        <w:ind w:left="0"/>
        <w:contextualSpacing/>
        <w:rPr>
          <w:rFonts w:ascii="Arial" w:hAnsi="Arial" w:cs="Arial"/>
          <w:i/>
        </w:rPr>
      </w:pPr>
    </w:p>
    <w:p w14:paraId="2A35416B" w14:textId="77777777" w:rsidR="002B5BCD" w:rsidRPr="00CD59CC" w:rsidRDefault="002B5BCD" w:rsidP="007B4138">
      <w:pPr>
        <w:pStyle w:val="ListParagraph"/>
        <w:numPr>
          <w:ilvl w:val="0"/>
          <w:numId w:val="34"/>
        </w:numPr>
        <w:tabs>
          <w:tab w:val="left" w:pos="1134"/>
        </w:tabs>
        <w:ind w:left="1134" w:hanging="567"/>
        <w:contextualSpacing/>
        <w:rPr>
          <w:rFonts w:ascii="Arial" w:hAnsi="Arial" w:cs="Arial"/>
          <w:i/>
        </w:rPr>
      </w:pPr>
      <w:r w:rsidRPr="00CD59CC">
        <w:rPr>
          <w:rFonts w:ascii="Arial" w:hAnsi="Arial" w:cs="Arial"/>
          <w:i/>
        </w:rPr>
        <w:t>age</w:t>
      </w:r>
    </w:p>
    <w:p w14:paraId="581B6329" w14:textId="77777777" w:rsidR="0008392E" w:rsidRPr="00CD59CC" w:rsidRDefault="0008392E" w:rsidP="00CD59CC">
      <w:pPr>
        <w:pStyle w:val="ListParagraph"/>
        <w:tabs>
          <w:tab w:val="left" w:pos="1134"/>
        </w:tabs>
        <w:ind w:left="0"/>
        <w:contextualSpacing/>
        <w:rPr>
          <w:rFonts w:ascii="Arial" w:hAnsi="Arial" w:cs="Arial"/>
          <w:i/>
        </w:rPr>
      </w:pPr>
    </w:p>
    <w:p w14:paraId="2DB80C10" w14:textId="77777777" w:rsidR="0008392E" w:rsidRPr="00CD59CC" w:rsidRDefault="0008392E" w:rsidP="00CD59CC">
      <w:pPr>
        <w:pStyle w:val="BodyText"/>
        <w:rPr>
          <w:rFonts w:ascii="Arial" w:hAnsi="Arial" w:cs="Arial"/>
          <w:iCs w:val="0"/>
          <w:lang w:val="en-GB"/>
        </w:rPr>
      </w:pPr>
      <w:r w:rsidRPr="00CD59CC">
        <w:rPr>
          <w:rFonts w:ascii="Arial" w:hAnsi="Arial" w:cs="Arial"/>
          <w:i w:val="0"/>
          <w:iCs w:val="0"/>
          <w:lang w:val="en-GB"/>
        </w:rPr>
        <w:t>Not</w:t>
      </w:r>
      <w:r w:rsidR="007B7640" w:rsidRPr="00CD59CC">
        <w:rPr>
          <w:rFonts w:ascii="Arial" w:hAnsi="Arial" w:cs="Arial"/>
          <w:i w:val="0"/>
          <w:iCs w:val="0"/>
          <w:lang w:val="en-GB"/>
        </w:rPr>
        <w:t xml:space="preserve"> </w:t>
      </w:r>
      <w:r w:rsidRPr="00CD59CC">
        <w:rPr>
          <w:rFonts w:ascii="Arial" w:hAnsi="Arial" w:cs="Arial"/>
          <w:i w:val="0"/>
          <w:iCs w:val="0"/>
          <w:lang w:val="en-GB"/>
        </w:rPr>
        <w:t>applicable.</w:t>
      </w:r>
      <w:r w:rsidR="007B7640" w:rsidRPr="00CD59CC">
        <w:rPr>
          <w:rFonts w:ascii="Arial" w:hAnsi="Arial" w:cs="Arial"/>
          <w:iCs w:val="0"/>
          <w:lang w:val="en-GB"/>
        </w:rPr>
        <w:t xml:space="preserve"> </w:t>
      </w:r>
    </w:p>
    <w:p w14:paraId="08B3986F" w14:textId="77777777" w:rsidR="0008392E" w:rsidRPr="00BB4E9F" w:rsidRDefault="0008392E" w:rsidP="00BB4E9F">
      <w:pPr>
        <w:pStyle w:val="ListParagraph"/>
        <w:tabs>
          <w:tab w:val="left" w:pos="1134"/>
        </w:tabs>
        <w:ind w:left="0"/>
        <w:contextualSpacing/>
        <w:rPr>
          <w:rFonts w:ascii="Arial" w:hAnsi="Arial"/>
          <w:b/>
          <w:i/>
        </w:rPr>
      </w:pPr>
    </w:p>
    <w:p w14:paraId="6CEB8CE6" w14:textId="77777777" w:rsidR="002B5BCD" w:rsidRPr="00CD59CC" w:rsidRDefault="002B5BCD" w:rsidP="00BB4E9F">
      <w:pPr>
        <w:pStyle w:val="ListParagraph"/>
        <w:numPr>
          <w:ilvl w:val="0"/>
          <w:numId w:val="34"/>
        </w:numPr>
        <w:tabs>
          <w:tab w:val="left" w:pos="1134"/>
        </w:tabs>
        <w:ind w:left="1134" w:hanging="567"/>
        <w:contextualSpacing/>
        <w:rPr>
          <w:rFonts w:ascii="Arial" w:hAnsi="Arial" w:cs="Arial"/>
          <w:i/>
        </w:rPr>
      </w:pPr>
      <w:r w:rsidRPr="00CD59CC">
        <w:rPr>
          <w:rFonts w:ascii="Arial" w:hAnsi="Arial" w:cs="Arial"/>
          <w:i/>
        </w:rPr>
        <w:t>sexual</w:t>
      </w:r>
      <w:r w:rsidR="007B7640" w:rsidRPr="00CD59CC">
        <w:rPr>
          <w:rFonts w:ascii="Arial" w:hAnsi="Arial" w:cs="Arial"/>
          <w:i/>
        </w:rPr>
        <w:t xml:space="preserve"> </w:t>
      </w:r>
      <w:r w:rsidRPr="00CD59CC">
        <w:rPr>
          <w:rFonts w:ascii="Arial" w:hAnsi="Arial" w:cs="Arial"/>
          <w:i/>
        </w:rPr>
        <w:t>orientation</w:t>
      </w:r>
    </w:p>
    <w:p w14:paraId="238944B3" w14:textId="77777777" w:rsidR="00B97ED3" w:rsidRPr="00BB4E9F" w:rsidRDefault="00B97ED3" w:rsidP="00CD59CC">
      <w:pPr>
        <w:pStyle w:val="BodyText"/>
        <w:rPr>
          <w:rFonts w:ascii="Arial" w:hAnsi="Arial"/>
          <w:i w:val="0"/>
          <w:lang w:val="en-GB"/>
        </w:rPr>
      </w:pPr>
    </w:p>
    <w:p w14:paraId="641D454A" w14:textId="77777777" w:rsidR="00FD3C9E" w:rsidRPr="00CD59CC" w:rsidRDefault="00FD3C9E" w:rsidP="00CD59CC">
      <w:pPr>
        <w:pStyle w:val="BodyText"/>
        <w:rPr>
          <w:rFonts w:ascii="Arial" w:hAnsi="Arial" w:cs="Arial"/>
          <w:iCs w:val="0"/>
          <w:lang w:val="en-GB"/>
        </w:rPr>
      </w:pPr>
      <w:r w:rsidRPr="00CD59CC">
        <w:rPr>
          <w:rFonts w:ascii="Arial" w:hAnsi="Arial" w:cs="Arial"/>
          <w:i w:val="0"/>
          <w:iCs w:val="0"/>
          <w:lang w:val="en-GB"/>
        </w:rPr>
        <w:t>Not</w:t>
      </w:r>
      <w:r w:rsidR="007B7640" w:rsidRPr="00CD59CC">
        <w:rPr>
          <w:rFonts w:ascii="Arial" w:hAnsi="Arial" w:cs="Arial"/>
          <w:i w:val="0"/>
          <w:iCs w:val="0"/>
          <w:lang w:val="en-GB"/>
        </w:rPr>
        <w:t xml:space="preserve"> </w:t>
      </w:r>
      <w:r w:rsidRPr="00CD59CC">
        <w:rPr>
          <w:rFonts w:ascii="Arial" w:hAnsi="Arial" w:cs="Arial"/>
          <w:i w:val="0"/>
          <w:iCs w:val="0"/>
          <w:lang w:val="en-GB"/>
        </w:rPr>
        <w:t>applicable.</w:t>
      </w:r>
      <w:r w:rsidR="007B7640" w:rsidRPr="00CD59CC">
        <w:rPr>
          <w:rFonts w:ascii="Arial" w:hAnsi="Arial" w:cs="Arial"/>
          <w:iCs w:val="0"/>
          <w:lang w:val="en-GB"/>
        </w:rPr>
        <w:t xml:space="preserve"> </w:t>
      </w:r>
    </w:p>
    <w:p w14:paraId="51F825E9" w14:textId="77777777" w:rsidR="002B5BCD" w:rsidRPr="00BB4E9F" w:rsidRDefault="002B5BCD" w:rsidP="00BB4E9F">
      <w:pPr>
        <w:pStyle w:val="BodyText"/>
        <w:ind w:left="567" w:hanging="567"/>
        <w:rPr>
          <w:rFonts w:ascii="Arial" w:hAnsi="Arial"/>
          <w:i w:val="0"/>
          <w:lang w:val="en-GB"/>
        </w:rPr>
      </w:pPr>
    </w:p>
    <w:p w14:paraId="37D3496A" w14:textId="77777777" w:rsidR="002B5BCD" w:rsidRPr="00CD59CC" w:rsidRDefault="002B5BCD" w:rsidP="00CD59CC">
      <w:pPr>
        <w:pStyle w:val="BodyText"/>
        <w:numPr>
          <w:ilvl w:val="0"/>
          <w:numId w:val="9"/>
        </w:numPr>
        <w:ind w:left="567" w:hanging="567"/>
        <w:rPr>
          <w:rFonts w:ascii="Arial" w:hAnsi="Arial" w:cs="Arial"/>
          <w:iCs w:val="0"/>
          <w:lang w:val="en-GB"/>
        </w:rPr>
      </w:pPr>
      <w:r w:rsidRPr="00CD59CC">
        <w:rPr>
          <w:rFonts w:ascii="Arial" w:hAnsi="Arial" w:cs="Arial"/>
          <w:iCs w:val="0"/>
          <w:lang w:val="en-GB"/>
        </w:rPr>
        <w:t>Is</w:t>
      </w:r>
      <w:r w:rsidR="007B7640" w:rsidRPr="00CD59CC">
        <w:rPr>
          <w:rFonts w:ascii="Arial" w:hAnsi="Arial" w:cs="Arial"/>
          <w:iCs w:val="0"/>
          <w:lang w:val="en-GB"/>
        </w:rPr>
        <w:t xml:space="preserve"> </w:t>
      </w:r>
      <w:r w:rsidRPr="00CD59CC">
        <w:rPr>
          <w:rFonts w:ascii="Arial" w:hAnsi="Arial" w:cs="Arial"/>
          <w:iCs w:val="0"/>
          <w:lang w:val="en-GB"/>
        </w:rPr>
        <w:t>it</w:t>
      </w:r>
      <w:r w:rsidR="007B7640" w:rsidRPr="00CD59CC">
        <w:rPr>
          <w:rFonts w:ascii="Arial" w:hAnsi="Arial" w:cs="Arial"/>
          <w:iCs w:val="0"/>
          <w:lang w:val="en-GB"/>
        </w:rPr>
        <w:t xml:space="preserve"> </w:t>
      </w:r>
      <w:r w:rsidRPr="00CD59CC">
        <w:rPr>
          <w:rFonts w:ascii="Arial" w:hAnsi="Arial" w:cs="Arial"/>
          <w:iCs w:val="0"/>
          <w:lang w:val="en-GB"/>
        </w:rPr>
        <w:t>common</w:t>
      </w:r>
      <w:r w:rsidR="007B7640" w:rsidRPr="00CD59CC">
        <w:rPr>
          <w:rFonts w:ascii="Arial" w:hAnsi="Arial" w:cs="Arial"/>
          <w:iCs w:val="0"/>
          <w:lang w:val="en-GB"/>
        </w:rPr>
        <w:t xml:space="preserve"> </w:t>
      </w:r>
      <w:r w:rsidRPr="00CD59CC">
        <w:rPr>
          <w:rFonts w:ascii="Arial" w:hAnsi="Arial" w:cs="Arial"/>
          <w:iCs w:val="0"/>
          <w:lang w:val="en-GB"/>
        </w:rPr>
        <w:t>practice</w:t>
      </w:r>
      <w:r w:rsidR="007B7640" w:rsidRPr="00CD59CC">
        <w:rPr>
          <w:rFonts w:ascii="Arial" w:hAnsi="Arial" w:cs="Arial"/>
          <w:iCs w:val="0"/>
          <w:lang w:val="en-GB"/>
        </w:rPr>
        <w:t xml:space="preserve"> </w:t>
      </w:r>
      <w:r w:rsidRPr="00CD59CC">
        <w:rPr>
          <w:rFonts w:ascii="Arial" w:hAnsi="Arial" w:cs="Arial"/>
          <w:iCs w:val="0"/>
          <w:lang w:val="en-GB"/>
        </w:rPr>
        <w:t>to</w:t>
      </w:r>
      <w:r w:rsidR="007B7640" w:rsidRPr="00CD59CC">
        <w:rPr>
          <w:rFonts w:ascii="Arial" w:hAnsi="Arial" w:cs="Arial"/>
          <w:iCs w:val="0"/>
          <w:lang w:val="en-GB"/>
        </w:rPr>
        <w:t xml:space="preserve"> </w:t>
      </w:r>
      <w:r w:rsidRPr="00CD59CC">
        <w:rPr>
          <w:rFonts w:ascii="Arial" w:hAnsi="Arial" w:cs="Arial"/>
          <w:iCs w:val="0"/>
          <w:lang w:val="en-GB"/>
        </w:rPr>
        <w:t>provide</w:t>
      </w:r>
      <w:r w:rsidR="007B7640" w:rsidRPr="00CD59CC">
        <w:rPr>
          <w:rFonts w:ascii="Arial" w:hAnsi="Arial" w:cs="Arial"/>
          <w:iCs w:val="0"/>
          <w:lang w:val="en-GB"/>
        </w:rPr>
        <w:t xml:space="preserve"> </w:t>
      </w:r>
      <w:r w:rsidRPr="00CD59CC">
        <w:rPr>
          <w:rFonts w:ascii="Arial" w:hAnsi="Arial" w:cs="Arial"/>
          <w:iCs w:val="0"/>
          <w:lang w:val="en-GB"/>
        </w:rPr>
        <w:t>for</w:t>
      </w:r>
      <w:r w:rsidR="007B7640" w:rsidRPr="00CD59CC">
        <w:rPr>
          <w:rFonts w:ascii="Arial" w:hAnsi="Arial" w:cs="Arial"/>
          <w:iCs w:val="0"/>
          <w:lang w:val="en-GB"/>
        </w:rPr>
        <w:t xml:space="preserve"> </w:t>
      </w:r>
      <w:r w:rsidRPr="00CD59CC">
        <w:rPr>
          <w:rFonts w:ascii="Arial" w:hAnsi="Arial" w:cs="Arial"/>
          <w:iCs w:val="0"/>
          <w:lang w:val="en-GB"/>
        </w:rPr>
        <w:t>reasonable</w:t>
      </w:r>
      <w:r w:rsidR="007B7640" w:rsidRPr="00CD59CC">
        <w:rPr>
          <w:rFonts w:ascii="Arial" w:hAnsi="Arial" w:cs="Arial"/>
          <w:iCs w:val="0"/>
          <w:lang w:val="en-GB"/>
        </w:rPr>
        <w:t xml:space="preserve"> </w:t>
      </w:r>
      <w:r w:rsidRPr="00CD59CC">
        <w:rPr>
          <w:rFonts w:ascii="Arial" w:hAnsi="Arial" w:cs="Arial"/>
          <w:iCs w:val="0"/>
          <w:lang w:val="en-GB"/>
        </w:rPr>
        <w:t>accommodation</w:t>
      </w:r>
      <w:r w:rsidR="007B7640" w:rsidRPr="00CD59CC">
        <w:rPr>
          <w:rFonts w:ascii="Arial" w:hAnsi="Arial" w:cs="Arial"/>
          <w:iCs w:val="0"/>
          <w:lang w:val="en-GB"/>
        </w:rPr>
        <w:t xml:space="preserve"> </w:t>
      </w:r>
      <w:r w:rsidRPr="00CD59CC">
        <w:rPr>
          <w:rFonts w:ascii="Arial" w:hAnsi="Arial" w:cs="Arial"/>
          <w:iCs w:val="0"/>
          <w:lang w:val="en-GB"/>
        </w:rPr>
        <w:t>for</w:t>
      </w:r>
      <w:r w:rsidR="007B7640" w:rsidRPr="00CD59CC">
        <w:rPr>
          <w:rFonts w:ascii="Arial" w:hAnsi="Arial" w:cs="Arial"/>
          <w:iCs w:val="0"/>
          <w:lang w:val="en-GB"/>
        </w:rPr>
        <w:t xml:space="preserve"> </w:t>
      </w:r>
      <w:r w:rsidRPr="00CD59CC">
        <w:rPr>
          <w:rFonts w:ascii="Arial" w:hAnsi="Arial" w:cs="Arial"/>
          <w:iCs w:val="0"/>
          <w:lang w:val="en-GB"/>
        </w:rPr>
        <w:t>other</w:t>
      </w:r>
      <w:r w:rsidR="007B7640" w:rsidRPr="00CD59CC">
        <w:rPr>
          <w:rFonts w:ascii="Arial" w:hAnsi="Arial" w:cs="Arial"/>
          <w:iCs w:val="0"/>
          <w:lang w:val="en-GB"/>
        </w:rPr>
        <w:t xml:space="preserve"> </w:t>
      </w:r>
      <w:r w:rsidRPr="00CD59CC">
        <w:rPr>
          <w:rFonts w:ascii="Arial" w:hAnsi="Arial" w:cs="Arial"/>
          <w:iCs w:val="0"/>
          <w:lang w:val="en-GB"/>
        </w:rPr>
        <w:t>grounds</w:t>
      </w:r>
      <w:r w:rsidR="007B7640" w:rsidRPr="00CD59CC">
        <w:rPr>
          <w:rFonts w:ascii="Arial" w:hAnsi="Arial" w:cs="Arial"/>
          <w:iCs w:val="0"/>
          <w:lang w:val="en-GB"/>
        </w:rPr>
        <w:t xml:space="preserve"> </w:t>
      </w:r>
      <w:r w:rsidRPr="00CD59CC">
        <w:rPr>
          <w:rFonts w:ascii="Arial" w:hAnsi="Arial" w:cs="Arial"/>
          <w:iCs w:val="0"/>
          <w:lang w:val="en-GB"/>
        </w:rPr>
        <w:t>than</w:t>
      </w:r>
      <w:r w:rsidR="007B7640" w:rsidRPr="00CD59CC">
        <w:rPr>
          <w:rFonts w:ascii="Arial" w:hAnsi="Arial" w:cs="Arial"/>
          <w:iCs w:val="0"/>
          <w:lang w:val="en-GB"/>
        </w:rPr>
        <w:t xml:space="preserve"> </w:t>
      </w:r>
      <w:r w:rsidRPr="00CD59CC">
        <w:rPr>
          <w:rFonts w:ascii="Arial" w:hAnsi="Arial" w:cs="Arial"/>
          <w:iCs w:val="0"/>
          <w:lang w:val="en-GB"/>
        </w:rPr>
        <w:t>disability</w:t>
      </w:r>
      <w:r w:rsidR="007B7640" w:rsidRPr="00CD59CC">
        <w:rPr>
          <w:rFonts w:ascii="Arial" w:hAnsi="Arial" w:cs="Arial"/>
          <w:iCs w:val="0"/>
          <w:lang w:val="en-GB"/>
        </w:rPr>
        <w:t xml:space="preserve"> </w:t>
      </w:r>
      <w:r w:rsidRPr="00CD59CC">
        <w:rPr>
          <w:rFonts w:ascii="Arial" w:hAnsi="Arial" w:cs="Arial"/>
          <w:iCs w:val="0"/>
          <w:lang w:val="en-GB"/>
        </w:rPr>
        <w:t>in</w:t>
      </w:r>
      <w:r w:rsidR="007B7640" w:rsidRPr="00CD59CC">
        <w:rPr>
          <w:rFonts w:ascii="Arial" w:hAnsi="Arial" w:cs="Arial"/>
          <w:iCs w:val="0"/>
          <w:lang w:val="en-GB"/>
        </w:rPr>
        <w:t xml:space="preserve"> </w:t>
      </w:r>
      <w:r w:rsidRPr="00CD59CC">
        <w:rPr>
          <w:rFonts w:ascii="Arial" w:hAnsi="Arial" w:cs="Arial"/>
          <w:iCs w:val="0"/>
          <w:lang w:val="en-GB"/>
        </w:rPr>
        <w:t>the</w:t>
      </w:r>
      <w:r w:rsidR="007B7640" w:rsidRPr="00CD59CC">
        <w:rPr>
          <w:rFonts w:ascii="Arial" w:hAnsi="Arial" w:cs="Arial"/>
          <w:iCs w:val="0"/>
          <w:lang w:val="en-GB"/>
        </w:rPr>
        <w:t xml:space="preserve"> </w:t>
      </w:r>
      <w:r w:rsidRPr="00CD59CC">
        <w:rPr>
          <w:rFonts w:ascii="Arial" w:hAnsi="Arial" w:cs="Arial"/>
          <w:iCs w:val="0"/>
          <w:lang w:val="en-GB"/>
        </w:rPr>
        <w:t>public</w:t>
      </w:r>
      <w:r w:rsidR="007B7640" w:rsidRPr="00CD59CC">
        <w:rPr>
          <w:rFonts w:ascii="Arial" w:hAnsi="Arial" w:cs="Arial"/>
          <w:iCs w:val="0"/>
          <w:lang w:val="en-GB"/>
        </w:rPr>
        <w:t xml:space="preserve"> </w:t>
      </w:r>
      <w:r w:rsidRPr="00CD59CC">
        <w:rPr>
          <w:rFonts w:ascii="Arial" w:hAnsi="Arial" w:cs="Arial"/>
          <w:iCs w:val="0"/>
          <w:lang w:val="en-GB"/>
        </w:rPr>
        <w:t>or</w:t>
      </w:r>
      <w:r w:rsidR="007B7640" w:rsidRPr="00CD59CC">
        <w:rPr>
          <w:rFonts w:ascii="Arial" w:hAnsi="Arial" w:cs="Arial"/>
          <w:iCs w:val="0"/>
          <w:lang w:val="en-GB"/>
        </w:rPr>
        <w:t xml:space="preserve"> </w:t>
      </w:r>
      <w:r w:rsidRPr="00CD59CC">
        <w:rPr>
          <w:rFonts w:ascii="Arial" w:hAnsi="Arial" w:cs="Arial"/>
          <w:iCs w:val="0"/>
          <w:lang w:val="en-GB"/>
        </w:rPr>
        <w:t>private</w:t>
      </w:r>
      <w:r w:rsidR="007B7640" w:rsidRPr="00CD59CC">
        <w:rPr>
          <w:rFonts w:ascii="Arial" w:hAnsi="Arial" w:cs="Arial"/>
          <w:iCs w:val="0"/>
          <w:lang w:val="en-GB"/>
        </w:rPr>
        <w:t xml:space="preserve"> </w:t>
      </w:r>
      <w:r w:rsidRPr="00CD59CC">
        <w:rPr>
          <w:rFonts w:ascii="Arial" w:hAnsi="Arial" w:cs="Arial"/>
          <w:iCs w:val="0"/>
          <w:lang w:val="en-GB"/>
        </w:rPr>
        <w:t>sector?</w:t>
      </w:r>
    </w:p>
    <w:p w14:paraId="3FB44552" w14:textId="77777777" w:rsidR="002B5BCD" w:rsidRPr="00CD59CC" w:rsidRDefault="002B5BCD" w:rsidP="00BB4E9F">
      <w:pPr>
        <w:pStyle w:val="BodyText"/>
        <w:ind w:left="360"/>
        <w:rPr>
          <w:rFonts w:ascii="Arial" w:hAnsi="Arial" w:cs="Arial"/>
          <w:i w:val="0"/>
          <w:iCs w:val="0"/>
          <w:lang w:val="en-GB"/>
        </w:rPr>
      </w:pPr>
    </w:p>
    <w:p w14:paraId="01D41E27" w14:textId="77777777" w:rsidR="00FD3C9E" w:rsidRPr="00CD59CC" w:rsidRDefault="00FD3C9E" w:rsidP="00CD59CC">
      <w:pPr>
        <w:pStyle w:val="BodyText"/>
        <w:rPr>
          <w:rFonts w:ascii="Arial" w:hAnsi="Arial" w:cs="Arial"/>
          <w:i w:val="0"/>
          <w:lang w:val="en-GB"/>
        </w:rPr>
      </w:pPr>
      <w:r w:rsidRPr="00CD59CC">
        <w:rPr>
          <w:rFonts w:ascii="Arial" w:hAnsi="Arial" w:cs="Arial"/>
          <w:i w:val="0"/>
          <w:iCs w:val="0"/>
          <w:lang w:val="en-GB"/>
        </w:rPr>
        <w:t>No,</w:t>
      </w:r>
      <w:r w:rsidR="007B7640" w:rsidRPr="00CD59CC">
        <w:rPr>
          <w:rFonts w:ascii="Arial" w:hAnsi="Arial" w:cs="Arial"/>
          <w:i w:val="0"/>
          <w:iCs w:val="0"/>
          <w:lang w:val="en-GB"/>
        </w:rPr>
        <w:t xml:space="preserve"> </w:t>
      </w:r>
      <w:r w:rsidRPr="00CD59CC">
        <w:rPr>
          <w:rFonts w:ascii="Arial" w:hAnsi="Arial" w:cs="Arial"/>
          <w:i w:val="0"/>
          <w:iCs w:val="0"/>
          <w:lang w:val="en-GB"/>
        </w:rPr>
        <w:t>it</w:t>
      </w:r>
      <w:r w:rsidR="007B7640" w:rsidRPr="00CD59CC">
        <w:rPr>
          <w:rFonts w:ascii="Arial" w:hAnsi="Arial" w:cs="Arial"/>
          <w:i w:val="0"/>
          <w:iCs w:val="0"/>
          <w:lang w:val="en-GB"/>
        </w:rPr>
        <w:t xml:space="preserve"> </w:t>
      </w:r>
      <w:r w:rsidRPr="00CD59CC">
        <w:rPr>
          <w:rFonts w:ascii="Arial" w:hAnsi="Arial" w:cs="Arial"/>
          <w:i w:val="0"/>
          <w:iCs w:val="0"/>
          <w:lang w:val="en-GB"/>
        </w:rPr>
        <w:t>is</w:t>
      </w:r>
      <w:r w:rsidR="007B7640" w:rsidRPr="00CD59CC">
        <w:rPr>
          <w:rFonts w:ascii="Arial" w:hAnsi="Arial" w:cs="Arial"/>
          <w:i w:val="0"/>
          <w:iCs w:val="0"/>
          <w:lang w:val="en-GB"/>
        </w:rPr>
        <w:t xml:space="preserve"> </w:t>
      </w:r>
      <w:r w:rsidRPr="00CD59CC">
        <w:rPr>
          <w:rFonts w:ascii="Arial" w:hAnsi="Arial" w:cs="Arial"/>
          <w:i w:val="0"/>
          <w:iCs w:val="0"/>
          <w:lang w:val="en-GB"/>
        </w:rPr>
        <w:t>not</w:t>
      </w:r>
      <w:r w:rsidRPr="00CD59CC">
        <w:rPr>
          <w:rFonts w:ascii="Arial" w:hAnsi="Arial" w:cs="Arial"/>
          <w:i w:val="0"/>
          <w:lang w:val="en-GB"/>
        </w:rPr>
        <w:t>.</w:t>
      </w:r>
    </w:p>
    <w:p w14:paraId="41957CF5" w14:textId="77777777" w:rsidR="00FD3C9E" w:rsidRPr="00CD59CC" w:rsidRDefault="00FD3C9E" w:rsidP="00BB4E9F">
      <w:pPr>
        <w:pStyle w:val="BodyText"/>
        <w:ind w:left="360"/>
        <w:rPr>
          <w:rFonts w:ascii="Arial" w:hAnsi="Arial" w:cs="Arial"/>
          <w:i w:val="0"/>
          <w:iCs w:val="0"/>
          <w:lang w:val="en-GB"/>
        </w:rPr>
      </w:pPr>
    </w:p>
    <w:p w14:paraId="1EE7A517" w14:textId="77777777" w:rsidR="002B5BCD" w:rsidRPr="00CD59CC" w:rsidRDefault="002B5BCD" w:rsidP="00CD59CC">
      <w:pPr>
        <w:pStyle w:val="BodyText"/>
        <w:numPr>
          <w:ilvl w:val="0"/>
          <w:numId w:val="9"/>
        </w:numPr>
        <w:ind w:left="567" w:hanging="567"/>
        <w:rPr>
          <w:rFonts w:ascii="Arial" w:hAnsi="Arial" w:cs="Arial"/>
          <w:iCs w:val="0"/>
          <w:lang w:val="en-GB"/>
        </w:rPr>
      </w:pPr>
      <w:r w:rsidRPr="00CD59CC">
        <w:rPr>
          <w:rFonts w:ascii="Arial" w:hAnsi="Arial" w:cs="Arial"/>
          <w:iCs w:val="0"/>
          <w:lang w:val="en-GB"/>
        </w:rPr>
        <w:t>Does</w:t>
      </w:r>
      <w:r w:rsidR="007B7640" w:rsidRPr="00CD59CC">
        <w:rPr>
          <w:rFonts w:ascii="Arial" w:hAnsi="Arial" w:cs="Arial"/>
          <w:iCs w:val="0"/>
          <w:lang w:val="en-GB"/>
        </w:rPr>
        <w:t xml:space="preserve"> </w:t>
      </w:r>
      <w:r w:rsidRPr="00CD59CC">
        <w:rPr>
          <w:rFonts w:ascii="Arial" w:hAnsi="Arial" w:cs="Arial"/>
          <w:iCs w:val="0"/>
          <w:lang w:val="en-GB"/>
        </w:rPr>
        <w:t>national</w:t>
      </w:r>
      <w:r w:rsidR="007B7640" w:rsidRPr="00CD59CC">
        <w:rPr>
          <w:rFonts w:ascii="Arial" w:hAnsi="Arial" w:cs="Arial"/>
          <w:iCs w:val="0"/>
          <w:lang w:val="en-GB"/>
        </w:rPr>
        <w:t xml:space="preserve"> </w:t>
      </w:r>
      <w:r w:rsidRPr="00CD59CC">
        <w:rPr>
          <w:rFonts w:ascii="Arial" w:hAnsi="Arial" w:cs="Arial"/>
          <w:iCs w:val="0"/>
          <w:lang w:val="en-GB"/>
        </w:rPr>
        <w:t>law</w:t>
      </w:r>
      <w:r w:rsidR="007B7640" w:rsidRPr="00CD59CC">
        <w:rPr>
          <w:rFonts w:ascii="Arial" w:hAnsi="Arial" w:cs="Arial"/>
          <w:iCs w:val="0"/>
          <w:lang w:val="en-GB"/>
        </w:rPr>
        <w:t xml:space="preserve"> </w:t>
      </w:r>
      <w:r w:rsidRPr="00CD59CC">
        <w:rPr>
          <w:rFonts w:ascii="Arial" w:hAnsi="Arial" w:cs="Arial"/>
          <w:iCs w:val="0"/>
          <w:lang w:val="en-GB"/>
        </w:rPr>
        <w:t>clearly</w:t>
      </w:r>
      <w:r w:rsidR="007B7640" w:rsidRPr="00CD59CC">
        <w:rPr>
          <w:rFonts w:ascii="Arial" w:hAnsi="Arial" w:cs="Arial"/>
          <w:iCs w:val="0"/>
          <w:lang w:val="en-GB"/>
        </w:rPr>
        <w:t xml:space="preserve"> </w:t>
      </w:r>
      <w:r w:rsidRPr="00CD59CC">
        <w:rPr>
          <w:rFonts w:ascii="Arial" w:hAnsi="Arial" w:cs="Arial"/>
          <w:iCs w:val="0"/>
          <w:lang w:val="en-GB"/>
        </w:rPr>
        <w:t>provide</w:t>
      </w:r>
      <w:r w:rsidR="007B7640" w:rsidRPr="00CD59CC">
        <w:rPr>
          <w:rFonts w:ascii="Arial" w:hAnsi="Arial" w:cs="Arial"/>
          <w:iCs w:val="0"/>
          <w:lang w:val="en-GB"/>
        </w:rPr>
        <w:t xml:space="preserve"> </w:t>
      </w:r>
      <w:r w:rsidRPr="00CD59CC">
        <w:rPr>
          <w:rFonts w:ascii="Arial" w:hAnsi="Arial" w:cs="Arial"/>
          <w:iCs w:val="0"/>
          <w:lang w:val="en-GB"/>
        </w:rPr>
        <w:t>for</w:t>
      </w:r>
      <w:r w:rsidR="007B7640" w:rsidRPr="00CD59CC">
        <w:rPr>
          <w:rFonts w:ascii="Arial" w:hAnsi="Arial" w:cs="Arial"/>
          <w:iCs w:val="0"/>
          <w:lang w:val="en-GB"/>
        </w:rPr>
        <w:t xml:space="preserve"> </w:t>
      </w:r>
      <w:r w:rsidRPr="00CD59CC">
        <w:rPr>
          <w:rFonts w:ascii="Arial" w:hAnsi="Arial" w:cs="Arial"/>
          <w:iCs w:val="0"/>
          <w:lang w:val="en-GB"/>
        </w:rPr>
        <w:t>the</w:t>
      </w:r>
      <w:r w:rsidR="007B7640" w:rsidRPr="00CD59CC">
        <w:rPr>
          <w:rFonts w:ascii="Arial" w:hAnsi="Arial" w:cs="Arial"/>
          <w:iCs w:val="0"/>
          <w:lang w:val="en-GB"/>
        </w:rPr>
        <w:t xml:space="preserve"> </w:t>
      </w:r>
      <w:r w:rsidRPr="00CD59CC">
        <w:rPr>
          <w:rFonts w:ascii="Arial" w:hAnsi="Arial" w:cs="Arial"/>
          <w:iCs w:val="0"/>
          <w:lang w:val="en-GB"/>
        </w:rPr>
        <w:t>shift</w:t>
      </w:r>
      <w:r w:rsidR="007B7640" w:rsidRPr="00CD59CC">
        <w:rPr>
          <w:rFonts w:ascii="Arial" w:hAnsi="Arial" w:cs="Arial"/>
          <w:iCs w:val="0"/>
          <w:lang w:val="en-GB"/>
        </w:rPr>
        <w:t xml:space="preserve"> </w:t>
      </w:r>
      <w:r w:rsidRPr="00CD59CC">
        <w:rPr>
          <w:rFonts w:ascii="Arial" w:hAnsi="Arial" w:cs="Arial"/>
          <w:iCs w:val="0"/>
          <w:lang w:val="en-GB"/>
        </w:rPr>
        <w:t>of</w:t>
      </w:r>
      <w:r w:rsidR="007B7640" w:rsidRPr="00CD59CC">
        <w:rPr>
          <w:rFonts w:ascii="Arial" w:hAnsi="Arial" w:cs="Arial"/>
          <w:iCs w:val="0"/>
          <w:lang w:val="en-GB"/>
        </w:rPr>
        <w:t xml:space="preserve"> </w:t>
      </w:r>
      <w:r w:rsidRPr="00CD59CC">
        <w:rPr>
          <w:rFonts w:ascii="Arial" w:hAnsi="Arial" w:cs="Arial"/>
          <w:iCs w:val="0"/>
          <w:lang w:val="en-GB"/>
        </w:rPr>
        <w:t>the</w:t>
      </w:r>
      <w:r w:rsidR="007B7640" w:rsidRPr="00CD59CC">
        <w:rPr>
          <w:rFonts w:ascii="Arial" w:hAnsi="Arial" w:cs="Arial"/>
          <w:iCs w:val="0"/>
          <w:lang w:val="en-GB"/>
        </w:rPr>
        <w:t xml:space="preserve"> </w:t>
      </w:r>
      <w:r w:rsidRPr="00CD59CC">
        <w:rPr>
          <w:rFonts w:ascii="Arial" w:hAnsi="Arial" w:cs="Arial"/>
          <w:iCs w:val="0"/>
          <w:lang w:val="en-GB"/>
        </w:rPr>
        <w:t>burden</w:t>
      </w:r>
      <w:r w:rsidR="007B7640" w:rsidRPr="00CD59CC">
        <w:rPr>
          <w:rFonts w:ascii="Arial" w:hAnsi="Arial" w:cs="Arial"/>
          <w:iCs w:val="0"/>
          <w:lang w:val="en-GB"/>
        </w:rPr>
        <w:t xml:space="preserve"> </w:t>
      </w:r>
      <w:r w:rsidRPr="00CD59CC">
        <w:rPr>
          <w:rFonts w:ascii="Arial" w:hAnsi="Arial" w:cs="Arial"/>
          <w:iCs w:val="0"/>
          <w:lang w:val="en-GB"/>
        </w:rPr>
        <w:t>of</w:t>
      </w:r>
      <w:r w:rsidR="007B7640" w:rsidRPr="00CD59CC">
        <w:rPr>
          <w:rFonts w:ascii="Arial" w:hAnsi="Arial" w:cs="Arial"/>
          <w:iCs w:val="0"/>
          <w:lang w:val="en-GB"/>
        </w:rPr>
        <w:t xml:space="preserve"> </w:t>
      </w:r>
      <w:r w:rsidRPr="00CD59CC">
        <w:rPr>
          <w:rFonts w:ascii="Arial" w:hAnsi="Arial" w:cs="Arial"/>
          <w:iCs w:val="0"/>
          <w:lang w:val="en-GB"/>
        </w:rPr>
        <w:t>proof,</w:t>
      </w:r>
      <w:r w:rsidR="007B7640" w:rsidRPr="00CD59CC">
        <w:rPr>
          <w:rFonts w:ascii="Arial" w:hAnsi="Arial" w:cs="Arial"/>
          <w:iCs w:val="0"/>
          <w:lang w:val="en-GB"/>
        </w:rPr>
        <w:t xml:space="preserve"> </w:t>
      </w:r>
      <w:r w:rsidRPr="00CD59CC">
        <w:rPr>
          <w:rFonts w:ascii="Arial" w:hAnsi="Arial" w:cs="Arial"/>
          <w:iCs w:val="0"/>
          <w:lang w:val="en-GB"/>
        </w:rPr>
        <w:t>when</w:t>
      </w:r>
      <w:r w:rsidR="007B7640" w:rsidRPr="00CD59CC">
        <w:rPr>
          <w:rFonts w:ascii="Arial" w:hAnsi="Arial" w:cs="Arial"/>
          <w:iCs w:val="0"/>
          <w:lang w:val="en-GB"/>
        </w:rPr>
        <w:t xml:space="preserve"> </w:t>
      </w:r>
      <w:r w:rsidRPr="00CD59CC">
        <w:rPr>
          <w:rFonts w:ascii="Arial" w:hAnsi="Arial" w:cs="Arial"/>
          <w:iCs w:val="0"/>
          <w:lang w:val="en-GB"/>
        </w:rPr>
        <w:t>claiming</w:t>
      </w:r>
      <w:r w:rsidR="007B7640" w:rsidRPr="00CD59CC">
        <w:rPr>
          <w:rFonts w:ascii="Arial" w:hAnsi="Arial" w:cs="Arial"/>
          <w:iCs w:val="0"/>
          <w:lang w:val="en-GB"/>
        </w:rPr>
        <w:t xml:space="preserve"> </w:t>
      </w:r>
      <w:r w:rsidRPr="00CD59CC">
        <w:rPr>
          <w:rFonts w:ascii="Arial" w:hAnsi="Arial" w:cs="Arial"/>
          <w:iCs w:val="0"/>
          <w:lang w:val="en-GB"/>
        </w:rPr>
        <w:t>the</w:t>
      </w:r>
      <w:r w:rsidR="007B7640" w:rsidRPr="00CD59CC">
        <w:rPr>
          <w:rFonts w:ascii="Arial" w:hAnsi="Arial" w:cs="Arial"/>
          <w:iCs w:val="0"/>
          <w:lang w:val="en-GB"/>
        </w:rPr>
        <w:t xml:space="preserve"> </w:t>
      </w:r>
      <w:r w:rsidRPr="00CD59CC">
        <w:rPr>
          <w:rFonts w:ascii="Arial" w:hAnsi="Arial" w:cs="Arial"/>
          <w:iCs w:val="0"/>
          <w:lang w:val="en-GB"/>
        </w:rPr>
        <w:t>right</w:t>
      </w:r>
      <w:r w:rsidR="007B7640" w:rsidRPr="00CD59CC">
        <w:rPr>
          <w:rFonts w:ascii="Arial" w:hAnsi="Arial" w:cs="Arial"/>
          <w:iCs w:val="0"/>
          <w:lang w:val="en-GB"/>
        </w:rPr>
        <w:t xml:space="preserve"> </w:t>
      </w:r>
      <w:r w:rsidRPr="00CD59CC">
        <w:rPr>
          <w:rFonts w:ascii="Arial" w:hAnsi="Arial" w:cs="Arial"/>
          <w:iCs w:val="0"/>
          <w:lang w:val="en-GB"/>
        </w:rPr>
        <w:t>to</w:t>
      </w:r>
      <w:r w:rsidR="007B7640" w:rsidRPr="00CD59CC">
        <w:rPr>
          <w:rFonts w:ascii="Arial" w:hAnsi="Arial" w:cs="Arial"/>
          <w:iCs w:val="0"/>
          <w:lang w:val="en-GB"/>
        </w:rPr>
        <w:t xml:space="preserve"> </w:t>
      </w:r>
      <w:r w:rsidRPr="00CD59CC">
        <w:rPr>
          <w:rFonts w:ascii="Arial" w:hAnsi="Arial" w:cs="Arial"/>
          <w:iCs w:val="0"/>
          <w:lang w:val="en-GB"/>
        </w:rPr>
        <w:t>reasonable</w:t>
      </w:r>
      <w:r w:rsidR="007B7640" w:rsidRPr="00CD59CC">
        <w:rPr>
          <w:rFonts w:ascii="Arial" w:hAnsi="Arial" w:cs="Arial"/>
          <w:iCs w:val="0"/>
          <w:lang w:val="en-GB"/>
        </w:rPr>
        <w:t xml:space="preserve"> </w:t>
      </w:r>
      <w:r w:rsidRPr="00CD59CC">
        <w:rPr>
          <w:rFonts w:ascii="Arial" w:hAnsi="Arial" w:cs="Arial"/>
          <w:iCs w:val="0"/>
          <w:lang w:val="en-GB"/>
        </w:rPr>
        <w:t>accommodation?</w:t>
      </w:r>
    </w:p>
    <w:p w14:paraId="37B524EB" w14:textId="77777777" w:rsidR="002B5BCD" w:rsidRPr="00CD59CC" w:rsidRDefault="002B5BCD" w:rsidP="00CD59CC">
      <w:pPr>
        <w:pStyle w:val="BodyText"/>
        <w:ind w:left="567" w:hanging="567"/>
        <w:rPr>
          <w:rFonts w:ascii="Arial" w:hAnsi="Arial" w:cs="Arial"/>
          <w:i w:val="0"/>
          <w:iCs w:val="0"/>
          <w:lang w:val="en-GB"/>
        </w:rPr>
      </w:pPr>
    </w:p>
    <w:p w14:paraId="3B5622BD" w14:textId="77777777" w:rsidR="00FD3C9E" w:rsidRPr="00CD59CC" w:rsidRDefault="00FD3C9E" w:rsidP="00CD59CC">
      <w:pPr>
        <w:pStyle w:val="BodyText"/>
        <w:rPr>
          <w:rFonts w:ascii="Arial" w:hAnsi="Arial" w:cs="Arial"/>
          <w:i w:val="0"/>
          <w:iCs w:val="0"/>
          <w:lang w:val="en-GB"/>
        </w:rPr>
      </w:pP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answer</w:t>
      </w:r>
      <w:r w:rsidR="007B7640" w:rsidRPr="00CD59CC">
        <w:rPr>
          <w:rFonts w:ascii="Arial" w:hAnsi="Arial" w:cs="Arial"/>
          <w:i w:val="0"/>
          <w:iCs w:val="0"/>
          <w:lang w:val="en-GB"/>
        </w:rPr>
        <w:t xml:space="preserve"> </w:t>
      </w:r>
      <w:r w:rsidRPr="00CD59CC">
        <w:rPr>
          <w:rFonts w:ascii="Arial" w:hAnsi="Arial" w:cs="Arial"/>
          <w:i w:val="0"/>
          <w:iCs w:val="0"/>
          <w:lang w:val="en-GB"/>
        </w:rPr>
        <w:t>to</w:t>
      </w:r>
      <w:r w:rsidR="007B7640" w:rsidRPr="00CD59CC">
        <w:rPr>
          <w:rFonts w:ascii="Arial" w:hAnsi="Arial" w:cs="Arial"/>
          <w:i w:val="0"/>
          <w:iCs w:val="0"/>
          <w:lang w:val="en-GB"/>
        </w:rPr>
        <w:t xml:space="preserve"> </w:t>
      </w:r>
      <w:r w:rsidRPr="00CD59CC">
        <w:rPr>
          <w:rFonts w:ascii="Arial" w:hAnsi="Arial" w:cs="Arial"/>
          <w:i w:val="0"/>
          <w:iCs w:val="0"/>
          <w:lang w:val="en-GB"/>
        </w:rPr>
        <w:t>this</w:t>
      </w:r>
      <w:r w:rsidR="007B7640" w:rsidRPr="00CD59CC">
        <w:rPr>
          <w:rFonts w:ascii="Arial" w:hAnsi="Arial" w:cs="Arial"/>
          <w:i w:val="0"/>
          <w:iCs w:val="0"/>
          <w:lang w:val="en-GB"/>
        </w:rPr>
        <w:t xml:space="preserve"> </w:t>
      </w:r>
      <w:r w:rsidRPr="00CD59CC">
        <w:rPr>
          <w:rFonts w:ascii="Arial" w:hAnsi="Arial" w:cs="Arial"/>
          <w:i w:val="0"/>
          <w:iCs w:val="0"/>
          <w:lang w:val="en-GB"/>
        </w:rPr>
        <w:t>question</w:t>
      </w:r>
      <w:r w:rsidR="007B7640" w:rsidRPr="00CD59CC">
        <w:rPr>
          <w:rFonts w:ascii="Arial" w:hAnsi="Arial" w:cs="Arial"/>
          <w:i w:val="0"/>
          <w:iCs w:val="0"/>
          <w:lang w:val="en-GB"/>
        </w:rPr>
        <w:t xml:space="preserve"> </w:t>
      </w:r>
      <w:r w:rsidRPr="00CD59CC">
        <w:rPr>
          <w:rFonts w:ascii="Arial" w:hAnsi="Arial" w:cs="Arial"/>
          <w:i w:val="0"/>
          <w:iCs w:val="0"/>
          <w:lang w:val="en-GB"/>
        </w:rPr>
        <w:t>is</w:t>
      </w:r>
      <w:r w:rsidR="007B7640" w:rsidRPr="00CD59CC">
        <w:rPr>
          <w:rFonts w:ascii="Arial" w:hAnsi="Arial" w:cs="Arial"/>
          <w:i w:val="0"/>
          <w:iCs w:val="0"/>
          <w:lang w:val="en-GB"/>
        </w:rPr>
        <w:t xml:space="preserve"> </w:t>
      </w:r>
      <w:r w:rsidRPr="00CD59CC">
        <w:rPr>
          <w:rFonts w:ascii="Arial" w:hAnsi="Arial" w:cs="Arial"/>
          <w:i w:val="0"/>
          <w:iCs w:val="0"/>
          <w:lang w:val="en-GB"/>
        </w:rPr>
        <w:t>definite</w:t>
      </w:r>
      <w:r w:rsidR="007B7640" w:rsidRPr="00CD59CC">
        <w:rPr>
          <w:rFonts w:ascii="Arial" w:hAnsi="Arial" w:cs="Arial"/>
          <w:i w:val="0"/>
          <w:iCs w:val="0"/>
          <w:lang w:val="en-GB"/>
        </w:rPr>
        <w:t xml:space="preserve"> </w:t>
      </w:r>
      <w:r w:rsidRPr="00CD59CC">
        <w:rPr>
          <w:rFonts w:ascii="Arial" w:hAnsi="Arial" w:cs="Arial"/>
          <w:i w:val="0"/>
          <w:iCs w:val="0"/>
          <w:lang w:val="en-GB"/>
        </w:rPr>
        <w:t>‘no’.</w:t>
      </w:r>
      <w:r w:rsidR="007B7640" w:rsidRPr="00CD59CC">
        <w:rPr>
          <w:rFonts w:ascii="Arial" w:hAnsi="Arial" w:cs="Arial"/>
          <w:i w:val="0"/>
          <w:iCs w:val="0"/>
          <w:lang w:val="en-GB"/>
        </w:rPr>
        <w:t xml:space="preserve"> </w:t>
      </w:r>
      <w:r w:rsidRPr="00CD59CC">
        <w:rPr>
          <w:rFonts w:ascii="Arial" w:hAnsi="Arial" w:cs="Arial"/>
          <w:i w:val="0"/>
          <w:iCs w:val="0"/>
          <w:lang w:val="en-GB"/>
        </w:rPr>
        <w:t>As</w:t>
      </w:r>
      <w:r w:rsidR="007B7640" w:rsidRPr="00CD59CC">
        <w:rPr>
          <w:rFonts w:ascii="Arial" w:hAnsi="Arial" w:cs="Arial"/>
          <w:i w:val="0"/>
          <w:iCs w:val="0"/>
          <w:lang w:val="en-GB"/>
        </w:rPr>
        <w:t xml:space="preserve"> </w:t>
      </w:r>
      <w:r w:rsidRPr="00CD59CC">
        <w:rPr>
          <w:rFonts w:ascii="Arial" w:hAnsi="Arial" w:cs="Arial"/>
          <w:i w:val="0"/>
          <w:iCs w:val="0"/>
          <w:lang w:val="en-GB"/>
        </w:rPr>
        <w:t>outlined</w:t>
      </w:r>
      <w:r w:rsidR="007B7640" w:rsidRPr="00CD59CC">
        <w:rPr>
          <w:rFonts w:ascii="Arial" w:hAnsi="Arial" w:cs="Arial"/>
          <w:i w:val="0"/>
          <w:iCs w:val="0"/>
          <w:lang w:val="en-GB"/>
        </w:rPr>
        <w:t xml:space="preserve"> </w:t>
      </w:r>
      <w:r w:rsidRPr="00CD59CC">
        <w:rPr>
          <w:rFonts w:ascii="Arial" w:hAnsi="Arial" w:cs="Arial"/>
          <w:i w:val="0"/>
          <w:iCs w:val="0"/>
          <w:lang w:val="en-GB"/>
        </w:rPr>
        <w:t>above,</w:t>
      </w:r>
      <w:r w:rsidR="007B7640" w:rsidRPr="00CD59CC">
        <w:rPr>
          <w:rFonts w:ascii="Arial" w:hAnsi="Arial" w:cs="Arial"/>
          <w:i w:val="0"/>
          <w:iCs w:val="0"/>
          <w:lang w:val="en-GB"/>
        </w:rPr>
        <w:t xml:space="preserve"> </w:t>
      </w:r>
      <w:r w:rsidRPr="00CD59CC">
        <w:rPr>
          <w:rFonts w:ascii="Arial" w:hAnsi="Arial" w:cs="Arial"/>
          <w:i w:val="0"/>
          <w:iCs w:val="0"/>
          <w:lang w:val="en-GB"/>
        </w:rPr>
        <w:t>only</w:t>
      </w:r>
      <w:r w:rsidR="007B7640" w:rsidRPr="00CD59CC">
        <w:rPr>
          <w:rFonts w:ascii="Arial" w:hAnsi="Arial" w:cs="Arial"/>
          <w:i w:val="0"/>
          <w:iCs w:val="0"/>
          <w:lang w:val="en-GB"/>
        </w:rPr>
        <w:t xml:space="preserve"> </w:t>
      </w:r>
      <w:r w:rsidRPr="00CD59CC">
        <w:rPr>
          <w:rFonts w:ascii="Arial" w:hAnsi="Arial" w:cs="Arial"/>
          <w:i w:val="0"/>
          <w:iCs w:val="0"/>
          <w:lang w:val="en-GB"/>
        </w:rPr>
        <w:t>through</w:t>
      </w:r>
      <w:r w:rsidR="007B7640" w:rsidRPr="00CD59CC">
        <w:rPr>
          <w:rFonts w:ascii="Arial" w:hAnsi="Arial" w:cs="Arial"/>
          <w:i w:val="0"/>
          <w:iCs w:val="0"/>
          <w:lang w:val="en-GB"/>
        </w:rPr>
        <w:t xml:space="preserve"> </w:t>
      </w:r>
      <w:r w:rsidRPr="00CD59CC">
        <w:rPr>
          <w:rFonts w:ascii="Arial" w:hAnsi="Arial" w:cs="Arial"/>
          <w:i w:val="0"/>
          <w:iCs w:val="0"/>
          <w:lang w:val="en-GB"/>
        </w:rPr>
        <w:t>adapting</w:t>
      </w:r>
      <w:r w:rsidR="007B7640" w:rsidRPr="00CD59CC">
        <w:rPr>
          <w:rFonts w:ascii="Arial" w:hAnsi="Arial" w:cs="Arial"/>
          <w:i w:val="0"/>
          <w:iCs w:val="0"/>
          <w:lang w:val="en-GB"/>
        </w:rPr>
        <w:t xml:space="preserve"> </w:t>
      </w: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principles</w:t>
      </w:r>
      <w:r w:rsidR="007B7640" w:rsidRPr="00CD59CC">
        <w:rPr>
          <w:rFonts w:ascii="Arial" w:hAnsi="Arial" w:cs="Arial"/>
          <w:i w:val="0"/>
          <w:iCs w:val="0"/>
          <w:lang w:val="en-GB"/>
        </w:rPr>
        <w:t xml:space="preserve"> </w:t>
      </w:r>
      <w:r w:rsidRPr="00CD59CC">
        <w:rPr>
          <w:rFonts w:ascii="Arial" w:hAnsi="Arial" w:cs="Arial"/>
          <w:i w:val="0"/>
          <w:iCs w:val="0"/>
          <w:lang w:val="en-GB"/>
        </w:rPr>
        <w:t>applied</w:t>
      </w:r>
      <w:r w:rsidR="007B7640" w:rsidRPr="00CD59CC">
        <w:rPr>
          <w:rFonts w:ascii="Arial" w:hAnsi="Arial" w:cs="Arial"/>
          <w:i w:val="0"/>
          <w:iCs w:val="0"/>
          <w:lang w:val="en-GB"/>
        </w:rPr>
        <w:t xml:space="preserve"> </w:t>
      </w:r>
      <w:r w:rsidRPr="00CD59CC">
        <w:rPr>
          <w:rFonts w:ascii="Arial" w:hAnsi="Arial" w:cs="Arial"/>
          <w:i w:val="0"/>
          <w:iCs w:val="0"/>
          <w:lang w:val="en-GB"/>
        </w:rPr>
        <w:t>by</w:t>
      </w:r>
      <w:r w:rsidR="007B7640" w:rsidRPr="00CD59CC">
        <w:rPr>
          <w:rFonts w:ascii="Arial" w:hAnsi="Arial" w:cs="Arial"/>
          <w:i w:val="0"/>
          <w:iCs w:val="0"/>
          <w:lang w:val="en-GB"/>
        </w:rPr>
        <w:t xml:space="preserve"> </w:t>
      </w: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Equal</w:t>
      </w:r>
      <w:r w:rsidR="007B7640" w:rsidRPr="00CD59CC">
        <w:rPr>
          <w:rFonts w:ascii="Arial" w:hAnsi="Arial" w:cs="Arial"/>
          <w:i w:val="0"/>
          <w:iCs w:val="0"/>
          <w:lang w:val="en-GB"/>
        </w:rPr>
        <w:t xml:space="preserve"> </w:t>
      </w:r>
      <w:r w:rsidRPr="00CD59CC">
        <w:rPr>
          <w:rFonts w:ascii="Arial" w:hAnsi="Arial" w:cs="Arial"/>
          <w:i w:val="0"/>
          <w:iCs w:val="0"/>
          <w:lang w:val="en-GB"/>
        </w:rPr>
        <w:t>Treatment</w:t>
      </w:r>
      <w:r w:rsidR="007B7640" w:rsidRPr="00CD59CC">
        <w:rPr>
          <w:rFonts w:ascii="Arial" w:hAnsi="Arial" w:cs="Arial"/>
          <w:i w:val="0"/>
          <w:iCs w:val="0"/>
          <w:lang w:val="en-GB"/>
        </w:rPr>
        <w:t xml:space="preserve"> </w:t>
      </w:r>
      <w:r w:rsidRPr="00CD59CC">
        <w:rPr>
          <w:rFonts w:ascii="Arial" w:hAnsi="Arial" w:cs="Arial"/>
          <w:i w:val="0"/>
          <w:iCs w:val="0"/>
          <w:lang w:val="en-GB"/>
        </w:rPr>
        <w:t>Authority</w:t>
      </w:r>
      <w:r w:rsidR="007B7640" w:rsidRPr="00CD59CC">
        <w:rPr>
          <w:rFonts w:ascii="Arial" w:hAnsi="Arial" w:cs="Arial"/>
          <w:i w:val="0"/>
          <w:iCs w:val="0"/>
          <w:lang w:val="en-GB"/>
        </w:rPr>
        <w:t xml:space="preserve"> </w:t>
      </w:r>
      <w:r w:rsidRPr="00CD59CC">
        <w:rPr>
          <w:rFonts w:ascii="Arial" w:hAnsi="Arial" w:cs="Arial"/>
          <w:i w:val="0"/>
          <w:iCs w:val="0"/>
          <w:lang w:val="en-GB"/>
        </w:rPr>
        <w:t>to</w:t>
      </w:r>
      <w:r w:rsidR="007B7640" w:rsidRPr="00CD59CC">
        <w:rPr>
          <w:rFonts w:ascii="Arial" w:hAnsi="Arial" w:cs="Arial"/>
          <w:i w:val="0"/>
          <w:iCs w:val="0"/>
          <w:lang w:val="en-GB"/>
        </w:rPr>
        <w:t xml:space="preserve"> </w:t>
      </w: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accessibility</w:t>
      </w:r>
      <w:r w:rsidR="007B7640" w:rsidRPr="00CD59CC">
        <w:rPr>
          <w:rFonts w:ascii="Arial" w:hAnsi="Arial" w:cs="Arial"/>
          <w:i w:val="0"/>
          <w:iCs w:val="0"/>
          <w:lang w:val="en-GB"/>
        </w:rPr>
        <w:t xml:space="preserve"> </w:t>
      </w:r>
      <w:r w:rsidRPr="00CD59CC">
        <w:rPr>
          <w:rFonts w:ascii="Arial" w:hAnsi="Arial" w:cs="Arial"/>
          <w:i w:val="0"/>
          <w:iCs w:val="0"/>
          <w:lang w:val="en-GB"/>
        </w:rPr>
        <w:t>of</w:t>
      </w:r>
      <w:r w:rsidR="007B7640" w:rsidRPr="00CD59CC">
        <w:rPr>
          <w:rFonts w:ascii="Arial" w:hAnsi="Arial" w:cs="Arial"/>
          <w:i w:val="0"/>
          <w:iCs w:val="0"/>
          <w:lang w:val="en-GB"/>
        </w:rPr>
        <w:t xml:space="preserve"> </w:t>
      </w:r>
      <w:r w:rsidRPr="00CD59CC">
        <w:rPr>
          <w:rFonts w:ascii="Arial" w:hAnsi="Arial" w:cs="Arial"/>
          <w:i w:val="0"/>
          <w:iCs w:val="0"/>
          <w:lang w:val="en-GB"/>
        </w:rPr>
        <w:t>public</w:t>
      </w:r>
      <w:r w:rsidR="007B7640" w:rsidRPr="00CD59CC">
        <w:rPr>
          <w:rFonts w:ascii="Arial" w:hAnsi="Arial" w:cs="Arial"/>
          <w:i w:val="0"/>
          <w:iCs w:val="0"/>
          <w:lang w:val="en-GB"/>
        </w:rPr>
        <w:t xml:space="preserve"> </w:t>
      </w:r>
      <w:r w:rsidRPr="00CD59CC">
        <w:rPr>
          <w:rFonts w:ascii="Arial" w:hAnsi="Arial" w:cs="Arial"/>
          <w:i w:val="0"/>
          <w:iCs w:val="0"/>
          <w:lang w:val="en-GB"/>
        </w:rPr>
        <w:t>buildings,</w:t>
      </w:r>
      <w:r w:rsidR="007B7640" w:rsidRPr="00CD59CC">
        <w:rPr>
          <w:rFonts w:ascii="Arial" w:hAnsi="Arial" w:cs="Arial"/>
          <w:i w:val="0"/>
          <w:iCs w:val="0"/>
          <w:lang w:val="en-GB"/>
        </w:rPr>
        <w:t xml:space="preserve"> </w:t>
      </w:r>
      <w:r w:rsidRPr="00CD59CC">
        <w:rPr>
          <w:rFonts w:ascii="Arial" w:hAnsi="Arial" w:cs="Arial"/>
          <w:i w:val="0"/>
          <w:iCs w:val="0"/>
          <w:lang w:val="en-GB"/>
        </w:rPr>
        <w:t>can</w:t>
      </w:r>
      <w:r w:rsidR="007B7640" w:rsidRPr="00CD59CC">
        <w:rPr>
          <w:rFonts w:ascii="Arial" w:hAnsi="Arial" w:cs="Arial"/>
          <w:i w:val="0"/>
          <w:iCs w:val="0"/>
          <w:lang w:val="en-GB"/>
        </w:rPr>
        <w:t xml:space="preserve"> </w:t>
      </w:r>
      <w:r w:rsidRPr="00CD59CC">
        <w:rPr>
          <w:rFonts w:ascii="Arial" w:hAnsi="Arial" w:cs="Arial"/>
          <w:i w:val="0"/>
          <w:iCs w:val="0"/>
          <w:lang w:val="en-GB"/>
        </w:rPr>
        <w:t>we</w:t>
      </w:r>
      <w:r w:rsidR="007B7640" w:rsidRPr="00CD59CC">
        <w:rPr>
          <w:rFonts w:ascii="Arial" w:hAnsi="Arial" w:cs="Arial"/>
          <w:i w:val="0"/>
          <w:iCs w:val="0"/>
          <w:lang w:val="en-GB"/>
        </w:rPr>
        <w:t xml:space="preserve"> </w:t>
      </w:r>
      <w:r w:rsidRPr="00CD59CC">
        <w:rPr>
          <w:rFonts w:ascii="Arial" w:hAnsi="Arial" w:cs="Arial"/>
          <w:i w:val="0"/>
          <w:iCs w:val="0"/>
          <w:lang w:val="en-GB"/>
        </w:rPr>
        <w:t>conclude</w:t>
      </w:r>
      <w:r w:rsidR="007B7640" w:rsidRPr="00CD59CC">
        <w:rPr>
          <w:rFonts w:ascii="Arial" w:hAnsi="Arial" w:cs="Arial"/>
          <w:i w:val="0"/>
          <w:iCs w:val="0"/>
          <w:lang w:val="en-GB"/>
        </w:rPr>
        <w:t xml:space="preserve"> </w:t>
      </w:r>
      <w:r w:rsidRPr="00CD59CC">
        <w:rPr>
          <w:rFonts w:ascii="Arial" w:hAnsi="Arial" w:cs="Arial"/>
          <w:i w:val="0"/>
          <w:iCs w:val="0"/>
          <w:lang w:val="en-GB"/>
        </w:rPr>
        <w:t>that</w:t>
      </w:r>
      <w:r w:rsidR="007B7640" w:rsidRPr="00CD59CC">
        <w:rPr>
          <w:rFonts w:ascii="Arial" w:hAnsi="Arial" w:cs="Arial"/>
          <w:i w:val="0"/>
          <w:iCs w:val="0"/>
          <w:lang w:val="en-GB"/>
        </w:rPr>
        <w:t xml:space="preserve"> </w:t>
      </w: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failure</w:t>
      </w:r>
      <w:r w:rsidR="007B7640" w:rsidRPr="00CD59CC">
        <w:rPr>
          <w:rFonts w:ascii="Arial" w:hAnsi="Arial" w:cs="Arial"/>
          <w:i w:val="0"/>
          <w:iCs w:val="0"/>
          <w:lang w:val="en-GB"/>
        </w:rPr>
        <w:t xml:space="preserve"> </w:t>
      </w:r>
      <w:r w:rsidRPr="00CD59CC">
        <w:rPr>
          <w:rFonts w:ascii="Arial" w:hAnsi="Arial" w:cs="Arial"/>
          <w:i w:val="0"/>
          <w:iCs w:val="0"/>
          <w:lang w:val="en-GB"/>
        </w:rPr>
        <w:t>to</w:t>
      </w:r>
      <w:r w:rsidR="007B7640" w:rsidRPr="00CD59CC">
        <w:rPr>
          <w:rFonts w:ascii="Arial" w:hAnsi="Arial" w:cs="Arial"/>
          <w:i w:val="0"/>
          <w:iCs w:val="0"/>
          <w:lang w:val="en-GB"/>
        </w:rPr>
        <w:t xml:space="preserve"> </w:t>
      </w:r>
      <w:r w:rsidRPr="00CD59CC">
        <w:rPr>
          <w:rFonts w:ascii="Arial" w:hAnsi="Arial" w:cs="Arial"/>
          <w:i w:val="0"/>
          <w:iCs w:val="0"/>
          <w:lang w:val="en-GB"/>
        </w:rPr>
        <w:t>provide</w:t>
      </w:r>
      <w:r w:rsidR="007B7640" w:rsidRPr="00CD59CC">
        <w:rPr>
          <w:rFonts w:ascii="Arial" w:hAnsi="Arial" w:cs="Arial"/>
          <w:i w:val="0"/>
          <w:iCs w:val="0"/>
          <w:lang w:val="en-GB"/>
        </w:rPr>
        <w:t xml:space="preserve"> </w:t>
      </w:r>
      <w:r w:rsidRPr="00CD59CC">
        <w:rPr>
          <w:rFonts w:ascii="Arial" w:hAnsi="Arial" w:cs="Arial"/>
          <w:i w:val="0"/>
          <w:iCs w:val="0"/>
          <w:lang w:val="en-GB"/>
        </w:rPr>
        <w:t>reasonable</w:t>
      </w:r>
      <w:r w:rsidR="007B7640" w:rsidRPr="00CD59CC">
        <w:rPr>
          <w:rFonts w:ascii="Arial" w:hAnsi="Arial" w:cs="Arial"/>
          <w:i w:val="0"/>
          <w:iCs w:val="0"/>
          <w:lang w:val="en-GB"/>
        </w:rPr>
        <w:t xml:space="preserve"> </w:t>
      </w:r>
      <w:r w:rsidRPr="00CD59CC">
        <w:rPr>
          <w:rFonts w:ascii="Arial" w:hAnsi="Arial" w:cs="Arial"/>
          <w:i w:val="0"/>
          <w:iCs w:val="0"/>
          <w:lang w:val="en-GB"/>
        </w:rPr>
        <w:t>accommodation</w:t>
      </w:r>
      <w:r w:rsidR="007B7640" w:rsidRPr="00CD59CC">
        <w:rPr>
          <w:rFonts w:ascii="Arial" w:hAnsi="Arial" w:cs="Arial"/>
          <w:i w:val="0"/>
          <w:iCs w:val="0"/>
          <w:lang w:val="en-GB"/>
        </w:rPr>
        <w:t xml:space="preserve"> </w:t>
      </w:r>
      <w:r w:rsidRPr="00CD59CC">
        <w:rPr>
          <w:rFonts w:ascii="Arial" w:hAnsi="Arial" w:cs="Arial"/>
          <w:i w:val="0"/>
          <w:iCs w:val="0"/>
          <w:lang w:val="en-GB"/>
        </w:rPr>
        <w:t>would</w:t>
      </w:r>
      <w:r w:rsidR="007B7640" w:rsidRPr="00CD59CC">
        <w:rPr>
          <w:rFonts w:ascii="Arial" w:hAnsi="Arial" w:cs="Arial"/>
          <w:i w:val="0"/>
          <w:iCs w:val="0"/>
          <w:lang w:val="en-GB"/>
        </w:rPr>
        <w:t xml:space="preserve"> </w:t>
      </w:r>
      <w:r w:rsidRPr="00CD59CC">
        <w:rPr>
          <w:rFonts w:ascii="Arial" w:hAnsi="Arial" w:cs="Arial"/>
          <w:i w:val="0"/>
          <w:iCs w:val="0"/>
          <w:lang w:val="en-GB"/>
        </w:rPr>
        <w:t>amount</w:t>
      </w:r>
      <w:r w:rsidR="007B7640" w:rsidRPr="00CD59CC">
        <w:rPr>
          <w:rFonts w:ascii="Arial" w:hAnsi="Arial" w:cs="Arial"/>
          <w:i w:val="0"/>
          <w:iCs w:val="0"/>
          <w:lang w:val="en-GB"/>
        </w:rPr>
        <w:t xml:space="preserve"> </w:t>
      </w:r>
      <w:r w:rsidRPr="00CD59CC">
        <w:rPr>
          <w:rFonts w:ascii="Arial" w:hAnsi="Arial" w:cs="Arial"/>
          <w:i w:val="0"/>
          <w:iCs w:val="0"/>
          <w:lang w:val="en-GB"/>
        </w:rPr>
        <w:t>to</w:t>
      </w:r>
      <w:r w:rsidR="007B7640" w:rsidRPr="00CD59CC">
        <w:rPr>
          <w:rFonts w:ascii="Arial" w:hAnsi="Arial" w:cs="Arial"/>
          <w:i w:val="0"/>
          <w:iCs w:val="0"/>
          <w:lang w:val="en-GB"/>
        </w:rPr>
        <w:t xml:space="preserve"> </w:t>
      </w:r>
      <w:r w:rsidRPr="00CD59CC">
        <w:rPr>
          <w:rFonts w:ascii="Arial" w:hAnsi="Arial" w:cs="Arial"/>
          <w:i w:val="0"/>
          <w:iCs w:val="0"/>
          <w:lang w:val="en-GB"/>
        </w:rPr>
        <w:t>discrimination</w:t>
      </w:r>
      <w:r w:rsidR="007B7640" w:rsidRPr="00CD59CC">
        <w:rPr>
          <w:rFonts w:ascii="Arial" w:hAnsi="Arial" w:cs="Arial"/>
          <w:i w:val="0"/>
          <w:iCs w:val="0"/>
          <w:lang w:val="en-GB"/>
        </w:rPr>
        <w:t xml:space="preserve"> </w:t>
      </w:r>
      <w:r w:rsidRPr="00CD59CC">
        <w:rPr>
          <w:rFonts w:ascii="Arial" w:hAnsi="Arial" w:cs="Arial"/>
          <w:i w:val="0"/>
          <w:iCs w:val="0"/>
          <w:lang w:val="en-GB"/>
        </w:rPr>
        <w:t>in</w:t>
      </w:r>
      <w:r w:rsidR="007B7640" w:rsidRPr="00CD59CC">
        <w:rPr>
          <w:rFonts w:ascii="Arial" w:hAnsi="Arial" w:cs="Arial"/>
          <w:i w:val="0"/>
          <w:iCs w:val="0"/>
          <w:lang w:val="en-GB"/>
        </w:rPr>
        <w:t xml:space="preserve"> </w:t>
      </w: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sense</w:t>
      </w:r>
      <w:r w:rsidR="007B7640" w:rsidRPr="00CD59CC">
        <w:rPr>
          <w:rFonts w:ascii="Arial" w:hAnsi="Arial" w:cs="Arial"/>
          <w:i w:val="0"/>
          <w:iCs w:val="0"/>
          <w:lang w:val="en-GB"/>
        </w:rPr>
        <w:t xml:space="preserve"> </w:t>
      </w:r>
      <w:r w:rsidRPr="00CD59CC">
        <w:rPr>
          <w:rFonts w:ascii="Arial" w:hAnsi="Arial" w:cs="Arial"/>
          <w:i w:val="0"/>
          <w:iCs w:val="0"/>
          <w:lang w:val="en-GB"/>
        </w:rPr>
        <w:t>of</w:t>
      </w:r>
      <w:r w:rsidR="007B7640" w:rsidRPr="00CD59CC">
        <w:rPr>
          <w:rFonts w:ascii="Arial" w:hAnsi="Arial" w:cs="Arial"/>
          <w:i w:val="0"/>
          <w:iCs w:val="0"/>
          <w:lang w:val="en-GB"/>
        </w:rPr>
        <w:t xml:space="preserve"> </w:t>
      </w: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ETA.</w:t>
      </w:r>
      <w:r w:rsidR="007B7640" w:rsidRPr="00CD59CC">
        <w:rPr>
          <w:rFonts w:ascii="Arial" w:hAnsi="Arial" w:cs="Arial"/>
          <w:i w:val="0"/>
          <w:iCs w:val="0"/>
          <w:lang w:val="en-GB"/>
        </w:rPr>
        <w:t xml:space="preserve"> </w:t>
      </w:r>
      <w:r w:rsidRPr="00CD59CC">
        <w:rPr>
          <w:rFonts w:ascii="Arial" w:hAnsi="Arial" w:cs="Arial"/>
          <w:i w:val="0"/>
          <w:iCs w:val="0"/>
          <w:lang w:val="en-GB"/>
        </w:rPr>
        <w:t>Thus,</w:t>
      </w:r>
      <w:r w:rsidR="007B7640" w:rsidRPr="00CD59CC">
        <w:rPr>
          <w:rFonts w:ascii="Arial" w:hAnsi="Arial" w:cs="Arial"/>
          <w:i w:val="0"/>
          <w:iCs w:val="0"/>
          <w:lang w:val="en-GB"/>
        </w:rPr>
        <w:t xml:space="preserve"> </w:t>
      </w:r>
      <w:r w:rsidRPr="00CD59CC">
        <w:rPr>
          <w:rFonts w:ascii="Arial" w:hAnsi="Arial" w:cs="Arial"/>
          <w:i w:val="0"/>
          <w:iCs w:val="0"/>
          <w:lang w:val="en-GB"/>
        </w:rPr>
        <w:t>only</w:t>
      </w:r>
      <w:r w:rsidR="007B7640" w:rsidRPr="00CD59CC">
        <w:rPr>
          <w:rFonts w:ascii="Arial" w:hAnsi="Arial" w:cs="Arial"/>
          <w:i w:val="0"/>
          <w:iCs w:val="0"/>
          <w:lang w:val="en-GB"/>
        </w:rPr>
        <w:t xml:space="preserve"> </w:t>
      </w:r>
      <w:r w:rsidRPr="00CD59CC">
        <w:rPr>
          <w:rFonts w:ascii="Arial" w:hAnsi="Arial" w:cs="Arial"/>
          <w:i w:val="0"/>
          <w:iCs w:val="0"/>
          <w:lang w:val="en-GB"/>
        </w:rPr>
        <w:t>through</w:t>
      </w:r>
      <w:r w:rsidR="007B7640" w:rsidRPr="00CD59CC">
        <w:rPr>
          <w:rFonts w:ascii="Arial" w:hAnsi="Arial" w:cs="Arial"/>
          <w:i w:val="0"/>
          <w:iCs w:val="0"/>
          <w:lang w:val="en-GB"/>
        </w:rPr>
        <w:t xml:space="preserve"> </w:t>
      </w:r>
      <w:r w:rsidRPr="00CD59CC">
        <w:rPr>
          <w:rFonts w:ascii="Arial" w:hAnsi="Arial" w:cs="Arial"/>
          <w:i w:val="0"/>
          <w:iCs w:val="0"/>
          <w:lang w:val="en-GB"/>
        </w:rPr>
        <w:t>this</w:t>
      </w:r>
      <w:r w:rsidR="007B7640" w:rsidRPr="00CD59CC">
        <w:rPr>
          <w:rFonts w:ascii="Arial" w:hAnsi="Arial" w:cs="Arial"/>
          <w:i w:val="0"/>
          <w:iCs w:val="0"/>
          <w:lang w:val="en-GB"/>
        </w:rPr>
        <w:t xml:space="preserve"> </w:t>
      </w:r>
      <w:r w:rsidRPr="00CD59CC">
        <w:rPr>
          <w:rFonts w:ascii="Arial" w:hAnsi="Arial" w:cs="Arial"/>
          <w:i w:val="0"/>
          <w:iCs w:val="0"/>
          <w:lang w:val="en-GB"/>
        </w:rPr>
        <w:t>interpretation</w:t>
      </w:r>
      <w:r w:rsidR="007B7640" w:rsidRPr="00CD59CC">
        <w:rPr>
          <w:rFonts w:ascii="Arial" w:hAnsi="Arial" w:cs="Arial"/>
          <w:i w:val="0"/>
          <w:iCs w:val="0"/>
          <w:lang w:val="en-GB"/>
        </w:rPr>
        <w:t xml:space="preserve"> </w:t>
      </w:r>
      <w:r w:rsidRPr="00CD59CC">
        <w:rPr>
          <w:rFonts w:ascii="Arial" w:hAnsi="Arial" w:cs="Arial"/>
          <w:i w:val="0"/>
          <w:iCs w:val="0"/>
          <w:lang w:val="en-GB"/>
        </w:rPr>
        <w:t>of</w:t>
      </w:r>
      <w:r w:rsidR="007B7640" w:rsidRPr="00CD59CC">
        <w:rPr>
          <w:rFonts w:ascii="Arial" w:hAnsi="Arial" w:cs="Arial"/>
          <w:i w:val="0"/>
          <w:iCs w:val="0"/>
          <w:lang w:val="en-GB"/>
        </w:rPr>
        <w:t xml:space="preserve"> </w:t>
      </w: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law</w:t>
      </w:r>
      <w:r w:rsidR="007B7640" w:rsidRPr="00CD59CC">
        <w:rPr>
          <w:rFonts w:ascii="Arial" w:hAnsi="Arial" w:cs="Arial"/>
          <w:i w:val="0"/>
          <w:iCs w:val="0"/>
          <w:lang w:val="en-GB"/>
        </w:rPr>
        <w:t xml:space="preserve"> </w:t>
      </w:r>
      <w:r w:rsidRPr="00CD59CC">
        <w:rPr>
          <w:rFonts w:ascii="Arial" w:hAnsi="Arial" w:cs="Arial"/>
          <w:i w:val="0"/>
          <w:iCs w:val="0"/>
          <w:lang w:val="en-GB"/>
        </w:rPr>
        <w:t>could</w:t>
      </w:r>
      <w:r w:rsidR="007B7640" w:rsidRPr="00CD59CC">
        <w:rPr>
          <w:rFonts w:ascii="Arial" w:hAnsi="Arial" w:cs="Arial"/>
          <w:i w:val="0"/>
          <w:iCs w:val="0"/>
          <w:lang w:val="en-GB"/>
        </w:rPr>
        <w:t xml:space="preserve"> </w:t>
      </w:r>
      <w:r w:rsidRPr="00CD59CC">
        <w:rPr>
          <w:rFonts w:ascii="Arial" w:hAnsi="Arial" w:cs="Arial"/>
          <w:i w:val="0"/>
          <w:iCs w:val="0"/>
          <w:lang w:val="en-GB"/>
        </w:rPr>
        <w:t>we</w:t>
      </w:r>
      <w:r w:rsidR="007B7640" w:rsidRPr="00CD59CC">
        <w:rPr>
          <w:rFonts w:ascii="Arial" w:hAnsi="Arial" w:cs="Arial"/>
          <w:i w:val="0"/>
          <w:iCs w:val="0"/>
          <w:lang w:val="en-GB"/>
        </w:rPr>
        <w:t xml:space="preserve"> </w:t>
      </w:r>
      <w:r w:rsidRPr="00CD59CC">
        <w:rPr>
          <w:rFonts w:ascii="Arial" w:hAnsi="Arial" w:cs="Arial"/>
          <w:i w:val="0"/>
          <w:iCs w:val="0"/>
          <w:lang w:val="en-GB"/>
        </w:rPr>
        <w:t>argue</w:t>
      </w:r>
      <w:r w:rsidR="007B7640" w:rsidRPr="00CD59CC">
        <w:rPr>
          <w:rFonts w:ascii="Arial" w:hAnsi="Arial" w:cs="Arial"/>
          <w:i w:val="0"/>
          <w:iCs w:val="0"/>
          <w:lang w:val="en-GB"/>
        </w:rPr>
        <w:t xml:space="preserve"> </w:t>
      </w:r>
      <w:r w:rsidRPr="00CD59CC">
        <w:rPr>
          <w:rFonts w:ascii="Arial" w:hAnsi="Arial" w:cs="Arial"/>
          <w:i w:val="0"/>
          <w:iCs w:val="0"/>
          <w:lang w:val="en-GB"/>
        </w:rPr>
        <w:t>that</w:t>
      </w:r>
      <w:r w:rsidR="007B7640" w:rsidRPr="00CD59CC">
        <w:rPr>
          <w:rFonts w:ascii="Arial" w:hAnsi="Arial" w:cs="Arial"/>
          <w:i w:val="0"/>
          <w:iCs w:val="0"/>
          <w:lang w:val="en-GB"/>
        </w:rPr>
        <w:t xml:space="preserve"> </w:t>
      </w: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burden</w:t>
      </w:r>
      <w:r w:rsidR="007B7640" w:rsidRPr="00CD59CC">
        <w:rPr>
          <w:rFonts w:ascii="Arial" w:hAnsi="Arial" w:cs="Arial"/>
          <w:i w:val="0"/>
          <w:iCs w:val="0"/>
          <w:lang w:val="en-GB"/>
        </w:rPr>
        <w:t xml:space="preserve"> </w:t>
      </w:r>
      <w:r w:rsidRPr="00CD59CC">
        <w:rPr>
          <w:rFonts w:ascii="Arial" w:hAnsi="Arial" w:cs="Arial"/>
          <w:i w:val="0"/>
          <w:iCs w:val="0"/>
          <w:lang w:val="en-GB"/>
        </w:rPr>
        <w:t>of</w:t>
      </w:r>
      <w:r w:rsidR="007B7640" w:rsidRPr="00CD59CC">
        <w:rPr>
          <w:rFonts w:ascii="Arial" w:hAnsi="Arial" w:cs="Arial"/>
          <w:i w:val="0"/>
          <w:iCs w:val="0"/>
          <w:lang w:val="en-GB"/>
        </w:rPr>
        <w:t xml:space="preserve"> </w:t>
      </w:r>
      <w:r w:rsidRPr="00CD59CC">
        <w:rPr>
          <w:rFonts w:ascii="Arial" w:hAnsi="Arial" w:cs="Arial"/>
          <w:i w:val="0"/>
          <w:iCs w:val="0"/>
          <w:lang w:val="en-GB"/>
        </w:rPr>
        <w:t>proof</w:t>
      </w:r>
      <w:r w:rsidR="007B7640" w:rsidRPr="00CD59CC">
        <w:rPr>
          <w:rFonts w:ascii="Arial" w:hAnsi="Arial" w:cs="Arial"/>
          <w:i w:val="0"/>
          <w:iCs w:val="0"/>
          <w:lang w:val="en-GB"/>
        </w:rPr>
        <w:t xml:space="preserve"> </w:t>
      </w:r>
      <w:r w:rsidRPr="00CD59CC">
        <w:rPr>
          <w:rFonts w:ascii="Arial" w:hAnsi="Arial" w:cs="Arial"/>
          <w:i w:val="0"/>
          <w:iCs w:val="0"/>
          <w:lang w:val="en-GB"/>
        </w:rPr>
        <w:t>is</w:t>
      </w:r>
      <w:r w:rsidR="007B7640" w:rsidRPr="00CD59CC">
        <w:rPr>
          <w:rFonts w:ascii="Arial" w:hAnsi="Arial" w:cs="Arial"/>
          <w:i w:val="0"/>
          <w:iCs w:val="0"/>
          <w:lang w:val="en-GB"/>
        </w:rPr>
        <w:t xml:space="preserve"> </w:t>
      </w:r>
      <w:r w:rsidRPr="00CD59CC">
        <w:rPr>
          <w:rFonts w:ascii="Arial" w:hAnsi="Arial" w:cs="Arial"/>
          <w:i w:val="0"/>
          <w:iCs w:val="0"/>
          <w:lang w:val="en-GB"/>
        </w:rPr>
        <w:t>shifted</w:t>
      </w:r>
      <w:r w:rsidR="007B7640" w:rsidRPr="00CD59CC">
        <w:rPr>
          <w:rFonts w:ascii="Arial" w:hAnsi="Arial" w:cs="Arial"/>
          <w:i w:val="0"/>
          <w:iCs w:val="0"/>
          <w:lang w:val="en-GB"/>
        </w:rPr>
        <w:t xml:space="preserve"> </w:t>
      </w:r>
      <w:r w:rsidRPr="00CD59CC">
        <w:rPr>
          <w:rFonts w:ascii="Arial" w:hAnsi="Arial" w:cs="Arial"/>
          <w:i w:val="0"/>
          <w:iCs w:val="0"/>
          <w:lang w:val="en-GB"/>
        </w:rPr>
        <w:t>in</w:t>
      </w:r>
      <w:r w:rsidR="007B7640" w:rsidRPr="00CD59CC">
        <w:rPr>
          <w:rFonts w:ascii="Arial" w:hAnsi="Arial" w:cs="Arial"/>
          <w:i w:val="0"/>
          <w:iCs w:val="0"/>
          <w:lang w:val="en-GB"/>
        </w:rPr>
        <w:t xml:space="preserve"> </w:t>
      </w: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case</w:t>
      </w:r>
      <w:r w:rsidR="007B7640" w:rsidRPr="00CD59CC">
        <w:rPr>
          <w:rFonts w:ascii="Arial" w:hAnsi="Arial" w:cs="Arial"/>
          <w:i w:val="0"/>
          <w:iCs w:val="0"/>
          <w:lang w:val="en-GB"/>
        </w:rPr>
        <w:t xml:space="preserve"> </w:t>
      </w:r>
      <w:r w:rsidRPr="00CD59CC">
        <w:rPr>
          <w:rFonts w:ascii="Arial" w:hAnsi="Arial" w:cs="Arial"/>
          <w:i w:val="0"/>
          <w:iCs w:val="0"/>
          <w:lang w:val="en-GB"/>
        </w:rPr>
        <w:t>of</w:t>
      </w:r>
      <w:r w:rsidR="007B7640" w:rsidRPr="00CD59CC">
        <w:rPr>
          <w:rFonts w:ascii="Arial" w:hAnsi="Arial" w:cs="Arial"/>
          <w:i w:val="0"/>
          <w:iCs w:val="0"/>
          <w:lang w:val="en-GB"/>
        </w:rPr>
        <w:t xml:space="preserve"> </w:t>
      </w:r>
      <w:r w:rsidRPr="00CD59CC">
        <w:rPr>
          <w:rFonts w:ascii="Arial" w:hAnsi="Arial" w:cs="Arial"/>
          <w:i w:val="0"/>
          <w:iCs w:val="0"/>
          <w:lang w:val="en-GB"/>
        </w:rPr>
        <w:t>complaints</w:t>
      </w:r>
      <w:r w:rsidR="007B7640" w:rsidRPr="00CD59CC">
        <w:rPr>
          <w:rFonts w:ascii="Arial" w:hAnsi="Arial" w:cs="Arial"/>
          <w:i w:val="0"/>
          <w:iCs w:val="0"/>
          <w:lang w:val="en-GB"/>
        </w:rPr>
        <w:t xml:space="preserve"> </w:t>
      </w:r>
      <w:r w:rsidRPr="00CD59CC">
        <w:rPr>
          <w:rFonts w:ascii="Arial" w:hAnsi="Arial" w:cs="Arial"/>
          <w:i w:val="0"/>
          <w:iCs w:val="0"/>
          <w:lang w:val="en-GB"/>
        </w:rPr>
        <w:t>emerging</w:t>
      </w:r>
      <w:r w:rsidR="007B7640" w:rsidRPr="00CD59CC">
        <w:rPr>
          <w:rFonts w:ascii="Arial" w:hAnsi="Arial" w:cs="Arial"/>
          <w:i w:val="0"/>
          <w:iCs w:val="0"/>
          <w:lang w:val="en-GB"/>
        </w:rPr>
        <w:t xml:space="preserve"> </w:t>
      </w:r>
      <w:r w:rsidRPr="00CD59CC">
        <w:rPr>
          <w:rFonts w:ascii="Arial" w:hAnsi="Arial" w:cs="Arial"/>
          <w:i w:val="0"/>
          <w:iCs w:val="0"/>
          <w:lang w:val="en-GB"/>
        </w:rPr>
        <w:t>on</w:t>
      </w:r>
      <w:r w:rsidR="007B7640" w:rsidRPr="00CD59CC">
        <w:rPr>
          <w:rFonts w:ascii="Arial" w:hAnsi="Arial" w:cs="Arial"/>
          <w:i w:val="0"/>
          <w:iCs w:val="0"/>
          <w:lang w:val="en-GB"/>
        </w:rPr>
        <w:t xml:space="preserve"> </w:t>
      </w:r>
      <w:r w:rsidRPr="00CD59CC">
        <w:rPr>
          <w:rFonts w:ascii="Arial" w:hAnsi="Arial" w:cs="Arial"/>
          <w:i w:val="0"/>
          <w:iCs w:val="0"/>
          <w:lang w:val="en-GB"/>
        </w:rPr>
        <w:t>this</w:t>
      </w:r>
      <w:r w:rsidR="007B7640" w:rsidRPr="00CD59CC">
        <w:rPr>
          <w:rFonts w:ascii="Arial" w:hAnsi="Arial" w:cs="Arial"/>
          <w:i w:val="0"/>
          <w:iCs w:val="0"/>
          <w:lang w:val="en-GB"/>
        </w:rPr>
        <w:t xml:space="preserve"> </w:t>
      </w:r>
      <w:r w:rsidRPr="00CD59CC">
        <w:rPr>
          <w:rFonts w:ascii="Arial" w:hAnsi="Arial" w:cs="Arial"/>
          <w:i w:val="0"/>
          <w:iCs w:val="0"/>
          <w:lang w:val="en-GB"/>
        </w:rPr>
        <w:t>basis.</w:t>
      </w:r>
      <w:r w:rsidR="007B7640" w:rsidRPr="00CD59CC">
        <w:rPr>
          <w:rFonts w:ascii="Arial" w:hAnsi="Arial" w:cs="Arial"/>
          <w:i w:val="0"/>
          <w:iCs w:val="0"/>
          <w:lang w:val="en-GB"/>
        </w:rPr>
        <w:t xml:space="preserve"> </w:t>
      </w:r>
      <w:r w:rsidRPr="00CD59CC">
        <w:rPr>
          <w:rFonts w:ascii="Arial" w:hAnsi="Arial" w:cs="Arial"/>
          <w:i w:val="0"/>
          <w:iCs w:val="0"/>
          <w:lang w:val="en-GB"/>
        </w:rPr>
        <w:t>This</w:t>
      </w:r>
      <w:r w:rsidR="007B7640" w:rsidRPr="00CD59CC">
        <w:rPr>
          <w:rFonts w:ascii="Arial" w:hAnsi="Arial" w:cs="Arial"/>
          <w:i w:val="0"/>
          <w:iCs w:val="0"/>
          <w:lang w:val="en-GB"/>
        </w:rPr>
        <w:t xml:space="preserve"> </w:t>
      </w:r>
      <w:r w:rsidRPr="00CD59CC">
        <w:rPr>
          <w:rFonts w:ascii="Arial" w:hAnsi="Arial" w:cs="Arial"/>
          <w:i w:val="0"/>
          <w:iCs w:val="0"/>
          <w:lang w:val="en-GB"/>
        </w:rPr>
        <w:t>in</w:t>
      </w:r>
      <w:r w:rsidR="007B7640" w:rsidRPr="00CD59CC">
        <w:rPr>
          <w:rFonts w:ascii="Arial" w:hAnsi="Arial" w:cs="Arial"/>
          <w:i w:val="0"/>
          <w:iCs w:val="0"/>
          <w:lang w:val="en-GB"/>
        </w:rPr>
        <w:t xml:space="preserve"> </w:t>
      </w:r>
      <w:r w:rsidRPr="00CD59CC">
        <w:rPr>
          <w:rFonts w:ascii="Arial" w:hAnsi="Arial" w:cs="Arial"/>
          <w:i w:val="0"/>
          <w:iCs w:val="0"/>
          <w:lang w:val="en-GB"/>
        </w:rPr>
        <w:t>no</w:t>
      </w:r>
      <w:r w:rsidR="007B7640" w:rsidRPr="00CD59CC">
        <w:rPr>
          <w:rFonts w:ascii="Arial" w:hAnsi="Arial" w:cs="Arial"/>
          <w:i w:val="0"/>
          <w:iCs w:val="0"/>
          <w:lang w:val="en-GB"/>
        </w:rPr>
        <w:t xml:space="preserve"> </w:t>
      </w:r>
      <w:r w:rsidRPr="00CD59CC">
        <w:rPr>
          <w:rFonts w:ascii="Arial" w:hAnsi="Arial" w:cs="Arial"/>
          <w:i w:val="0"/>
          <w:iCs w:val="0"/>
          <w:lang w:val="en-GB"/>
        </w:rPr>
        <w:t>way</w:t>
      </w:r>
      <w:r w:rsidR="007B7640" w:rsidRPr="00CD59CC">
        <w:rPr>
          <w:rFonts w:ascii="Arial" w:hAnsi="Arial" w:cs="Arial"/>
          <w:i w:val="0"/>
          <w:iCs w:val="0"/>
          <w:lang w:val="en-GB"/>
        </w:rPr>
        <w:t xml:space="preserve"> </w:t>
      </w:r>
      <w:r w:rsidRPr="00CD59CC">
        <w:rPr>
          <w:rFonts w:ascii="Arial" w:hAnsi="Arial" w:cs="Arial"/>
          <w:i w:val="0"/>
          <w:iCs w:val="0"/>
          <w:lang w:val="en-GB"/>
        </w:rPr>
        <w:t>may</w:t>
      </w:r>
      <w:r w:rsidR="007B7640" w:rsidRPr="00CD59CC">
        <w:rPr>
          <w:rFonts w:ascii="Arial" w:hAnsi="Arial" w:cs="Arial"/>
          <w:i w:val="0"/>
          <w:iCs w:val="0"/>
          <w:lang w:val="en-GB"/>
        </w:rPr>
        <w:t xml:space="preserve"> </w:t>
      </w:r>
      <w:r w:rsidRPr="00CD59CC">
        <w:rPr>
          <w:rFonts w:ascii="Arial" w:hAnsi="Arial" w:cs="Arial"/>
          <w:i w:val="0"/>
          <w:iCs w:val="0"/>
          <w:lang w:val="en-GB"/>
        </w:rPr>
        <w:t>be</w:t>
      </w:r>
      <w:r w:rsidR="007B7640" w:rsidRPr="00CD59CC">
        <w:rPr>
          <w:rFonts w:ascii="Arial" w:hAnsi="Arial" w:cs="Arial"/>
          <w:i w:val="0"/>
          <w:iCs w:val="0"/>
          <w:lang w:val="en-GB"/>
        </w:rPr>
        <w:t xml:space="preserve"> </w:t>
      </w:r>
      <w:r w:rsidRPr="00CD59CC">
        <w:rPr>
          <w:rFonts w:ascii="Arial" w:hAnsi="Arial" w:cs="Arial"/>
          <w:i w:val="0"/>
          <w:iCs w:val="0"/>
          <w:lang w:val="en-GB"/>
        </w:rPr>
        <w:t>regarded</w:t>
      </w:r>
      <w:r w:rsidR="007B7640" w:rsidRPr="00CD59CC">
        <w:rPr>
          <w:rFonts w:ascii="Arial" w:hAnsi="Arial" w:cs="Arial"/>
          <w:i w:val="0"/>
          <w:iCs w:val="0"/>
          <w:lang w:val="en-GB"/>
        </w:rPr>
        <w:t xml:space="preserve"> </w:t>
      </w:r>
      <w:r w:rsidRPr="00CD59CC">
        <w:rPr>
          <w:rFonts w:ascii="Arial" w:hAnsi="Arial" w:cs="Arial"/>
          <w:i w:val="0"/>
          <w:iCs w:val="0"/>
          <w:lang w:val="en-GB"/>
        </w:rPr>
        <w:t>as</w:t>
      </w:r>
      <w:r w:rsidR="007B7640" w:rsidRPr="00CD59CC">
        <w:rPr>
          <w:rFonts w:ascii="Arial" w:hAnsi="Arial" w:cs="Arial"/>
          <w:i w:val="0"/>
          <w:iCs w:val="0"/>
          <w:lang w:val="en-GB"/>
        </w:rPr>
        <w:t xml:space="preserve"> </w:t>
      </w:r>
      <w:r w:rsidRPr="00CD59CC">
        <w:rPr>
          <w:rFonts w:ascii="Arial" w:hAnsi="Arial" w:cs="Arial"/>
          <w:i w:val="0"/>
          <w:iCs w:val="0"/>
          <w:lang w:val="en-GB"/>
        </w:rPr>
        <w:t>a</w:t>
      </w:r>
      <w:r w:rsidR="007B7640" w:rsidRPr="00CD59CC">
        <w:rPr>
          <w:rFonts w:ascii="Arial" w:hAnsi="Arial" w:cs="Arial"/>
          <w:i w:val="0"/>
          <w:iCs w:val="0"/>
          <w:lang w:val="en-GB"/>
        </w:rPr>
        <w:t xml:space="preserve"> </w:t>
      </w:r>
      <w:r w:rsidRPr="00CD59CC">
        <w:rPr>
          <w:rFonts w:ascii="Arial" w:hAnsi="Arial" w:cs="Arial"/>
          <w:i w:val="0"/>
          <w:iCs w:val="0"/>
          <w:lang w:val="en-GB"/>
        </w:rPr>
        <w:t>“clear”</w:t>
      </w:r>
      <w:r w:rsidR="007B7640" w:rsidRPr="00CD59CC">
        <w:rPr>
          <w:rFonts w:ascii="Arial" w:hAnsi="Arial" w:cs="Arial"/>
          <w:i w:val="0"/>
          <w:iCs w:val="0"/>
          <w:lang w:val="en-GB"/>
        </w:rPr>
        <w:t xml:space="preserve"> </w:t>
      </w:r>
      <w:r w:rsidRPr="00CD59CC">
        <w:rPr>
          <w:rFonts w:ascii="Arial" w:hAnsi="Arial" w:cs="Arial"/>
          <w:i w:val="0"/>
          <w:iCs w:val="0"/>
          <w:lang w:val="en-GB"/>
        </w:rPr>
        <w:t>formulation</w:t>
      </w:r>
      <w:r w:rsidR="007B7640" w:rsidRPr="00CD59CC">
        <w:rPr>
          <w:rFonts w:ascii="Arial" w:hAnsi="Arial" w:cs="Arial"/>
          <w:i w:val="0"/>
          <w:iCs w:val="0"/>
          <w:lang w:val="en-GB"/>
        </w:rPr>
        <w:t xml:space="preserve"> </w:t>
      </w:r>
      <w:r w:rsidRPr="00CD59CC">
        <w:rPr>
          <w:rFonts w:ascii="Arial" w:hAnsi="Arial" w:cs="Arial"/>
          <w:i w:val="0"/>
          <w:iCs w:val="0"/>
          <w:lang w:val="en-GB"/>
        </w:rPr>
        <w:t>of</w:t>
      </w:r>
      <w:r w:rsidR="007B7640" w:rsidRPr="00CD59CC">
        <w:rPr>
          <w:rFonts w:ascii="Arial" w:hAnsi="Arial" w:cs="Arial"/>
          <w:i w:val="0"/>
          <w:iCs w:val="0"/>
          <w:lang w:val="en-GB"/>
        </w:rPr>
        <w:t xml:space="preserve"> </w:t>
      </w: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special</w:t>
      </w:r>
      <w:r w:rsidR="007B7640" w:rsidRPr="00CD59CC">
        <w:rPr>
          <w:rFonts w:ascii="Arial" w:hAnsi="Arial" w:cs="Arial"/>
          <w:i w:val="0"/>
          <w:iCs w:val="0"/>
          <w:lang w:val="en-GB"/>
        </w:rPr>
        <w:t xml:space="preserve"> </w:t>
      </w:r>
      <w:r w:rsidRPr="00CD59CC">
        <w:rPr>
          <w:rFonts w:ascii="Arial" w:hAnsi="Arial" w:cs="Arial"/>
          <w:i w:val="0"/>
          <w:iCs w:val="0"/>
          <w:lang w:val="en-GB"/>
        </w:rPr>
        <w:t>rules</w:t>
      </w:r>
      <w:r w:rsidR="007B7640" w:rsidRPr="00CD59CC">
        <w:rPr>
          <w:rFonts w:ascii="Arial" w:hAnsi="Arial" w:cs="Arial"/>
          <w:i w:val="0"/>
          <w:iCs w:val="0"/>
          <w:lang w:val="en-GB"/>
        </w:rPr>
        <w:t xml:space="preserve"> </w:t>
      </w:r>
      <w:r w:rsidRPr="00CD59CC">
        <w:rPr>
          <w:rFonts w:ascii="Arial" w:hAnsi="Arial" w:cs="Arial"/>
          <w:i w:val="0"/>
          <w:iCs w:val="0"/>
          <w:lang w:val="en-GB"/>
        </w:rPr>
        <w:t>of</w:t>
      </w:r>
      <w:r w:rsidR="007B7640" w:rsidRPr="00CD59CC">
        <w:rPr>
          <w:rFonts w:ascii="Arial" w:hAnsi="Arial" w:cs="Arial"/>
          <w:i w:val="0"/>
          <w:iCs w:val="0"/>
          <w:lang w:val="en-GB"/>
        </w:rPr>
        <w:t xml:space="preserve"> </w:t>
      </w:r>
      <w:r w:rsidRPr="00CD59CC">
        <w:rPr>
          <w:rFonts w:ascii="Arial" w:hAnsi="Arial" w:cs="Arial"/>
          <w:i w:val="0"/>
          <w:iCs w:val="0"/>
          <w:lang w:val="en-GB"/>
        </w:rPr>
        <w:t>proof</w:t>
      </w:r>
      <w:r w:rsidR="007B7640" w:rsidRPr="00CD59CC">
        <w:rPr>
          <w:rFonts w:ascii="Arial" w:hAnsi="Arial" w:cs="Arial"/>
          <w:i w:val="0"/>
          <w:iCs w:val="0"/>
          <w:lang w:val="en-GB"/>
        </w:rPr>
        <w:t xml:space="preserve"> </w:t>
      </w:r>
      <w:r w:rsidRPr="00CD59CC">
        <w:rPr>
          <w:rFonts w:ascii="Arial" w:hAnsi="Arial" w:cs="Arial"/>
          <w:i w:val="0"/>
          <w:iCs w:val="0"/>
          <w:lang w:val="en-GB"/>
        </w:rPr>
        <w:t>in</w:t>
      </w:r>
      <w:r w:rsidR="007B7640" w:rsidRPr="00CD59CC">
        <w:rPr>
          <w:rFonts w:ascii="Arial" w:hAnsi="Arial" w:cs="Arial"/>
          <w:i w:val="0"/>
          <w:iCs w:val="0"/>
          <w:lang w:val="en-GB"/>
        </w:rPr>
        <w:t xml:space="preserve"> </w:t>
      </w:r>
      <w:r w:rsidRPr="00CD59CC">
        <w:rPr>
          <w:rFonts w:ascii="Arial" w:hAnsi="Arial" w:cs="Arial"/>
          <w:i w:val="0"/>
          <w:iCs w:val="0"/>
          <w:lang w:val="en-GB"/>
        </w:rPr>
        <w:t>relation</w:t>
      </w:r>
      <w:r w:rsidR="007B7640" w:rsidRPr="00CD59CC">
        <w:rPr>
          <w:rFonts w:ascii="Arial" w:hAnsi="Arial" w:cs="Arial"/>
          <w:i w:val="0"/>
          <w:iCs w:val="0"/>
          <w:lang w:val="en-GB"/>
        </w:rPr>
        <w:t xml:space="preserve"> </w:t>
      </w:r>
      <w:r w:rsidRPr="00CD59CC">
        <w:rPr>
          <w:rFonts w:ascii="Arial" w:hAnsi="Arial" w:cs="Arial"/>
          <w:i w:val="0"/>
          <w:iCs w:val="0"/>
          <w:lang w:val="en-GB"/>
        </w:rPr>
        <w:t>to</w:t>
      </w:r>
      <w:r w:rsidR="007B7640" w:rsidRPr="00CD59CC">
        <w:rPr>
          <w:rFonts w:ascii="Arial" w:hAnsi="Arial" w:cs="Arial"/>
          <w:i w:val="0"/>
          <w:iCs w:val="0"/>
          <w:lang w:val="en-GB"/>
        </w:rPr>
        <w:t xml:space="preserve"> </w:t>
      </w:r>
      <w:r w:rsidRPr="00CD59CC">
        <w:rPr>
          <w:rFonts w:ascii="Arial" w:hAnsi="Arial" w:cs="Arial"/>
          <w:i w:val="0"/>
          <w:iCs w:val="0"/>
          <w:lang w:val="en-GB"/>
        </w:rPr>
        <w:t>the</w:t>
      </w:r>
      <w:r w:rsidR="007B7640" w:rsidRPr="00CD59CC">
        <w:rPr>
          <w:rFonts w:ascii="Arial" w:hAnsi="Arial" w:cs="Arial"/>
          <w:i w:val="0"/>
          <w:iCs w:val="0"/>
          <w:lang w:val="en-GB"/>
        </w:rPr>
        <w:t xml:space="preserve"> </w:t>
      </w:r>
      <w:r w:rsidRPr="00CD59CC">
        <w:rPr>
          <w:rFonts w:ascii="Arial" w:hAnsi="Arial" w:cs="Arial"/>
          <w:i w:val="0"/>
          <w:iCs w:val="0"/>
          <w:lang w:val="en-GB"/>
        </w:rPr>
        <w:t>reasonable</w:t>
      </w:r>
      <w:r w:rsidR="007B7640" w:rsidRPr="00CD59CC">
        <w:rPr>
          <w:rFonts w:ascii="Arial" w:hAnsi="Arial" w:cs="Arial"/>
          <w:i w:val="0"/>
          <w:iCs w:val="0"/>
          <w:lang w:val="en-GB"/>
        </w:rPr>
        <w:t xml:space="preserve"> </w:t>
      </w:r>
      <w:r w:rsidRPr="00CD59CC">
        <w:rPr>
          <w:rFonts w:ascii="Arial" w:hAnsi="Arial" w:cs="Arial"/>
          <w:i w:val="0"/>
          <w:iCs w:val="0"/>
          <w:lang w:val="en-GB"/>
        </w:rPr>
        <w:t>accommodation</w:t>
      </w:r>
      <w:r w:rsidR="007B7640" w:rsidRPr="00CD59CC">
        <w:rPr>
          <w:rFonts w:ascii="Arial" w:hAnsi="Arial" w:cs="Arial"/>
          <w:i w:val="0"/>
          <w:iCs w:val="0"/>
          <w:lang w:val="en-GB"/>
        </w:rPr>
        <w:t xml:space="preserve"> </w:t>
      </w:r>
      <w:r w:rsidRPr="00CD59CC">
        <w:rPr>
          <w:rFonts w:ascii="Arial" w:hAnsi="Arial" w:cs="Arial"/>
          <w:i w:val="0"/>
          <w:iCs w:val="0"/>
          <w:lang w:val="en-GB"/>
        </w:rPr>
        <w:t>duty.</w:t>
      </w:r>
      <w:r w:rsidR="007B7640" w:rsidRPr="00CD59CC">
        <w:rPr>
          <w:rFonts w:ascii="Arial" w:hAnsi="Arial" w:cs="Arial"/>
          <w:i w:val="0"/>
          <w:iCs w:val="0"/>
          <w:lang w:val="en-GB"/>
        </w:rPr>
        <w:t xml:space="preserve"> </w:t>
      </w:r>
    </w:p>
    <w:p w14:paraId="727F7E8E" w14:textId="77777777" w:rsidR="00FD3C9E" w:rsidRPr="00CD59CC" w:rsidRDefault="00FD3C9E" w:rsidP="00BB4E9F">
      <w:pPr>
        <w:pStyle w:val="BodyText"/>
        <w:rPr>
          <w:rFonts w:ascii="Arial" w:hAnsi="Arial" w:cs="Arial"/>
          <w:i w:val="0"/>
          <w:iCs w:val="0"/>
          <w:lang w:val="en-GB"/>
        </w:rPr>
      </w:pPr>
    </w:p>
    <w:p w14:paraId="2026FBE2" w14:textId="77777777" w:rsidR="002B5BCD" w:rsidRPr="00CD59CC" w:rsidRDefault="002B5BCD" w:rsidP="00CD59CC">
      <w:pPr>
        <w:numPr>
          <w:ilvl w:val="0"/>
          <w:numId w:val="9"/>
        </w:numPr>
        <w:ind w:left="567" w:hanging="567"/>
        <w:rPr>
          <w:rFonts w:ascii="Arial" w:hAnsi="Arial" w:cs="Arial"/>
          <w:i/>
        </w:rPr>
      </w:pP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require</w:t>
      </w:r>
      <w:r w:rsidR="007B7640" w:rsidRPr="00CD59CC">
        <w:rPr>
          <w:rFonts w:ascii="Arial" w:hAnsi="Arial" w:cs="Arial"/>
          <w:i/>
        </w:rPr>
        <w:t xml:space="preserve"> </w:t>
      </w:r>
      <w:r w:rsidRPr="00CD59CC">
        <w:rPr>
          <w:rFonts w:ascii="Arial" w:hAnsi="Arial" w:cs="Arial"/>
          <w:i/>
        </w:rPr>
        <w:t>services</w:t>
      </w:r>
      <w:r w:rsidR="007B7640" w:rsidRPr="00CD59CC">
        <w:rPr>
          <w:rFonts w:ascii="Arial" w:hAnsi="Arial" w:cs="Arial"/>
          <w:i/>
        </w:rPr>
        <w:t xml:space="preserve"> </w:t>
      </w:r>
      <w:r w:rsidRPr="00CD59CC">
        <w:rPr>
          <w:rFonts w:ascii="Arial" w:hAnsi="Arial" w:cs="Arial"/>
          <w:i/>
        </w:rPr>
        <w:t>available</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public,</w:t>
      </w:r>
      <w:r w:rsidR="007B7640" w:rsidRPr="00CD59CC">
        <w:rPr>
          <w:rFonts w:ascii="Arial" w:hAnsi="Arial" w:cs="Arial"/>
          <w:i/>
        </w:rPr>
        <w:t xml:space="preserve"> </w:t>
      </w:r>
      <w:r w:rsidRPr="00CD59CC">
        <w:rPr>
          <w:rFonts w:ascii="Arial" w:hAnsi="Arial" w:cs="Arial"/>
          <w:i/>
        </w:rPr>
        <w:t>buildings</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infrastructure</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designed</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built</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disability-accessible</w:t>
      </w:r>
      <w:r w:rsidR="007B7640" w:rsidRPr="00CD59CC">
        <w:rPr>
          <w:rFonts w:ascii="Arial" w:hAnsi="Arial" w:cs="Arial"/>
          <w:i/>
        </w:rPr>
        <w:t xml:space="preserve"> </w:t>
      </w:r>
      <w:r w:rsidRPr="00CD59CC">
        <w:rPr>
          <w:rFonts w:ascii="Arial" w:hAnsi="Arial" w:cs="Arial"/>
          <w:i/>
        </w:rPr>
        <w:t>way?</w:t>
      </w:r>
      <w:r w:rsidR="007B7640" w:rsidRPr="00CD59CC">
        <w:rPr>
          <w:rFonts w:ascii="Arial" w:hAnsi="Arial" w:cs="Arial"/>
          <w:i/>
        </w:rPr>
        <w:t xml:space="preserve"> </w:t>
      </w:r>
      <w:r w:rsidRPr="00CD59CC">
        <w:rPr>
          <w:rFonts w:ascii="Arial" w:hAnsi="Arial" w:cs="Arial"/>
          <w:i/>
        </w:rPr>
        <w:t>If</w:t>
      </w:r>
      <w:r w:rsidR="007B7640" w:rsidRPr="00CD59CC">
        <w:rPr>
          <w:rFonts w:ascii="Arial" w:hAnsi="Arial" w:cs="Arial"/>
          <w:i/>
        </w:rPr>
        <w:t xml:space="preserve"> </w:t>
      </w:r>
      <w:r w:rsidRPr="00CD59CC">
        <w:rPr>
          <w:rFonts w:ascii="Arial" w:hAnsi="Arial" w:cs="Arial"/>
          <w:i/>
        </w:rPr>
        <w:t>so,</w:t>
      </w:r>
      <w:r w:rsidR="007B7640" w:rsidRPr="00CD59CC">
        <w:rPr>
          <w:rFonts w:ascii="Arial" w:hAnsi="Arial" w:cs="Arial"/>
          <w:i/>
        </w:rPr>
        <w:t xml:space="preserve"> </w:t>
      </w:r>
      <w:r w:rsidRPr="00CD59CC">
        <w:rPr>
          <w:rFonts w:ascii="Arial" w:hAnsi="Arial" w:cs="Arial"/>
          <w:i/>
        </w:rPr>
        <w:t>could</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has</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failure</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comply</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such</w:t>
      </w:r>
      <w:r w:rsidR="007B7640" w:rsidRPr="00CD59CC">
        <w:rPr>
          <w:rFonts w:ascii="Arial" w:hAnsi="Arial" w:cs="Arial"/>
          <w:i/>
        </w:rPr>
        <w:t xml:space="preserve"> </w:t>
      </w:r>
      <w:r w:rsidRPr="00CD59CC">
        <w:rPr>
          <w:rFonts w:ascii="Arial" w:hAnsi="Arial" w:cs="Arial"/>
          <w:i/>
        </w:rPr>
        <w:t>legislation</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relied</w:t>
      </w:r>
      <w:r w:rsidR="007B7640" w:rsidRPr="00CD59CC">
        <w:rPr>
          <w:rFonts w:ascii="Arial" w:hAnsi="Arial" w:cs="Arial"/>
          <w:i/>
        </w:rPr>
        <w:t xml:space="preserve"> </w:t>
      </w:r>
      <w:r w:rsidRPr="00CD59CC">
        <w:rPr>
          <w:rFonts w:ascii="Arial" w:hAnsi="Arial" w:cs="Arial"/>
          <w:i/>
        </w:rPr>
        <w:t>upon</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case</w:t>
      </w:r>
      <w:r w:rsidR="007B7640" w:rsidRPr="00CD59CC">
        <w:rPr>
          <w:rFonts w:ascii="Arial" w:hAnsi="Arial" w:cs="Arial"/>
          <w:i/>
        </w:rPr>
        <w:t xml:space="preserve"> </w:t>
      </w:r>
      <w:r w:rsidRPr="00CD59CC">
        <w:rPr>
          <w:rFonts w:ascii="Arial" w:hAnsi="Arial" w:cs="Arial"/>
          <w:i/>
        </w:rPr>
        <w:t>based</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legislation</w:t>
      </w:r>
      <w:r w:rsidR="007B7640" w:rsidRPr="00CD59CC">
        <w:rPr>
          <w:rFonts w:ascii="Arial" w:hAnsi="Arial" w:cs="Arial"/>
          <w:i/>
        </w:rPr>
        <w:t xml:space="preserve"> </w:t>
      </w:r>
      <w:r w:rsidRPr="00CD59CC">
        <w:rPr>
          <w:rFonts w:ascii="Arial" w:hAnsi="Arial" w:cs="Arial"/>
          <w:i/>
        </w:rPr>
        <w:t>transposing</w:t>
      </w:r>
      <w:r w:rsidR="007B7640" w:rsidRPr="00CD59CC">
        <w:rPr>
          <w:rFonts w:ascii="Arial" w:hAnsi="Arial" w:cs="Arial"/>
          <w:i/>
        </w:rPr>
        <w:t xml:space="preserve"> </w:t>
      </w:r>
      <w:r w:rsidRPr="00CD59CC">
        <w:rPr>
          <w:rFonts w:ascii="Arial" w:hAnsi="Arial" w:cs="Arial"/>
          <w:i/>
        </w:rPr>
        <w:t>Directive</w:t>
      </w:r>
      <w:r w:rsidR="007B7640" w:rsidRPr="00CD59CC">
        <w:rPr>
          <w:rFonts w:ascii="Arial" w:hAnsi="Arial" w:cs="Arial"/>
          <w:i/>
        </w:rPr>
        <w:t xml:space="preserve"> </w:t>
      </w:r>
      <w:r w:rsidRPr="00CD59CC">
        <w:rPr>
          <w:rFonts w:ascii="Arial" w:hAnsi="Arial" w:cs="Arial"/>
          <w:i/>
        </w:rPr>
        <w:t>2000/78?</w:t>
      </w:r>
    </w:p>
    <w:p w14:paraId="1299CEF7" w14:textId="77777777" w:rsidR="002B5BCD" w:rsidRPr="00CD59CC" w:rsidRDefault="002B5BCD" w:rsidP="00CD59CC">
      <w:pPr>
        <w:ind w:left="567" w:hanging="567"/>
        <w:rPr>
          <w:rFonts w:ascii="Arial" w:hAnsi="Arial" w:cs="Arial"/>
        </w:rPr>
      </w:pPr>
    </w:p>
    <w:p w14:paraId="31A5A69C" w14:textId="47DE7E5D" w:rsidR="00FD3C9E" w:rsidRPr="00CD59CC" w:rsidRDefault="00FD3C9E" w:rsidP="00CD59CC">
      <w:pPr>
        <w:rPr>
          <w:rFonts w:ascii="Arial" w:hAnsi="Arial" w:cs="Arial"/>
        </w:rPr>
      </w:pP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29</w:t>
      </w:r>
      <w:r w:rsidR="007B7640" w:rsidRPr="00CD59CC">
        <w:rPr>
          <w:rFonts w:ascii="Arial" w:hAnsi="Arial" w:cs="Arial"/>
        </w:rPr>
        <w:t xml:space="preserve"> </w:t>
      </w:r>
      <w:r w:rsidRPr="00CD59CC">
        <w:rPr>
          <w:rFonts w:ascii="Arial" w:hAnsi="Arial" w:cs="Arial"/>
        </w:rPr>
        <w:t>(6)</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existing</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coming</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force</w:t>
      </w:r>
      <w:r w:rsidR="007B7640" w:rsidRPr="00CD59CC">
        <w:rPr>
          <w:rFonts w:ascii="Arial" w:hAnsi="Arial" w:cs="Arial"/>
        </w:rPr>
        <w:t xml:space="preserve"> </w:t>
      </w:r>
      <w:r w:rsidRPr="00CD59CC">
        <w:rPr>
          <w:rFonts w:ascii="Arial" w:hAnsi="Arial" w:cs="Arial"/>
        </w:rPr>
        <w:t>(January</w:t>
      </w:r>
      <w:r w:rsidR="007B7640" w:rsidRPr="00CD59CC">
        <w:rPr>
          <w:rFonts w:ascii="Arial" w:hAnsi="Arial" w:cs="Arial"/>
        </w:rPr>
        <w:t xml:space="preserve"> </w:t>
      </w:r>
      <w:r w:rsidRPr="00CD59CC">
        <w:rPr>
          <w:rFonts w:ascii="Arial" w:hAnsi="Arial" w:cs="Arial"/>
        </w:rPr>
        <w:t>1999)</w:t>
      </w:r>
      <w:r w:rsidR="007B7640" w:rsidRPr="00CD59CC">
        <w:rPr>
          <w:rFonts w:ascii="Arial" w:hAnsi="Arial" w:cs="Arial"/>
        </w:rPr>
        <w:t xml:space="preserve"> </w:t>
      </w:r>
      <w:r w:rsidRPr="00CD59CC">
        <w:rPr>
          <w:rFonts w:ascii="Arial" w:hAnsi="Arial" w:cs="Arial"/>
        </w:rPr>
        <w:t>ought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January</w:t>
      </w:r>
      <w:r w:rsidR="007B7640" w:rsidRPr="00CD59CC">
        <w:rPr>
          <w:rFonts w:ascii="Arial" w:hAnsi="Arial" w:cs="Arial"/>
        </w:rPr>
        <w:t xml:space="preserve"> </w:t>
      </w:r>
      <w:r w:rsidRPr="00CD59CC">
        <w:rPr>
          <w:rFonts w:ascii="Arial" w:hAnsi="Arial" w:cs="Arial"/>
        </w:rPr>
        <w:t>2005.</w:t>
      </w:r>
      <w:r w:rsidR="007B7640" w:rsidRPr="00CD59CC">
        <w:rPr>
          <w:rFonts w:ascii="Arial" w:hAnsi="Arial" w:cs="Arial"/>
        </w:rPr>
        <w:t xml:space="preserve"> </w:t>
      </w:r>
      <w:r w:rsidRPr="00CD59CC">
        <w:rPr>
          <w:rFonts w:ascii="Arial" w:hAnsi="Arial" w:cs="Arial"/>
        </w:rPr>
        <w:t>Furthermore,</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LXXVIII</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1997</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lastRenderedPageBreak/>
        <w:t>Building</w:t>
      </w:r>
      <w:r w:rsidR="007B7640" w:rsidRPr="00CD59CC">
        <w:rPr>
          <w:rFonts w:ascii="Arial" w:hAnsi="Arial" w:cs="Arial"/>
        </w:rPr>
        <w:t xml:space="preserve"> </w:t>
      </w:r>
      <w:r w:rsidRPr="00CD59CC">
        <w:rPr>
          <w:rFonts w:ascii="Arial" w:hAnsi="Arial" w:cs="Arial"/>
        </w:rPr>
        <w:t>Matters</w:t>
      </w:r>
      <w:r w:rsidR="007B7640" w:rsidRPr="00CD59CC">
        <w:rPr>
          <w:rFonts w:ascii="Arial" w:hAnsi="Arial" w:cs="Arial"/>
        </w:rPr>
        <w:t xml:space="preserve"> </w:t>
      </w:r>
      <w:r w:rsidRPr="00CD59CC">
        <w:rPr>
          <w:rFonts w:ascii="Arial" w:hAnsi="Arial" w:cs="Arial"/>
        </w:rPr>
        <w:t>prescribed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after</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January</w:t>
      </w:r>
      <w:r w:rsidR="007B7640" w:rsidRPr="00CD59CC">
        <w:rPr>
          <w:rFonts w:ascii="Arial" w:hAnsi="Arial" w:cs="Arial"/>
        </w:rPr>
        <w:t xml:space="preserve"> </w:t>
      </w:r>
      <w:r w:rsidRPr="00CD59CC">
        <w:rPr>
          <w:rFonts w:ascii="Arial" w:hAnsi="Arial" w:cs="Arial"/>
        </w:rPr>
        <w:t>1998</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coming</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force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competent</w:t>
      </w:r>
      <w:r w:rsidR="007B7640" w:rsidRPr="00CD59CC">
        <w:rPr>
          <w:rFonts w:ascii="Arial" w:hAnsi="Arial" w:cs="Arial"/>
        </w:rPr>
        <w:t xml:space="preserve"> </w:t>
      </w:r>
      <w:r w:rsidRPr="00CD59CC">
        <w:rPr>
          <w:rFonts w:ascii="Arial" w:hAnsi="Arial" w:cs="Arial"/>
        </w:rPr>
        <w:t>building</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issue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permission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construction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reconstruction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envisaged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guarantee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January</w:t>
      </w:r>
      <w:r w:rsidR="007B7640" w:rsidRPr="00CD59CC">
        <w:rPr>
          <w:rFonts w:ascii="Arial" w:hAnsi="Arial" w:cs="Arial"/>
        </w:rPr>
        <w:t xml:space="preserve"> </w:t>
      </w:r>
      <w:r w:rsidRPr="00CD59CC">
        <w:rPr>
          <w:rFonts w:ascii="Arial" w:hAnsi="Arial" w:cs="Arial"/>
        </w:rPr>
        <w:t>2005</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00222648" w:rsidRPr="00CD59CC">
        <w:rPr>
          <w:rFonts w:ascii="Arial" w:hAnsi="Arial" w:cs="Arial"/>
        </w:rPr>
        <w:t>would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p>
    <w:p w14:paraId="3AF57016" w14:textId="77777777" w:rsidR="00FD3C9E" w:rsidRPr="00CD59CC" w:rsidRDefault="00FD3C9E" w:rsidP="00CD59CC">
      <w:pPr>
        <w:rPr>
          <w:rFonts w:ascii="Arial" w:hAnsi="Arial" w:cs="Arial"/>
        </w:rPr>
      </w:pPr>
    </w:p>
    <w:p w14:paraId="74D9C56B" w14:textId="77777777" w:rsidR="00FD3C9E" w:rsidRPr="00CD59CC" w:rsidRDefault="00FD3C9E" w:rsidP="00CD59CC">
      <w:pPr>
        <w:rPr>
          <w:rFonts w:ascii="Arial" w:hAnsi="Arial" w:cs="Arial"/>
        </w:rPr>
      </w:pPr>
      <w:r w:rsidRPr="00CD59CC">
        <w:rPr>
          <w:rFonts w:ascii="Arial" w:hAnsi="Arial" w:cs="Arial"/>
        </w:rPr>
        <w:t>However,</w:t>
      </w:r>
      <w:r w:rsidR="007B7640" w:rsidRPr="00CD59CC">
        <w:rPr>
          <w:rFonts w:ascii="Arial" w:hAnsi="Arial" w:cs="Arial"/>
        </w:rPr>
        <w:t xml:space="preserve"> </w:t>
      </w: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reliable</w:t>
      </w:r>
      <w:r w:rsidR="007B7640" w:rsidRPr="00CD59CC">
        <w:rPr>
          <w:rFonts w:ascii="Arial" w:hAnsi="Arial" w:cs="Arial"/>
        </w:rPr>
        <w:t xml:space="preserve"> </w:t>
      </w:r>
      <w:r w:rsidRPr="00CD59CC">
        <w:rPr>
          <w:rFonts w:ascii="Arial" w:hAnsi="Arial" w:cs="Arial"/>
        </w:rPr>
        <w:t>estimates,</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could</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about</w:t>
      </w:r>
      <w:r w:rsidR="007B7640" w:rsidRPr="00CD59CC">
        <w:rPr>
          <w:rFonts w:ascii="Arial" w:hAnsi="Arial" w:cs="Arial"/>
        </w:rPr>
        <w:t xml:space="preserve"> </w:t>
      </w:r>
      <w:r w:rsidRPr="00CD59CC">
        <w:rPr>
          <w:rFonts w:ascii="Arial" w:hAnsi="Arial" w:cs="Arial"/>
        </w:rPr>
        <w:t>20</w:t>
      </w:r>
      <w:r w:rsidR="007B7640" w:rsidRPr="00CD59CC">
        <w:rPr>
          <w:rFonts w:ascii="Arial" w:hAnsi="Arial" w:cs="Arial"/>
        </w:rPr>
        <w:t xml:space="preserve"> </w:t>
      </w:r>
      <w:r w:rsidRPr="00CD59CC">
        <w:rPr>
          <w:rFonts w:ascii="Arial" w:hAnsi="Arial" w:cs="Arial"/>
        </w:rPr>
        <w:t>percent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Hungary's</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beginning</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year</w:t>
      </w:r>
      <w:r w:rsidR="007B7640" w:rsidRPr="00CD59CC">
        <w:rPr>
          <w:rFonts w:ascii="Arial" w:hAnsi="Arial" w:cs="Arial"/>
        </w:rPr>
        <w:t xml:space="preserve"> </w:t>
      </w:r>
      <w:r w:rsidRPr="00CD59CC">
        <w:rPr>
          <w:rFonts w:ascii="Arial" w:hAnsi="Arial" w:cs="Arial"/>
        </w:rPr>
        <w:t>2005.</w:t>
      </w:r>
      <w:r w:rsidR="007B7640" w:rsidRPr="00CD59CC">
        <w:rPr>
          <w:rFonts w:ascii="Arial" w:hAnsi="Arial" w:cs="Arial"/>
        </w:rPr>
        <w:t xml:space="preserve"> </w:t>
      </w:r>
    </w:p>
    <w:p w14:paraId="61779A5F" w14:textId="77777777" w:rsidR="00FD3C9E" w:rsidRPr="00CD59CC" w:rsidRDefault="00FD3C9E" w:rsidP="00CD59CC">
      <w:pPr>
        <w:rPr>
          <w:rFonts w:ascii="Arial" w:hAnsi="Arial" w:cs="Arial"/>
        </w:rPr>
      </w:pPr>
    </w:p>
    <w:p w14:paraId="446A1C22" w14:textId="77777777" w:rsidR="00FD3C9E" w:rsidRPr="00CD59CC" w:rsidRDefault="00FD3C9E"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September</w:t>
      </w:r>
      <w:r w:rsidR="007B7640" w:rsidRPr="00CD59CC">
        <w:rPr>
          <w:rFonts w:ascii="Arial" w:hAnsi="Arial" w:cs="Arial"/>
        </w:rPr>
        <w:t xml:space="preserve"> </w:t>
      </w:r>
      <w:r w:rsidRPr="00CD59CC">
        <w:rPr>
          <w:rFonts w:ascii="Arial" w:hAnsi="Arial" w:cs="Arial"/>
        </w:rPr>
        <w:t>2005</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Federation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Associations</w:t>
      </w:r>
      <w:r w:rsidR="007B7640" w:rsidRPr="00CD59CC">
        <w:rPr>
          <w:rFonts w:ascii="Arial" w:hAnsi="Arial" w:cs="Arial"/>
        </w:rPr>
        <w:t xml:space="preserve"> </w:t>
      </w:r>
      <w:r w:rsidRPr="00CD59CC">
        <w:rPr>
          <w:rFonts w:ascii="Arial" w:hAnsi="Arial" w:cs="Arial"/>
        </w:rPr>
        <w:t>decided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launch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series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test</w:t>
      </w:r>
      <w:r w:rsidR="007B7640" w:rsidRPr="00CD59CC">
        <w:rPr>
          <w:rFonts w:ascii="Arial" w:hAnsi="Arial" w:cs="Arial"/>
        </w:rPr>
        <w:t xml:space="preserve"> </w:t>
      </w:r>
      <w:r w:rsidRPr="00CD59CC">
        <w:rPr>
          <w:rFonts w:ascii="Arial" w:hAnsi="Arial" w:cs="Arial"/>
        </w:rPr>
        <w:t>trials</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types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built</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reconstructed</w:t>
      </w:r>
      <w:r w:rsidR="007B7640" w:rsidRPr="00CD59CC">
        <w:rPr>
          <w:rFonts w:ascii="Arial" w:hAnsi="Arial" w:cs="Arial"/>
        </w:rPr>
        <w:t xml:space="preserve"> </w:t>
      </w:r>
      <w:r w:rsidRPr="00CD59CC">
        <w:rPr>
          <w:rFonts w:ascii="Arial" w:hAnsi="Arial" w:cs="Arial"/>
        </w:rPr>
        <w:t>after</w:t>
      </w:r>
      <w:r w:rsidR="007B7640" w:rsidRPr="00CD59CC">
        <w:rPr>
          <w:rFonts w:ascii="Arial" w:hAnsi="Arial" w:cs="Arial"/>
        </w:rPr>
        <w:t xml:space="preserve"> </w:t>
      </w:r>
      <w:r w:rsidRPr="00CD59CC">
        <w:rPr>
          <w:rFonts w:ascii="Arial" w:hAnsi="Arial" w:cs="Arial"/>
        </w:rPr>
        <w:t>1998.</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types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institutions</w:t>
      </w:r>
      <w:r w:rsidR="007B7640" w:rsidRPr="00CD59CC">
        <w:rPr>
          <w:rFonts w:ascii="Arial" w:hAnsi="Arial" w:cs="Arial"/>
        </w:rPr>
        <w:t xml:space="preserve"> </w:t>
      </w:r>
      <w:r w:rsidRPr="00CD59CC">
        <w:rPr>
          <w:rFonts w:ascii="Arial" w:hAnsi="Arial" w:cs="Arial"/>
        </w:rPr>
        <w:t>included</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others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surgery,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pharmacy,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town</w:t>
      </w:r>
      <w:r w:rsidR="007B7640" w:rsidRPr="00CD59CC">
        <w:rPr>
          <w:rFonts w:ascii="Arial" w:hAnsi="Arial" w:cs="Arial"/>
        </w:rPr>
        <w:t xml:space="preserve"> </w:t>
      </w:r>
      <w:r w:rsidRPr="00CD59CC">
        <w:rPr>
          <w:rFonts w:ascii="Arial" w:hAnsi="Arial" w:cs="Arial"/>
        </w:rPr>
        <w:t>hall,</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agency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court.</w:t>
      </w:r>
      <w:r w:rsidRPr="00CD59CC">
        <w:rPr>
          <w:rStyle w:val="Lbjegyzet-karakterek"/>
          <w:rFonts w:ascii="Arial" w:hAnsi="Arial" w:cs="Arial"/>
        </w:rPr>
        <w:footnoteReference w:id="53"/>
      </w:r>
      <w:r w:rsidR="007B7640" w:rsidRPr="00CD59CC">
        <w:rPr>
          <w:rFonts w:ascii="Arial" w:hAnsi="Arial" w:cs="Arial"/>
        </w:rPr>
        <w:t xml:space="preserve"> </w:t>
      </w:r>
    </w:p>
    <w:p w14:paraId="35C6143A" w14:textId="77777777" w:rsidR="00FD3C9E" w:rsidRPr="00CD59CC" w:rsidRDefault="00FD3C9E" w:rsidP="00CD59CC">
      <w:pPr>
        <w:rPr>
          <w:rFonts w:ascii="Arial" w:hAnsi="Arial" w:cs="Arial"/>
        </w:rPr>
      </w:pPr>
    </w:p>
    <w:p w14:paraId="0B02C0AD" w14:textId="77777777" w:rsidR="00FD3C9E" w:rsidRDefault="00FD3C9E" w:rsidP="00CD59CC">
      <w:pPr>
        <w:rPr>
          <w:rFonts w:ascii="Arial" w:hAnsi="Arial" w:cs="Arial"/>
        </w:rPr>
      </w:pPr>
      <w:r w:rsidRPr="00CD59CC">
        <w:rPr>
          <w:rFonts w:ascii="Arial" w:hAnsi="Arial" w:cs="Arial"/>
        </w:rPr>
        <w:t>To</w:t>
      </w:r>
      <w:r w:rsidR="007B7640" w:rsidRPr="00CD59CC">
        <w:rPr>
          <w:rFonts w:ascii="Arial" w:hAnsi="Arial" w:cs="Arial"/>
        </w:rPr>
        <w:t xml:space="preserve"> </w:t>
      </w:r>
      <w:r w:rsidRPr="00CD59CC">
        <w:rPr>
          <w:rFonts w:ascii="Arial" w:hAnsi="Arial" w:cs="Arial"/>
        </w:rPr>
        <w:t>handle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amended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Parliament</w:t>
      </w:r>
      <w:r w:rsidR="007B7640" w:rsidRPr="00CD59CC">
        <w:rPr>
          <w:rFonts w:ascii="Arial" w:hAnsi="Arial" w:cs="Arial"/>
        </w:rPr>
        <w:t xml:space="preserve"> </w:t>
      </w:r>
      <w:r w:rsidRPr="00CD59CC">
        <w:rPr>
          <w:rFonts w:ascii="Arial" w:hAnsi="Arial" w:cs="Arial"/>
        </w:rPr>
        <w:t>through</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XXIII</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2007.</w:t>
      </w:r>
      <w:r w:rsidR="007B7640" w:rsidRPr="00CD59CC">
        <w:rPr>
          <w:rFonts w:ascii="Arial" w:hAnsi="Arial" w:cs="Arial"/>
        </w:rPr>
        <w:t xml:space="preserve"> </w:t>
      </w:r>
    </w:p>
    <w:p w14:paraId="03A66AE4" w14:textId="77777777" w:rsidR="00B97ED3" w:rsidRPr="00CD59CC" w:rsidRDefault="00B97ED3" w:rsidP="00CD59CC">
      <w:pPr>
        <w:rPr>
          <w:rFonts w:ascii="Arial" w:hAnsi="Arial" w:cs="Arial"/>
        </w:rPr>
      </w:pPr>
    </w:p>
    <w:p w14:paraId="225F6F97" w14:textId="77777777" w:rsidR="00FD3C9E" w:rsidRPr="00CD59CC" w:rsidRDefault="00FD3C9E"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inserted</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concept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(f)</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amended</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term</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cover</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others:</w:t>
      </w:r>
      <w:r w:rsidR="007B7640" w:rsidRPr="00CD59CC">
        <w:rPr>
          <w:rFonts w:ascii="Arial" w:hAnsi="Arial" w:cs="Arial"/>
        </w:rPr>
        <w:t xml:space="preserve"> </w:t>
      </w:r>
    </w:p>
    <w:p w14:paraId="4248C7A0" w14:textId="77777777" w:rsidR="00FD3C9E" w:rsidRPr="00CD59CC" w:rsidRDefault="00FD3C9E" w:rsidP="00CD59CC">
      <w:pPr>
        <w:rPr>
          <w:rFonts w:ascii="Arial" w:hAnsi="Arial" w:cs="Arial"/>
        </w:rPr>
      </w:pPr>
    </w:p>
    <w:p w14:paraId="7D1F21CF" w14:textId="77777777" w:rsidR="00FD3C9E" w:rsidRPr="00CD59CC" w:rsidRDefault="00FD3C9E" w:rsidP="00E34CF1">
      <w:pPr>
        <w:numPr>
          <w:ilvl w:val="0"/>
          <w:numId w:val="48"/>
        </w:numPr>
        <w:suppressAutoHyphens/>
        <w:rPr>
          <w:rFonts w:ascii="Arial" w:hAnsi="Arial" w:cs="Arial"/>
        </w:rPr>
      </w:pPr>
      <w:r w:rsidRPr="00CD59CC">
        <w:rPr>
          <w:rFonts w:ascii="Arial" w:hAnsi="Arial" w:cs="Arial"/>
        </w:rPr>
        <w:t>all</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activities</w:t>
      </w:r>
      <w:r w:rsidR="007B7640" w:rsidRPr="00CD59CC">
        <w:rPr>
          <w:rFonts w:ascii="Arial" w:hAnsi="Arial" w:cs="Arial"/>
        </w:rPr>
        <w:t xml:space="preserve"> </w:t>
      </w:r>
      <w:r w:rsidRPr="00CD59CC">
        <w:rPr>
          <w:rFonts w:ascii="Arial" w:hAnsi="Arial" w:cs="Arial"/>
        </w:rPr>
        <w:t>including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administrative,</w:t>
      </w:r>
      <w:r w:rsidR="007B7640" w:rsidRPr="00CD59CC">
        <w:rPr>
          <w:rFonts w:ascii="Arial" w:hAnsi="Arial" w:cs="Arial"/>
        </w:rPr>
        <w:t xml:space="preserve"> </w:t>
      </w:r>
      <w:r w:rsidRPr="00CD59CC">
        <w:rPr>
          <w:rFonts w:ascii="Arial" w:hAnsi="Arial" w:cs="Arial"/>
        </w:rPr>
        <w:t>justice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enforcement</w:t>
      </w:r>
      <w:r w:rsidR="007B7640" w:rsidRPr="00CD59CC">
        <w:rPr>
          <w:rFonts w:ascii="Arial" w:hAnsi="Arial" w:cs="Arial"/>
        </w:rPr>
        <w:t xml:space="preserve"> </w:t>
      </w:r>
      <w:r w:rsidRPr="00CD59CC">
        <w:rPr>
          <w:rFonts w:ascii="Arial" w:hAnsi="Arial" w:cs="Arial"/>
        </w:rPr>
        <w:t>activities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well</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cultural,</w:t>
      </w:r>
      <w:r w:rsidR="007B7640" w:rsidRPr="00CD59CC">
        <w:rPr>
          <w:rFonts w:ascii="Arial" w:hAnsi="Arial" w:cs="Arial"/>
        </w:rPr>
        <w:t xml:space="preserve"> </w:t>
      </w:r>
      <w:r w:rsidRPr="00CD59CC">
        <w:rPr>
          <w:rFonts w:ascii="Arial" w:hAnsi="Arial" w:cs="Arial"/>
        </w:rPr>
        <w:t>educational,</w:t>
      </w:r>
      <w:r w:rsidR="007B7640" w:rsidRPr="00CD59CC">
        <w:rPr>
          <w:rFonts w:ascii="Arial" w:hAnsi="Arial" w:cs="Arial"/>
        </w:rPr>
        <w:t xml:space="preserve"> </w:t>
      </w:r>
      <w:r w:rsidRPr="00CD59CC">
        <w:rPr>
          <w:rFonts w:ascii="Arial" w:hAnsi="Arial" w:cs="Arial"/>
        </w:rPr>
        <w:t>scientific,</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sports,</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care</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child</w:t>
      </w:r>
      <w:r w:rsidR="007B7640" w:rsidRPr="00CD59CC">
        <w:rPr>
          <w:rFonts w:ascii="Arial" w:hAnsi="Arial" w:cs="Arial"/>
        </w:rPr>
        <w:t xml:space="preserve"> </w:t>
      </w:r>
      <w:r w:rsidRPr="00CD59CC">
        <w:rPr>
          <w:rFonts w:ascii="Arial" w:hAnsi="Arial" w:cs="Arial"/>
        </w:rPr>
        <w:t>welfare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institutions</w:t>
      </w:r>
      <w:r w:rsidR="007B7640" w:rsidRPr="00CD59CC">
        <w:rPr>
          <w:rFonts w:ascii="Arial" w:hAnsi="Arial" w:cs="Arial"/>
        </w:rPr>
        <w:t xml:space="preserve"> </w:t>
      </w:r>
      <w:r w:rsidRPr="00CD59CC">
        <w:rPr>
          <w:rFonts w:ascii="Arial" w:hAnsi="Arial" w:cs="Arial"/>
        </w:rPr>
        <w:t>maintained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w:t>
      </w:r>
    </w:p>
    <w:p w14:paraId="2E60F67D" w14:textId="77777777" w:rsidR="00FD3C9E" w:rsidRPr="00CD59CC" w:rsidRDefault="00FD3C9E" w:rsidP="00E34CF1">
      <w:pPr>
        <w:numPr>
          <w:ilvl w:val="0"/>
          <w:numId w:val="48"/>
        </w:numPr>
        <w:suppressAutoHyphens/>
        <w:rPr>
          <w:rFonts w:ascii="Arial" w:hAnsi="Arial" w:cs="Arial"/>
        </w:rPr>
      </w:pPr>
      <w:r w:rsidRPr="00CD59CC">
        <w:rPr>
          <w:rFonts w:ascii="Arial" w:hAnsi="Arial" w:cs="Arial"/>
        </w:rPr>
        <w:t>all</w:t>
      </w:r>
      <w:r w:rsidR="007B7640" w:rsidRPr="00CD59CC">
        <w:rPr>
          <w:rFonts w:ascii="Arial" w:hAnsi="Arial" w:cs="Arial"/>
        </w:rPr>
        <w:t xml:space="preserve"> </w:t>
      </w:r>
      <w:r w:rsidRPr="00CD59CC">
        <w:rPr>
          <w:rFonts w:ascii="Arial" w:hAnsi="Arial" w:cs="Arial"/>
        </w:rPr>
        <w:t>activities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councils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cultural,</w:t>
      </w:r>
      <w:r w:rsidR="007B7640" w:rsidRPr="00CD59CC">
        <w:rPr>
          <w:rFonts w:ascii="Arial" w:hAnsi="Arial" w:cs="Arial"/>
        </w:rPr>
        <w:t xml:space="preserve"> </w:t>
      </w:r>
      <w:r w:rsidRPr="00CD59CC">
        <w:rPr>
          <w:rFonts w:ascii="Arial" w:hAnsi="Arial" w:cs="Arial"/>
        </w:rPr>
        <w:t>educational,</w:t>
      </w:r>
      <w:r w:rsidR="007B7640" w:rsidRPr="00CD59CC">
        <w:rPr>
          <w:rFonts w:ascii="Arial" w:hAnsi="Arial" w:cs="Arial"/>
        </w:rPr>
        <w:t xml:space="preserve"> </w:t>
      </w:r>
      <w:r w:rsidRPr="00CD59CC">
        <w:rPr>
          <w:rFonts w:ascii="Arial" w:hAnsi="Arial" w:cs="Arial"/>
        </w:rPr>
        <w:t>scientific,</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sports,</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care</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child</w:t>
      </w:r>
      <w:r w:rsidR="007B7640" w:rsidRPr="00CD59CC">
        <w:rPr>
          <w:rFonts w:ascii="Arial" w:hAnsi="Arial" w:cs="Arial"/>
        </w:rPr>
        <w:t xml:space="preserve"> </w:t>
      </w:r>
      <w:r w:rsidRPr="00CD59CC">
        <w:rPr>
          <w:rFonts w:ascii="Arial" w:hAnsi="Arial" w:cs="Arial"/>
        </w:rPr>
        <w:t>welfare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maintained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self-governments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denominations;</w:t>
      </w:r>
    </w:p>
    <w:p w14:paraId="58DCEFA7" w14:textId="77777777" w:rsidR="00FD3C9E" w:rsidRPr="00CD59CC" w:rsidRDefault="00FD3C9E" w:rsidP="00E34CF1">
      <w:pPr>
        <w:numPr>
          <w:ilvl w:val="0"/>
          <w:numId w:val="48"/>
        </w:numPr>
        <w:suppressAutoHyphens/>
        <w:rPr>
          <w:rFonts w:ascii="Arial" w:hAnsi="Arial" w:cs="Arial"/>
        </w:rPr>
      </w:pPr>
      <w:r w:rsidRPr="00CD59CC">
        <w:rPr>
          <w:rFonts w:ascii="Arial" w:hAnsi="Arial" w:cs="Arial"/>
        </w:rPr>
        <w:t>all</w:t>
      </w:r>
      <w:r w:rsidR="007B7640" w:rsidRPr="00CD59CC">
        <w:rPr>
          <w:rFonts w:ascii="Arial" w:hAnsi="Arial" w:cs="Arial"/>
        </w:rPr>
        <w:t xml:space="preserve"> </w:t>
      </w:r>
      <w:r w:rsidRPr="00CD59CC">
        <w:rPr>
          <w:rFonts w:ascii="Arial" w:hAnsi="Arial" w:cs="Arial"/>
        </w:rPr>
        <w:t>client-based</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available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public.</w:t>
      </w:r>
    </w:p>
    <w:p w14:paraId="2EE2B621" w14:textId="77777777" w:rsidR="00FD3C9E" w:rsidRPr="00CD59CC" w:rsidRDefault="00FD3C9E" w:rsidP="00CD59CC">
      <w:pPr>
        <w:rPr>
          <w:rFonts w:ascii="Arial" w:hAnsi="Arial" w:cs="Arial"/>
        </w:rPr>
      </w:pPr>
    </w:p>
    <w:p w14:paraId="4A71EF5F" w14:textId="77777777" w:rsidR="00FD3C9E" w:rsidRPr="00CD59CC" w:rsidRDefault="00FD3C9E"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p>
    <w:p w14:paraId="0FF8F21F" w14:textId="77777777" w:rsidR="00FD3C9E" w:rsidRPr="00CD59CC" w:rsidRDefault="00FD3C9E" w:rsidP="00CD59CC">
      <w:pPr>
        <w:rPr>
          <w:rFonts w:ascii="Arial" w:hAnsi="Arial" w:cs="Arial"/>
        </w:rPr>
      </w:pPr>
    </w:p>
    <w:p w14:paraId="5C6D443C" w14:textId="77777777" w:rsidR="00FD3C9E" w:rsidRPr="00CD59CC" w:rsidRDefault="00FD3C9E" w:rsidP="00E34CF1">
      <w:pPr>
        <w:numPr>
          <w:ilvl w:val="0"/>
          <w:numId w:val="49"/>
        </w:numPr>
        <w:ind w:left="567" w:hanging="567"/>
        <w:rPr>
          <w:rFonts w:ascii="Arial" w:hAnsi="Arial" w:cs="Arial"/>
        </w:rPr>
      </w:pPr>
      <w:r w:rsidRPr="00CD59CC">
        <w:rPr>
          <w:rFonts w:ascii="Arial" w:hAnsi="Arial" w:cs="Arial"/>
        </w:rPr>
        <w:t>a</w:t>
      </w:r>
      <w:r w:rsidR="007B7640" w:rsidRPr="00CD59CC">
        <w:rPr>
          <w:rFonts w:ascii="Arial" w:hAnsi="Arial" w:cs="Arial"/>
        </w:rPr>
        <w:t xml:space="preserve"> </w:t>
      </w:r>
      <w:r w:rsidRPr="00CD59CC">
        <w:rPr>
          <w:rFonts w:ascii="Arial" w:hAnsi="Arial" w:cs="Arial"/>
        </w:rPr>
        <w:t>service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“equally</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foreseeable,</w:t>
      </w:r>
      <w:r w:rsidR="007B7640" w:rsidRPr="00CD59CC">
        <w:rPr>
          <w:rFonts w:ascii="Arial" w:hAnsi="Arial" w:cs="Arial"/>
        </w:rPr>
        <w:t xml:space="preserve"> </w:t>
      </w:r>
      <w:r w:rsidRPr="00CD59CC">
        <w:rPr>
          <w:rFonts w:ascii="Arial" w:hAnsi="Arial" w:cs="Arial"/>
        </w:rPr>
        <w:t>comprehensible,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perceivable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independently</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allowed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given</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status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everyone,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whose</w:t>
      </w:r>
      <w:r w:rsidR="007B7640" w:rsidRPr="00CD59CC">
        <w:rPr>
          <w:rFonts w:ascii="Arial" w:hAnsi="Arial" w:cs="Arial"/>
        </w:rPr>
        <w:t xml:space="preserve"> </w:t>
      </w:r>
      <w:r w:rsidRPr="00CD59CC">
        <w:rPr>
          <w:rFonts w:ascii="Arial" w:hAnsi="Arial" w:cs="Arial"/>
        </w:rPr>
        <w:t>locomotive,</w:t>
      </w:r>
      <w:r w:rsidR="007B7640" w:rsidRPr="00CD59CC">
        <w:rPr>
          <w:rFonts w:ascii="Arial" w:hAnsi="Arial" w:cs="Arial"/>
        </w:rPr>
        <w:t xml:space="preserve"> </w:t>
      </w:r>
      <w:r w:rsidRPr="00CD59CC">
        <w:rPr>
          <w:rFonts w:ascii="Arial" w:hAnsi="Arial" w:cs="Arial"/>
        </w:rPr>
        <w:t>visual,</w:t>
      </w:r>
      <w:r w:rsidR="007B7640" w:rsidRPr="00CD59CC">
        <w:rPr>
          <w:rFonts w:ascii="Arial" w:hAnsi="Arial" w:cs="Arial"/>
        </w:rPr>
        <w:t xml:space="preserve"> </w:t>
      </w:r>
      <w:r w:rsidRPr="00CD59CC">
        <w:rPr>
          <w:rFonts w:ascii="Arial" w:hAnsi="Arial" w:cs="Arial"/>
        </w:rPr>
        <w:t>audio,</w:t>
      </w:r>
      <w:r w:rsidR="007B7640" w:rsidRPr="00CD59CC">
        <w:rPr>
          <w:rFonts w:ascii="Arial" w:hAnsi="Arial" w:cs="Arial"/>
        </w:rPr>
        <w:t xml:space="preserve"> </w:t>
      </w:r>
      <w:r w:rsidRPr="00CD59CC">
        <w:rPr>
          <w:rFonts w:ascii="Arial" w:hAnsi="Arial" w:cs="Arial"/>
        </w:rPr>
        <w:t>mental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communicational</w:t>
      </w:r>
      <w:r w:rsidR="007B7640" w:rsidRPr="00CD59CC">
        <w:rPr>
          <w:rFonts w:ascii="Arial" w:hAnsi="Arial" w:cs="Arial"/>
        </w:rPr>
        <w:t xml:space="preserve"> </w:t>
      </w:r>
      <w:r w:rsidRPr="00CD59CC">
        <w:rPr>
          <w:rFonts w:ascii="Arial" w:hAnsi="Arial" w:cs="Arial"/>
        </w:rPr>
        <w:t>functions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restricted;</w:t>
      </w:r>
      <w:r w:rsidR="007B7640" w:rsidRPr="00CD59CC">
        <w:rPr>
          <w:rFonts w:ascii="Arial" w:hAnsi="Arial" w:cs="Arial"/>
        </w:rPr>
        <w:t xml:space="preserve"> </w:t>
      </w:r>
    </w:p>
    <w:p w14:paraId="66DF9BBE" w14:textId="77777777" w:rsidR="00FD3C9E" w:rsidRPr="00CD59CC" w:rsidRDefault="00FD3C9E" w:rsidP="00E34CF1">
      <w:pPr>
        <w:numPr>
          <w:ilvl w:val="0"/>
          <w:numId w:val="49"/>
        </w:numPr>
        <w:ind w:left="567" w:hanging="567"/>
        <w:rPr>
          <w:rFonts w:ascii="Arial" w:hAnsi="Arial" w:cs="Arial"/>
        </w:rPr>
      </w:pPr>
      <w:r w:rsidRPr="00CD59CC">
        <w:rPr>
          <w:rFonts w:ascii="Arial" w:hAnsi="Arial" w:cs="Arial"/>
        </w:rPr>
        <w:t>a</w:t>
      </w:r>
      <w:r w:rsidR="007B7640" w:rsidRPr="00CD59CC">
        <w:rPr>
          <w:rFonts w:ascii="Arial" w:hAnsi="Arial" w:cs="Arial"/>
        </w:rPr>
        <w:t xml:space="preserve"> </w:t>
      </w:r>
      <w:r w:rsidRPr="00CD59CC">
        <w:rPr>
          <w:rFonts w:ascii="Arial" w:hAnsi="Arial" w:cs="Arial"/>
        </w:rPr>
        <w:t>building</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“equally</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everyone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whose</w:t>
      </w:r>
      <w:r w:rsidR="007B7640" w:rsidRPr="00CD59CC">
        <w:rPr>
          <w:rFonts w:ascii="Arial" w:hAnsi="Arial" w:cs="Arial"/>
        </w:rPr>
        <w:t xml:space="preserve"> </w:t>
      </w:r>
      <w:r w:rsidRPr="00CD59CC">
        <w:rPr>
          <w:rFonts w:ascii="Arial" w:hAnsi="Arial" w:cs="Arial"/>
        </w:rPr>
        <w:t>locomotive,</w:t>
      </w:r>
      <w:r w:rsidR="007B7640" w:rsidRPr="00CD59CC">
        <w:rPr>
          <w:rFonts w:ascii="Arial" w:hAnsi="Arial" w:cs="Arial"/>
        </w:rPr>
        <w:t xml:space="preserve"> </w:t>
      </w:r>
      <w:r w:rsidRPr="00CD59CC">
        <w:rPr>
          <w:rFonts w:ascii="Arial" w:hAnsi="Arial" w:cs="Arial"/>
        </w:rPr>
        <w:t>visual,</w:t>
      </w:r>
      <w:r w:rsidR="007B7640" w:rsidRPr="00CD59CC">
        <w:rPr>
          <w:rFonts w:ascii="Arial" w:hAnsi="Arial" w:cs="Arial"/>
        </w:rPr>
        <w:t xml:space="preserve"> </w:t>
      </w:r>
      <w:r w:rsidRPr="00CD59CC">
        <w:rPr>
          <w:rFonts w:ascii="Arial" w:hAnsi="Arial" w:cs="Arial"/>
        </w:rPr>
        <w:t>audio,</w:t>
      </w:r>
      <w:r w:rsidR="007B7640" w:rsidRPr="00CD59CC">
        <w:rPr>
          <w:rFonts w:ascii="Arial" w:hAnsi="Arial" w:cs="Arial"/>
        </w:rPr>
        <w:t xml:space="preserve"> </w:t>
      </w:r>
      <w:r w:rsidRPr="00CD59CC">
        <w:rPr>
          <w:rFonts w:ascii="Arial" w:hAnsi="Arial" w:cs="Arial"/>
        </w:rPr>
        <w:t>mental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communicational</w:t>
      </w:r>
      <w:r w:rsidR="007B7640" w:rsidRPr="00CD59CC">
        <w:rPr>
          <w:rFonts w:ascii="Arial" w:hAnsi="Arial" w:cs="Arial"/>
        </w:rPr>
        <w:t xml:space="preserve"> </w:t>
      </w:r>
      <w:r w:rsidRPr="00CD59CC">
        <w:rPr>
          <w:rFonts w:ascii="Arial" w:hAnsi="Arial" w:cs="Arial"/>
        </w:rPr>
        <w:t>functions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restricted</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enter</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parts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open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leave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emergency,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equipment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objects</w:t>
      </w:r>
      <w:r w:rsidR="007B7640" w:rsidRPr="00CD59CC">
        <w:rPr>
          <w:rFonts w:ascii="Arial" w:hAnsi="Arial" w:cs="Arial"/>
        </w:rPr>
        <w:t xml:space="preserve"> </w:t>
      </w:r>
      <w:r w:rsidRPr="00CD59CC">
        <w:rPr>
          <w:rFonts w:ascii="Arial" w:hAnsi="Arial" w:cs="Arial"/>
        </w:rPr>
        <w:t>placed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p>
    <w:p w14:paraId="2B66C215" w14:textId="77777777" w:rsidR="00FD3C9E" w:rsidRPr="00CD59CC" w:rsidRDefault="00FD3C9E" w:rsidP="00E34CF1">
      <w:pPr>
        <w:numPr>
          <w:ilvl w:val="0"/>
          <w:numId w:val="49"/>
        </w:numPr>
        <w:ind w:left="567" w:hanging="567"/>
        <w:rPr>
          <w:rFonts w:ascii="Arial" w:hAnsi="Arial" w:cs="Arial"/>
        </w:rPr>
      </w:pPr>
      <w:r w:rsidRPr="00CD59CC">
        <w:rPr>
          <w:rFonts w:ascii="Arial" w:hAnsi="Arial" w:cs="Arial"/>
        </w:rPr>
        <w:t>information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“equally</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foreseeable,</w:t>
      </w:r>
      <w:r w:rsidR="007B7640" w:rsidRPr="00CD59CC">
        <w:rPr>
          <w:rFonts w:ascii="Arial" w:hAnsi="Arial" w:cs="Arial"/>
        </w:rPr>
        <w:t xml:space="preserve"> </w:t>
      </w:r>
      <w:r w:rsidRPr="00CD59CC">
        <w:rPr>
          <w:rFonts w:ascii="Arial" w:hAnsi="Arial" w:cs="Arial"/>
        </w:rPr>
        <w:t>comprehensible,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perceivable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everyone,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whose</w:t>
      </w:r>
      <w:r w:rsidR="007B7640" w:rsidRPr="00CD59CC">
        <w:rPr>
          <w:rFonts w:ascii="Arial" w:hAnsi="Arial" w:cs="Arial"/>
        </w:rPr>
        <w:t xml:space="preserve"> </w:t>
      </w:r>
      <w:r w:rsidRPr="00CD59CC">
        <w:rPr>
          <w:rFonts w:ascii="Arial" w:hAnsi="Arial" w:cs="Arial"/>
        </w:rPr>
        <w:t>locomotive,</w:t>
      </w:r>
      <w:r w:rsidR="007B7640" w:rsidRPr="00CD59CC">
        <w:rPr>
          <w:rFonts w:ascii="Arial" w:hAnsi="Arial" w:cs="Arial"/>
        </w:rPr>
        <w:t xml:space="preserve"> </w:t>
      </w:r>
      <w:r w:rsidRPr="00CD59CC">
        <w:rPr>
          <w:rFonts w:ascii="Arial" w:hAnsi="Arial" w:cs="Arial"/>
        </w:rPr>
        <w:lastRenderedPageBreak/>
        <w:t>visual,</w:t>
      </w:r>
      <w:r w:rsidR="007B7640" w:rsidRPr="00CD59CC">
        <w:rPr>
          <w:rFonts w:ascii="Arial" w:hAnsi="Arial" w:cs="Arial"/>
        </w:rPr>
        <w:t xml:space="preserve"> </w:t>
      </w:r>
      <w:r w:rsidRPr="00CD59CC">
        <w:rPr>
          <w:rFonts w:ascii="Arial" w:hAnsi="Arial" w:cs="Arial"/>
        </w:rPr>
        <w:t>audio,</w:t>
      </w:r>
      <w:r w:rsidR="007B7640" w:rsidRPr="00CD59CC">
        <w:rPr>
          <w:rFonts w:ascii="Arial" w:hAnsi="Arial" w:cs="Arial"/>
        </w:rPr>
        <w:t xml:space="preserve"> </w:t>
      </w:r>
      <w:r w:rsidRPr="00CD59CC">
        <w:rPr>
          <w:rFonts w:ascii="Arial" w:hAnsi="Arial" w:cs="Arial"/>
        </w:rPr>
        <w:t>mental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communicational</w:t>
      </w:r>
      <w:r w:rsidR="007B7640" w:rsidRPr="00CD59CC">
        <w:rPr>
          <w:rFonts w:ascii="Arial" w:hAnsi="Arial" w:cs="Arial"/>
        </w:rPr>
        <w:t xml:space="preserve"> </w:t>
      </w:r>
      <w:r w:rsidRPr="00CD59CC">
        <w:rPr>
          <w:rFonts w:ascii="Arial" w:hAnsi="Arial" w:cs="Arial"/>
        </w:rPr>
        <w:t>functions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restricted,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users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acquire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manner.</w:t>
      </w:r>
    </w:p>
    <w:p w14:paraId="20307559" w14:textId="77777777" w:rsidR="00FD3C9E" w:rsidRPr="00CD59CC" w:rsidRDefault="00FD3C9E" w:rsidP="00CD59CC">
      <w:pPr>
        <w:rPr>
          <w:rFonts w:ascii="Arial" w:hAnsi="Arial" w:cs="Arial"/>
        </w:rPr>
      </w:pPr>
    </w:p>
    <w:p w14:paraId="7E12A960" w14:textId="3455C3AC" w:rsidR="00FD3C9E" w:rsidRPr="00CD59CC" w:rsidRDefault="00FD3C9E" w:rsidP="00CD59CC">
      <w:pPr>
        <w:rPr>
          <w:rFonts w:ascii="Arial" w:hAnsi="Arial" w:cs="Arial"/>
        </w:rPr>
      </w:pP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00213F66" w:rsidRPr="00CD59CC">
        <w:rPr>
          <w:rFonts w:ascii="Arial" w:hAnsi="Arial" w:cs="Arial"/>
        </w:rPr>
        <w:t>were</w:t>
      </w:r>
      <w:r w:rsidR="007B7640" w:rsidRPr="00CD59CC">
        <w:rPr>
          <w:rFonts w:ascii="Arial" w:hAnsi="Arial" w:cs="Arial"/>
        </w:rPr>
        <w:t xml:space="preserve"> </w:t>
      </w:r>
      <w:r w:rsidRPr="00CD59CC">
        <w:rPr>
          <w:rFonts w:ascii="Arial" w:hAnsi="Arial" w:cs="Arial"/>
        </w:rPr>
        <w:t>operational</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April</w:t>
      </w:r>
      <w:r w:rsidR="007B7640" w:rsidRPr="00CD59CC">
        <w:rPr>
          <w:rFonts w:ascii="Arial" w:hAnsi="Arial" w:cs="Arial"/>
        </w:rPr>
        <w:t xml:space="preserve"> </w:t>
      </w:r>
      <w:r w:rsidRPr="00CD59CC">
        <w:rPr>
          <w:rFonts w:ascii="Arial" w:hAnsi="Arial" w:cs="Arial"/>
        </w:rPr>
        <w:t>2007,</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7/B</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prescribe</w:t>
      </w:r>
      <w:r w:rsidR="00213F66" w:rsidRPr="00CD59CC">
        <w:rPr>
          <w:rFonts w:ascii="Arial" w:hAnsi="Arial" w:cs="Arial"/>
        </w:rPr>
        <w:t>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0015192B" w:rsidRPr="00CD59CC">
        <w:rPr>
          <w:rFonts w:ascii="Arial" w:hAnsi="Arial" w:cs="Arial"/>
        </w:rPr>
        <w:t>were</w:t>
      </w:r>
      <w:r w:rsidR="007B7640" w:rsidRPr="00CD59CC">
        <w:rPr>
          <w:rFonts w:ascii="Arial" w:hAnsi="Arial" w:cs="Arial"/>
        </w:rPr>
        <w:t xml:space="preserve"> </w:t>
      </w:r>
      <w:r w:rsidR="0015192B"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31</w:t>
      </w:r>
      <w:r w:rsidR="007B7640" w:rsidRPr="00CD59CC">
        <w:rPr>
          <w:rFonts w:ascii="Arial" w:hAnsi="Arial" w:cs="Arial"/>
        </w:rPr>
        <w:t xml:space="preserve"> </w:t>
      </w:r>
      <w:r w:rsidRPr="00CD59CC">
        <w:rPr>
          <w:rFonts w:ascii="Arial" w:hAnsi="Arial" w:cs="Arial"/>
        </w:rPr>
        <w:t>December</w:t>
      </w:r>
      <w:r w:rsidR="007B7640" w:rsidRPr="00CD59CC">
        <w:rPr>
          <w:rFonts w:ascii="Arial" w:hAnsi="Arial" w:cs="Arial"/>
        </w:rPr>
        <w:t xml:space="preserve"> </w:t>
      </w:r>
      <w:r w:rsidRPr="00CD59CC">
        <w:rPr>
          <w:rFonts w:ascii="Arial" w:hAnsi="Arial" w:cs="Arial"/>
        </w:rPr>
        <w:t>2010.</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councils,</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Annex</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schedule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making</w:t>
      </w:r>
      <w:r w:rsidR="007B7640" w:rsidRPr="00CD59CC">
        <w:rPr>
          <w:rFonts w:ascii="Arial" w:hAnsi="Arial" w:cs="Arial"/>
        </w:rPr>
        <w:t xml:space="preserve"> </w:t>
      </w:r>
      <w:r w:rsidRPr="00CD59CC">
        <w:rPr>
          <w:rFonts w:ascii="Arial" w:hAnsi="Arial" w:cs="Arial"/>
        </w:rPr>
        <w:t>them</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(some</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care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0015192B" w:rsidRPr="00CD59CC">
        <w:rPr>
          <w:rFonts w:ascii="Arial" w:hAnsi="Arial" w:cs="Arial"/>
        </w:rPr>
        <w:t>were</w:t>
      </w:r>
      <w:r w:rsidR="007B7640" w:rsidRPr="00CD59CC">
        <w:rPr>
          <w:rFonts w:ascii="Arial" w:hAnsi="Arial" w:cs="Arial"/>
        </w:rPr>
        <w:t xml:space="preserve"> </w:t>
      </w:r>
      <w:r w:rsidR="0015192B"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31</w:t>
      </w:r>
      <w:r w:rsidR="007B7640" w:rsidRPr="00CD59CC">
        <w:rPr>
          <w:rFonts w:ascii="Arial" w:hAnsi="Arial" w:cs="Arial"/>
        </w:rPr>
        <w:t xml:space="preserve"> </w:t>
      </w:r>
      <w:r w:rsidRPr="00CD59CC">
        <w:rPr>
          <w:rFonts w:ascii="Arial" w:hAnsi="Arial" w:cs="Arial"/>
        </w:rPr>
        <w:t>December</w:t>
      </w:r>
      <w:r w:rsidR="007B7640" w:rsidRPr="00CD59CC">
        <w:rPr>
          <w:rFonts w:ascii="Arial" w:hAnsi="Arial" w:cs="Arial"/>
        </w:rPr>
        <w:t xml:space="preserve"> </w:t>
      </w:r>
      <w:r w:rsidRPr="00CD59CC">
        <w:rPr>
          <w:rFonts w:ascii="Arial" w:hAnsi="Arial" w:cs="Arial"/>
        </w:rPr>
        <w:t>2008,</w:t>
      </w:r>
      <w:r w:rsidR="007B7640" w:rsidRPr="00CD59CC">
        <w:rPr>
          <w:rFonts w:ascii="Arial" w:hAnsi="Arial" w:cs="Arial"/>
        </w:rPr>
        <w:t xml:space="preserve"> </w:t>
      </w:r>
      <w:r w:rsidRPr="00CD59CC">
        <w:rPr>
          <w:rFonts w:ascii="Arial" w:hAnsi="Arial" w:cs="Arial"/>
        </w:rPr>
        <w:t>others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e.g.</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31</w:t>
      </w:r>
      <w:r w:rsidR="007B7640" w:rsidRPr="00CD59CC">
        <w:rPr>
          <w:rFonts w:ascii="Arial" w:hAnsi="Arial" w:cs="Arial"/>
        </w:rPr>
        <w:t xml:space="preserve"> </w:t>
      </w:r>
      <w:r w:rsidRPr="00CD59CC">
        <w:rPr>
          <w:rFonts w:ascii="Arial" w:hAnsi="Arial" w:cs="Arial"/>
        </w:rPr>
        <w:t>December</w:t>
      </w:r>
      <w:r w:rsidR="007B7640" w:rsidRPr="00CD59CC">
        <w:rPr>
          <w:rFonts w:ascii="Arial" w:hAnsi="Arial" w:cs="Arial"/>
        </w:rPr>
        <w:t xml:space="preserve"> </w:t>
      </w:r>
      <w:r w:rsidRPr="00CD59CC">
        <w:rPr>
          <w:rFonts w:ascii="Arial" w:hAnsi="Arial" w:cs="Arial"/>
        </w:rPr>
        <w:t>2009,</w:t>
      </w:r>
      <w:r w:rsidR="007B7640" w:rsidRPr="00CD59CC">
        <w:rPr>
          <w:rFonts w:ascii="Arial" w:hAnsi="Arial" w:cs="Arial"/>
        </w:rPr>
        <w:t xml:space="preserve"> </w:t>
      </w:r>
      <w:r w:rsidRPr="00CD59CC">
        <w:rPr>
          <w:rFonts w:ascii="Arial" w:hAnsi="Arial" w:cs="Arial"/>
        </w:rPr>
        <w:t>while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client</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councils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final</w:t>
      </w:r>
      <w:r w:rsidR="007B7640" w:rsidRPr="00CD59CC">
        <w:rPr>
          <w:rFonts w:ascii="Arial" w:hAnsi="Arial" w:cs="Arial"/>
        </w:rPr>
        <w:t xml:space="preserve"> </w:t>
      </w:r>
      <w:r w:rsidRPr="00CD59CC">
        <w:rPr>
          <w:rFonts w:ascii="Arial" w:hAnsi="Arial" w:cs="Arial"/>
        </w:rPr>
        <w:t>deadline).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client-based</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00213F66" w:rsidRPr="00CD59CC">
        <w:rPr>
          <w:rFonts w:ascii="Arial" w:hAnsi="Arial" w:cs="Arial"/>
        </w:rPr>
        <w:t>were</w:t>
      </w:r>
      <w:r w:rsidR="007B7640" w:rsidRPr="00CD59CC">
        <w:rPr>
          <w:rFonts w:ascii="Arial" w:hAnsi="Arial" w:cs="Arial"/>
        </w:rPr>
        <w:t xml:space="preserve"> </w:t>
      </w:r>
      <w:r w:rsidRPr="00CD59CC">
        <w:rPr>
          <w:rFonts w:ascii="Arial" w:hAnsi="Arial" w:cs="Arial"/>
        </w:rPr>
        <w:t>already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operation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April</w:t>
      </w:r>
      <w:r w:rsidR="007B7640" w:rsidRPr="00CD59CC">
        <w:rPr>
          <w:rFonts w:ascii="Arial" w:hAnsi="Arial" w:cs="Arial"/>
        </w:rPr>
        <w:t xml:space="preserve"> </w:t>
      </w:r>
      <w:r w:rsidRPr="00CD59CC">
        <w:rPr>
          <w:rFonts w:ascii="Arial" w:hAnsi="Arial" w:cs="Arial"/>
        </w:rPr>
        <w:t>2007)</w:t>
      </w:r>
      <w:r w:rsidR="007B7640" w:rsidRPr="00CD59CC">
        <w:rPr>
          <w:rFonts w:ascii="Arial" w:hAnsi="Arial" w:cs="Arial"/>
        </w:rPr>
        <w:t xml:space="preserve"> </w:t>
      </w:r>
      <w:r w:rsidR="00213F66" w:rsidRPr="00CD59CC">
        <w:rPr>
          <w:rFonts w:ascii="Arial" w:hAnsi="Arial" w:cs="Arial"/>
        </w:rPr>
        <w:t>were</w:t>
      </w:r>
      <w:r w:rsidR="007B7640" w:rsidRPr="00CD59CC">
        <w:rPr>
          <w:rFonts w:ascii="Arial" w:hAnsi="Arial" w:cs="Arial"/>
        </w:rPr>
        <w:t xml:space="preserve"> </w:t>
      </w:r>
      <w:r w:rsidR="00213F66"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31</w:t>
      </w:r>
      <w:r w:rsidR="007B7640" w:rsidRPr="00CD59CC">
        <w:rPr>
          <w:rFonts w:ascii="Arial" w:hAnsi="Arial" w:cs="Arial"/>
        </w:rPr>
        <w:t xml:space="preserve"> </w:t>
      </w:r>
      <w:r w:rsidRPr="00CD59CC">
        <w:rPr>
          <w:rFonts w:ascii="Arial" w:hAnsi="Arial" w:cs="Arial"/>
        </w:rPr>
        <w:t>December</w:t>
      </w:r>
      <w:r w:rsidR="007B7640" w:rsidRPr="00CD59CC">
        <w:rPr>
          <w:rFonts w:ascii="Arial" w:hAnsi="Arial" w:cs="Arial"/>
        </w:rPr>
        <w:t xml:space="preserve"> </w:t>
      </w:r>
      <w:r w:rsidRPr="00CD59CC">
        <w:rPr>
          <w:rFonts w:ascii="Arial" w:hAnsi="Arial" w:cs="Arial"/>
        </w:rPr>
        <w:t>2013.</w:t>
      </w:r>
      <w:r w:rsidR="007B7640" w:rsidRPr="00CD59CC">
        <w:rPr>
          <w:rFonts w:ascii="Arial" w:hAnsi="Arial" w:cs="Arial"/>
        </w:rPr>
        <w:t xml:space="preserve"> </w:t>
      </w:r>
    </w:p>
    <w:p w14:paraId="2CF8C41C" w14:textId="77777777" w:rsidR="00FD3C9E" w:rsidRPr="00CD59CC" w:rsidRDefault="00FD3C9E" w:rsidP="00CD59CC">
      <w:pPr>
        <w:rPr>
          <w:rFonts w:ascii="Arial" w:hAnsi="Arial" w:cs="Arial"/>
        </w:rPr>
      </w:pPr>
    </w:p>
    <w:p w14:paraId="5E881FF1" w14:textId="7B2F9CD5" w:rsidR="00FD3C9E" w:rsidRPr="00CD59CC" w:rsidRDefault="00FD3C9E" w:rsidP="00CD59CC">
      <w:pPr>
        <w:rPr>
          <w:rFonts w:ascii="Arial" w:hAnsi="Arial" w:cs="Arial"/>
        </w:rPr>
      </w:pPr>
      <w:r w:rsidRPr="00CD59CC">
        <w:rPr>
          <w:rFonts w:ascii="Arial" w:hAnsi="Arial" w:cs="Arial"/>
        </w:rPr>
        <w:t>These</w:t>
      </w:r>
      <w:r w:rsidR="007B7640" w:rsidRPr="00CD59CC">
        <w:rPr>
          <w:rFonts w:ascii="Arial" w:hAnsi="Arial" w:cs="Arial"/>
        </w:rPr>
        <w:t xml:space="preserve"> </w:t>
      </w:r>
      <w:r w:rsidRPr="00CD59CC">
        <w:rPr>
          <w:rFonts w:ascii="Arial" w:hAnsi="Arial" w:cs="Arial"/>
        </w:rPr>
        <w:t>deadlines</w:t>
      </w:r>
      <w:r w:rsidR="007B7640" w:rsidRPr="00CD59CC">
        <w:rPr>
          <w:rFonts w:ascii="Arial" w:hAnsi="Arial" w:cs="Arial"/>
        </w:rPr>
        <w:t xml:space="preserve"> </w:t>
      </w:r>
      <w:r w:rsidR="00213F66" w:rsidRPr="00CD59CC">
        <w:rPr>
          <w:rFonts w:ascii="Arial" w:hAnsi="Arial" w:cs="Arial"/>
        </w:rPr>
        <w:t>were</w:t>
      </w:r>
      <w:r w:rsidR="007B7640" w:rsidRPr="00CD59CC">
        <w:rPr>
          <w:rFonts w:ascii="Arial" w:hAnsi="Arial" w:cs="Arial"/>
        </w:rPr>
        <w:t xml:space="preserve"> </w:t>
      </w:r>
      <w:r w:rsidR="00213F66" w:rsidRPr="00CD59CC">
        <w:rPr>
          <w:rFonts w:ascii="Arial" w:hAnsi="Arial" w:cs="Arial"/>
        </w:rPr>
        <w:t>however</w:t>
      </w:r>
      <w:r w:rsidR="007B7640" w:rsidRPr="00CD59CC">
        <w:rPr>
          <w:rFonts w:ascii="Arial" w:hAnsi="Arial" w:cs="Arial"/>
        </w:rPr>
        <w:t xml:space="preserve"> </w:t>
      </w:r>
      <w:r w:rsidR="00213F66" w:rsidRPr="00CD59CC">
        <w:rPr>
          <w:rFonts w:ascii="Arial" w:hAnsi="Arial" w:cs="Arial"/>
        </w:rPr>
        <w:t>not</w:t>
      </w:r>
      <w:r w:rsidR="007B7640" w:rsidRPr="00CD59CC">
        <w:rPr>
          <w:rFonts w:ascii="Arial" w:hAnsi="Arial" w:cs="Arial"/>
        </w:rPr>
        <w:t xml:space="preserve"> </w:t>
      </w:r>
      <w:r w:rsidRPr="00CD59CC">
        <w:rPr>
          <w:rFonts w:ascii="Arial" w:hAnsi="Arial" w:cs="Arial"/>
        </w:rPr>
        <w:t>fully</w:t>
      </w:r>
      <w:r w:rsidR="007B7640" w:rsidRPr="00CD59CC">
        <w:rPr>
          <w:rFonts w:ascii="Arial" w:hAnsi="Arial" w:cs="Arial"/>
        </w:rPr>
        <w:t xml:space="preserve"> </w:t>
      </w:r>
      <w:r w:rsidRPr="00CD59CC">
        <w:rPr>
          <w:rFonts w:ascii="Arial" w:hAnsi="Arial" w:cs="Arial"/>
        </w:rPr>
        <w:t>respected.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NGOs’</w:t>
      </w:r>
      <w:r w:rsidR="007B7640" w:rsidRPr="00CD59CC">
        <w:rPr>
          <w:rFonts w:ascii="Arial" w:hAnsi="Arial" w:cs="Arial"/>
        </w:rPr>
        <w:t xml:space="preserve"> </w:t>
      </w:r>
      <w:r w:rsidRPr="00CD59CC">
        <w:rPr>
          <w:rFonts w:ascii="Arial" w:hAnsi="Arial" w:cs="Arial"/>
        </w:rPr>
        <w:t>2010</w:t>
      </w:r>
      <w:r w:rsidR="007B7640" w:rsidRPr="00CD59CC">
        <w:rPr>
          <w:rFonts w:ascii="Arial" w:hAnsi="Arial" w:cs="Arial"/>
        </w:rPr>
        <w:t xml:space="preserve"> </w:t>
      </w:r>
      <w:r w:rsidRPr="00CD59CC">
        <w:rPr>
          <w:rFonts w:ascii="Arial" w:hAnsi="Arial" w:cs="Arial"/>
        </w:rPr>
        <w:t>alternative</w:t>
      </w:r>
      <w:r w:rsidR="007B7640" w:rsidRPr="00CD59CC">
        <w:rPr>
          <w:rFonts w:ascii="Arial" w:hAnsi="Arial" w:cs="Arial"/>
        </w:rPr>
        <w:t xml:space="preserve"> </w:t>
      </w:r>
      <w:r w:rsidRPr="00CD59CC">
        <w:rPr>
          <w:rFonts w:ascii="Arial" w:hAnsi="Arial" w:cs="Arial"/>
        </w:rPr>
        <w:t>report</w:t>
      </w:r>
      <w:r w:rsidR="007B7640" w:rsidRPr="00CD59CC">
        <w:rPr>
          <w:rFonts w:ascii="Arial" w:hAnsi="Arial" w:cs="Arial"/>
        </w:rPr>
        <w:t xml:space="preserve"> </w:t>
      </w:r>
      <w:r w:rsidRPr="00CD59CC">
        <w:rPr>
          <w:rFonts w:ascii="Arial" w:hAnsi="Arial" w:cs="Arial"/>
        </w:rPr>
        <w:t>addressed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w:t>
      </w:r>
      <w:r w:rsidR="00D20DFB" w:rsidRPr="00CD59CC">
        <w:rPr>
          <w:rFonts w:ascii="Arial" w:hAnsi="Arial" w:cs="Arial"/>
        </w:rPr>
        <w:t>ommittee</w:t>
      </w:r>
      <w:r w:rsidR="007B7640" w:rsidRPr="00CD59CC">
        <w:rPr>
          <w:rFonts w:ascii="Arial" w:hAnsi="Arial" w:cs="Arial"/>
        </w:rPr>
        <w:t xml:space="preserve"> </w:t>
      </w:r>
      <w:r w:rsidR="00D20DFB" w:rsidRPr="00CD59CC">
        <w:rPr>
          <w:rFonts w:ascii="Arial" w:hAnsi="Arial" w:cs="Arial"/>
        </w:rPr>
        <w:t>on</w:t>
      </w:r>
      <w:r w:rsidR="007B7640" w:rsidRPr="00CD59CC">
        <w:rPr>
          <w:rFonts w:ascii="Arial" w:hAnsi="Arial" w:cs="Arial"/>
        </w:rPr>
        <w:t xml:space="preserve"> </w:t>
      </w:r>
      <w:r w:rsidR="00D20DFB" w:rsidRPr="00CD59CC">
        <w:rPr>
          <w:rFonts w:ascii="Arial" w:hAnsi="Arial" w:cs="Arial"/>
        </w:rPr>
        <w:t>the</w:t>
      </w:r>
      <w:r w:rsidR="007B7640" w:rsidRPr="00CD59CC">
        <w:rPr>
          <w:rFonts w:ascii="Arial" w:hAnsi="Arial" w:cs="Arial"/>
        </w:rPr>
        <w:t xml:space="preserve"> </w:t>
      </w:r>
      <w:r w:rsidRPr="00CD59CC">
        <w:rPr>
          <w:rFonts w:ascii="Arial" w:hAnsi="Arial" w:cs="Arial"/>
        </w:rPr>
        <w:t>R</w:t>
      </w:r>
      <w:r w:rsidR="00D20DFB" w:rsidRPr="00CD59CC">
        <w:rPr>
          <w:rFonts w:ascii="Arial" w:hAnsi="Arial" w:cs="Arial"/>
        </w:rPr>
        <w:t>ights</w:t>
      </w:r>
      <w:r w:rsidR="007B7640" w:rsidRPr="00CD59CC">
        <w:rPr>
          <w:rFonts w:ascii="Arial" w:hAnsi="Arial" w:cs="Arial"/>
        </w:rPr>
        <w:t xml:space="preserve"> </w:t>
      </w:r>
      <w:r w:rsidR="00D20DFB" w:rsidRPr="00CD59CC">
        <w:rPr>
          <w:rFonts w:ascii="Arial" w:hAnsi="Arial" w:cs="Arial"/>
        </w:rPr>
        <w:t>of</w:t>
      </w:r>
      <w:r w:rsidR="007B7640" w:rsidRPr="00CD59CC">
        <w:rPr>
          <w:rFonts w:ascii="Arial" w:hAnsi="Arial" w:cs="Arial"/>
        </w:rPr>
        <w:t xml:space="preserve"> </w:t>
      </w:r>
      <w:r w:rsidRPr="00CD59CC">
        <w:rPr>
          <w:rFonts w:ascii="Arial" w:hAnsi="Arial" w:cs="Arial"/>
        </w:rPr>
        <w:t>P</w:t>
      </w:r>
      <w:r w:rsidR="00D20DFB" w:rsidRPr="00CD59CC">
        <w:rPr>
          <w:rFonts w:ascii="Arial" w:hAnsi="Arial" w:cs="Arial"/>
        </w:rPr>
        <w:t>ersons</w:t>
      </w:r>
      <w:r w:rsidR="007B7640" w:rsidRPr="00CD59CC">
        <w:rPr>
          <w:rFonts w:ascii="Arial" w:hAnsi="Arial" w:cs="Arial"/>
        </w:rPr>
        <w:t xml:space="preserve"> </w:t>
      </w:r>
      <w:r w:rsidR="00D20DFB" w:rsidRPr="00CD59CC">
        <w:rPr>
          <w:rFonts w:ascii="Arial" w:hAnsi="Arial" w:cs="Arial"/>
        </w:rPr>
        <w:t>with</w:t>
      </w:r>
      <w:r w:rsidR="007B7640" w:rsidRPr="00CD59CC">
        <w:rPr>
          <w:rFonts w:ascii="Arial" w:hAnsi="Arial" w:cs="Arial"/>
        </w:rPr>
        <w:t xml:space="preserve"> </w:t>
      </w:r>
      <w:r w:rsidRPr="00CD59CC">
        <w:rPr>
          <w:rFonts w:ascii="Arial" w:hAnsi="Arial" w:cs="Arial"/>
        </w:rPr>
        <w:t>D</w:t>
      </w:r>
      <w:r w:rsidR="00D20DFB" w:rsidRPr="00CD59CC">
        <w:rPr>
          <w:rFonts w:ascii="Arial" w:hAnsi="Arial" w:cs="Arial"/>
        </w:rPr>
        <w:t>isabilities</w:t>
      </w:r>
      <w:r w:rsidR="007B7640" w:rsidRPr="00CD59CC">
        <w:rPr>
          <w:rFonts w:ascii="Arial" w:hAnsi="Arial" w:cs="Arial"/>
        </w:rPr>
        <w:t xml:space="preserve"> </w:t>
      </w:r>
      <w:r w:rsidR="00D20DFB" w:rsidRPr="00CD59CC">
        <w:rPr>
          <w:rFonts w:ascii="Arial" w:hAnsi="Arial" w:cs="Arial"/>
        </w:rPr>
        <w:t>(CRPD</w:t>
      </w:r>
      <w:r w:rsidR="007B7640" w:rsidRPr="00CD59CC">
        <w:rPr>
          <w:rFonts w:ascii="Arial" w:hAnsi="Arial" w:cs="Arial"/>
        </w:rPr>
        <w:t xml:space="preserve"> </w:t>
      </w:r>
      <w:r w:rsidR="00D20DFB" w:rsidRPr="00CD59CC">
        <w:rPr>
          <w:rFonts w:ascii="Arial" w:hAnsi="Arial" w:cs="Arial"/>
        </w:rPr>
        <w:t>Committee)</w:t>
      </w:r>
      <w:r w:rsidRPr="00CD59CC">
        <w:rPr>
          <w:rFonts w:ascii="Arial" w:hAnsi="Arial" w:cs="Arial"/>
        </w:rPr>
        <w:t>,</w:t>
      </w:r>
      <w:r w:rsidR="007B7640" w:rsidRPr="00CD59CC">
        <w:rPr>
          <w:rFonts w:ascii="Arial" w:hAnsi="Arial" w:cs="Arial"/>
        </w:rPr>
        <w:t xml:space="preserve"> </w:t>
      </w:r>
      <w:r w:rsidRPr="00CD59CC">
        <w:rPr>
          <w:rFonts w:ascii="Arial" w:hAnsi="Arial" w:cs="Arial"/>
        </w:rPr>
        <w:t>claims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empirical</w:t>
      </w:r>
      <w:r w:rsidR="007B7640" w:rsidRPr="00CD59CC">
        <w:rPr>
          <w:rFonts w:ascii="Arial" w:hAnsi="Arial" w:cs="Arial"/>
        </w:rPr>
        <w:t xml:space="preserve"> </w:t>
      </w:r>
      <w:r w:rsidRPr="00CD59CC">
        <w:rPr>
          <w:rFonts w:ascii="Arial" w:hAnsi="Arial" w:cs="Arial"/>
        </w:rPr>
        <w:t>data</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surveys</w:t>
      </w:r>
      <w:r w:rsidR="007B7640" w:rsidRPr="00CD59CC">
        <w:rPr>
          <w:rFonts w:ascii="Arial" w:hAnsi="Arial" w:cs="Arial"/>
        </w:rPr>
        <w:t xml:space="preserve"> </w:t>
      </w:r>
      <w:r w:rsidRPr="00CD59CC">
        <w:rPr>
          <w:rFonts w:ascii="Arial" w:hAnsi="Arial" w:cs="Arial"/>
        </w:rPr>
        <w:t>carried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recent</w:t>
      </w:r>
      <w:r w:rsidR="007B7640" w:rsidRPr="00CD59CC">
        <w:rPr>
          <w:rFonts w:ascii="Arial" w:hAnsi="Arial" w:cs="Arial"/>
        </w:rPr>
        <w:t xml:space="preserve"> </w:t>
      </w:r>
      <w:r w:rsidRPr="00CD59CC">
        <w:rPr>
          <w:rFonts w:ascii="Arial" w:hAnsi="Arial" w:cs="Arial"/>
        </w:rPr>
        <w:t>years</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regional</w:t>
      </w:r>
      <w:r w:rsidR="007B7640" w:rsidRPr="00CD59CC">
        <w:rPr>
          <w:rFonts w:ascii="Arial" w:hAnsi="Arial" w:cs="Arial"/>
        </w:rPr>
        <w:t xml:space="preserve"> </w:t>
      </w:r>
      <w:r w:rsidRPr="00CD59CC">
        <w:rPr>
          <w:rFonts w:ascii="Arial" w:hAnsi="Arial" w:cs="Arial"/>
        </w:rPr>
        <w:t>organizations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MEOSZ</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Federation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Associations],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average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physical</w:t>
      </w:r>
      <w:r w:rsidR="007B7640" w:rsidRPr="00CD59CC">
        <w:rPr>
          <w:rFonts w:ascii="Arial" w:hAnsi="Arial" w:cs="Arial"/>
        </w:rPr>
        <w:t xml:space="preserve"> </w:t>
      </w:r>
      <w:r w:rsidRPr="00CD59CC">
        <w:rPr>
          <w:rFonts w:ascii="Arial" w:hAnsi="Arial" w:cs="Arial"/>
        </w:rPr>
        <w:t>accessibility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open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greater</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55</w:t>
      </w:r>
      <w:r w:rsidR="007B7640" w:rsidRPr="00CD59CC">
        <w:rPr>
          <w:rFonts w:ascii="Arial" w:hAnsi="Arial" w:cs="Arial"/>
        </w:rPr>
        <w:t xml:space="preserve"> </w:t>
      </w:r>
      <w:r w:rsidRPr="00CD59CC">
        <w:rPr>
          <w:rFonts w:ascii="Arial" w:hAnsi="Arial" w:cs="Arial"/>
        </w:rPr>
        <w:t>percent.</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distribution</w:t>
      </w:r>
      <w:r w:rsidR="007B7640" w:rsidRPr="00CD59CC">
        <w:rPr>
          <w:rFonts w:ascii="Arial" w:hAnsi="Arial" w:cs="Arial"/>
        </w:rPr>
        <w:t xml:space="preserve"> </w:t>
      </w:r>
      <w:r w:rsidRPr="00CD59CC">
        <w:rPr>
          <w:rFonts w:ascii="Arial" w:hAnsi="Arial" w:cs="Arial"/>
        </w:rPr>
        <w:t>varies</w:t>
      </w:r>
      <w:r w:rsidR="007B7640" w:rsidRPr="00CD59CC">
        <w:rPr>
          <w:rFonts w:ascii="Arial" w:hAnsi="Arial" w:cs="Arial"/>
        </w:rPr>
        <w:t xml:space="preserve"> </w:t>
      </w:r>
      <w:r w:rsidRPr="00CD59CC">
        <w:rPr>
          <w:rFonts w:ascii="Arial" w:hAnsi="Arial" w:cs="Arial"/>
        </w:rPr>
        <w:t>greatly</w:t>
      </w:r>
      <w:r w:rsidR="007B7640" w:rsidRPr="00CD59CC">
        <w:rPr>
          <w:rFonts w:ascii="Arial" w:hAnsi="Arial" w:cs="Arial"/>
        </w:rPr>
        <w:t xml:space="preserve"> </w:t>
      </w:r>
      <w:r w:rsidRPr="00CD59CC">
        <w:rPr>
          <w:rFonts w:ascii="Arial" w:hAnsi="Arial" w:cs="Arial"/>
        </w:rPr>
        <w:t>between</w:t>
      </w:r>
      <w:r w:rsidR="007B7640" w:rsidRPr="00CD59CC">
        <w:rPr>
          <w:rFonts w:ascii="Arial" w:hAnsi="Arial" w:cs="Arial"/>
        </w:rPr>
        <w:t xml:space="preserve"> </w:t>
      </w:r>
      <w:r w:rsidRPr="00CD59CC">
        <w:rPr>
          <w:rFonts w:ascii="Arial" w:hAnsi="Arial" w:cs="Arial"/>
        </w:rPr>
        <w:t>towns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villages.</w:t>
      </w:r>
      <w:r w:rsidR="007B7640" w:rsidRPr="00CD59CC">
        <w:rPr>
          <w:rFonts w:ascii="Arial" w:hAnsi="Arial" w:cs="Arial"/>
        </w:rPr>
        <w:t xml:space="preserve"> </w:t>
      </w:r>
      <w:r w:rsidRPr="00CD59CC">
        <w:rPr>
          <w:rFonts w:ascii="Arial" w:hAnsi="Arial" w:cs="Arial"/>
        </w:rPr>
        <w:t>Though</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estimates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comprehensive</w:t>
      </w:r>
      <w:r w:rsidR="007B7640" w:rsidRPr="00CD59CC">
        <w:rPr>
          <w:rFonts w:ascii="Arial" w:hAnsi="Arial" w:cs="Arial"/>
        </w:rPr>
        <w:t xml:space="preserve"> </w:t>
      </w:r>
      <w:r w:rsidRPr="00CD59CC">
        <w:rPr>
          <w:rFonts w:ascii="Arial" w:hAnsi="Arial" w:cs="Arial"/>
        </w:rPr>
        <w:t>sense,</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includes</w:t>
      </w:r>
      <w:r w:rsidR="007B7640" w:rsidRPr="00CD59CC">
        <w:rPr>
          <w:rFonts w:ascii="Arial" w:hAnsi="Arial" w:cs="Arial"/>
        </w:rPr>
        <w:t xml:space="preserve"> </w:t>
      </w:r>
      <w:r w:rsidRPr="00CD59CC">
        <w:rPr>
          <w:rFonts w:ascii="Arial" w:hAnsi="Arial" w:cs="Arial"/>
        </w:rPr>
        <w:t>information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communication</w:t>
      </w:r>
      <w:r w:rsidR="007B7640" w:rsidRPr="00CD59CC">
        <w:rPr>
          <w:rFonts w:ascii="Arial" w:hAnsi="Arial" w:cs="Arial"/>
        </w:rPr>
        <w:t xml:space="preserve"> </w:t>
      </w:r>
      <w:r w:rsidRPr="00CD59CC">
        <w:rPr>
          <w:rFonts w:ascii="Arial" w:hAnsi="Arial" w:cs="Arial"/>
        </w:rPr>
        <w:t>accessibility,</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far</w:t>
      </w:r>
      <w:r w:rsidR="007B7640" w:rsidRPr="00CD59CC">
        <w:rPr>
          <w:rFonts w:ascii="Arial" w:hAnsi="Arial" w:cs="Arial"/>
        </w:rPr>
        <w:t xml:space="preserve"> </w:t>
      </w:r>
      <w:r w:rsidRPr="00CD59CC">
        <w:rPr>
          <w:rFonts w:ascii="Arial" w:hAnsi="Arial" w:cs="Arial"/>
        </w:rPr>
        <w:t>lower</w:t>
      </w:r>
      <w:r w:rsidR="007B7640" w:rsidRPr="00CD59CC">
        <w:rPr>
          <w:rFonts w:ascii="Arial" w:hAnsi="Arial" w:cs="Arial"/>
        </w:rPr>
        <w:t xml:space="preserve"> </w:t>
      </w:r>
      <w:r w:rsidRPr="00CD59CC">
        <w:rPr>
          <w:rFonts w:ascii="Arial" w:hAnsi="Arial" w:cs="Arial"/>
        </w:rPr>
        <w:t>level.”</w:t>
      </w:r>
      <w:r w:rsidRPr="00CD59CC">
        <w:rPr>
          <w:rStyle w:val="FootnoteReference"/>
          <w:rFonts w:ascii="Arial" w:hAnsi="Arial" w:cs="Arial"/>
        </w:rPr>
        <w:footnoteReference w:id="54"/>
      </w:r>
      <w:r w:rsidR="007B7640" w:rsidRPr="00CD59CC">
        <w:rPr>
          <w:rFonts w:ascii="Arial" w:hAnsi="Arial" w:cs="Arial"/>
        </w:rPr>
        <w:t xml:space="preserve"> </w:t>
      </w: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estimation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president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MEOSZ,</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end</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2011,</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percentage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ha</w:t>
      </w:r>
      <w:r w:rsidR="00213F66" w:rsidRPr="00CD59CC">
        <w:rPr>
          <w:rFonts w:ascii="Arial" w:hAnsi="Arial" w:cs="Arial"/>
        </w:rPr>
        <w:t>d</w:t>
      </w:r>
      <w:r w:rsidR="007B7640" w:rsidRPr="00CD59CC">
        <w:rPr>
          <w:rFonts w:ascii="Arial" w:hAnsi="Arial" w:cs="Arial"/>
        </w:rPr>
        <w:t xml:space="preserve"> </w:t>
      </w:r>
      <w:r w:rsidRPr="00CD59CC">
        <w:rPr>
          <w:rFonts w:ascii="Arial" w:hAnsi="Arial" w:cs="Arial"/>
        </w:rPr>
        <w:t>risen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65-70,</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distribution</w:t>
      </w:r>
      <w:r w:rsidR="007B7640" w:rsidRPr="00CD59CC">
        <w:rPr>
          <w:rFonts w:ascii="Arial" w:hAnsi="Arial" w:cs="Arial"/>
        </w:rPr>
        <w:t xml:space="preserve"> </w:t>
      </w:r>
      <w:r w:rsidR="00213F66" w:rsidRPr="00CD59CC">
        <w:rPr>
          <w:rFonts w:ascii="Arial" w:hAnsi="Arial" w:cs="Arial"/>
        </w:rPr>
        <w:t>was</w:t>
      </w:r>
      <w:r w:rsidR="007B7640" w:rsidRPr="00CD59CC">
        <w:rPr>
          <w:rFonts w:ascii="Arial" w:hAnsi="Arial" w:cs="Arial"/>
        </w:rPr>
        <w:t xml:space="preserve"> </w:t>
      </w:r>
      <w:r w:rsidRPr="00CD59CC">
        <w:rPr>
          <w:rFonts w:ascii="Arial" w:hAnsi="Arial" w:cs="Arial"/>
        </w:rPr>
        <w:t>still</w:t>
      </w:r>
      <w:r w:rsidR="007B7640" w:rsidRPr="00CD59CC">
        <w:rPr>
          <w:rFonts w:ascii="Arial" w:hAnsi="Arial" w:cs="Arial"/>
        </w:rPr>
        <w:t xml:space="preserve"> </w:t>
      </w:r>
      <w:r w:rsidRPr="00CD59CC">
        <w:rPr>
          <w:rFonts w:ascii="Arial" w:hAnsi="Arial" w:cs="Arial"/>
        </w:rPr>
        <w:t>very</w:t>
      </w:r>
      <w:r w:rsidR="007B7640" w:rsidRPr="00CD59CC">
        <w:rPr>
          <w:rFonts w:ascii="Arial" w:hAnsi="Arial" w:cs="Arial"/>
        </w:rPr>
        <w:t xml:space="preserve"> </w:t>
      </w:r>
      <w:r w:rsidRPr="00CD59CC">
        <w:rPr>
          <w:rFonts w:ascii="Arial" w:hAnsi="Arial" w:cs="Arial"/>
        </w:rPr>
        <w:t>much</w:t>
      </w:r>
      <w:r w:rsidR="007B7640" w:rsidRPr="00CD59CC">
        <w:rPr>
          <w:rFonts w:ascii="Arial" w:hAnsi="Arial" w:cs="Arial"/>
        </w:rPr>
        <w:t xml:space="preserve"> </w:t>
      </w:r>
      <w:r w:rsidRPr="00CD59CC">
        <w:rPr>
          <w:rFonts w:ascii="Arial" w:hAnsi="Arial" w:cs="Arial"/>
        </w:rPr>
        <w:t>uneven.</w:t>
      </w:r>
    </w:p>
    <w:p w14:paraId="273E3C1D" w14:textId="77777777" w:rsidR="00213F66" w:rsidRPr="00CD59CC" w:rsidRDefault="00213F66" w:rsidP="00CD59CC">
      <w:pPr>
        <w:rPr>
          <w:rFonts w:ascii="Arial" w:hAnsi="Arial" w:cs="Arial"/>
        </w:rPr>
      </w:pPr>
    </w:p>
    <w:p w14:paraId="1994FD07" w14:textId="77777777" w:rsidR="00213F66" w:rsidRPr="00CD59CC" w:rsidRDefault="00213F66" w:rsidP="00CD59CC">
      <w:pPr>
        <w:rPr>
          <w:rFonts w:ascii="Arial" w:hAnsi="Arial" w:cs="Arial"/>
        </w:rPr>
      </w:pPr>
      <w:r w:rsidRPr="00CD59CC">
        <w:rPr>
          <w:rFonts w:ascii="Arial" w:hAnsi="Arial" w:cs="Arial"/>
        </w:rPr>
        <w:t>Act</w:t>
      </w:r>
      <w:r w:rsidR="007B7640" w:rsidRPr="00CD59CC">
        <w:rPr>
          <w:rFonts w:ascii="Arial" w:hAnsi="Arial" w:cs="Arial"/>
        </w:rPr>
        <w:t xml:space="preserve"> </w:t>
      </w:r>
      <w:r w:rsidRPr="00CD59CC">
        <w:rPr>
          <w:rFonts w:ascii="Arial" w:hAnsi="Arial" w:cs="Arial"/>
        </w:rPr>
        <w:t>LXII</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2013</w:t>
      </w:r>
      <w:r w:rsidR="007B7640" w:rsidRPr="00CD59CC">
        <w:rPr>
          <w:rFonts w:ascii="Arial" w:hAnsi="Arial" w:cs="Arial"/>
        </w:rPr>
        <w:t xml:space="preserve"> </w:t>
      </w:r>
      <w:r w:rsidRPr="00CD59CC">
        <w:rPr>
          <w:rFonts w:ascii="Arial" w:hAnsi="Arial" w:cs="Arial"/>
        </w:rPr>
        <w:t>again</w:t>
      </w:r>
      <w:r w:rsidR="007B7640" w:rsidRPr="00CD59CC">
        <w:rPr>
          <w:rFonts w:ascii="Arial" w:hAnsi="Arial" w:cs="Arial"/>
        </w:rPr>
        <w:t xml:space="preserve"> </w:t>
      </w:r>
      <w:r w:rsidRPr="00CD59CC">
        <w:rPr>
          <w:rFonts w:ascii="Arial" w:hAnsi="Arial" w:cs="Arial"/>
        </w:rPr>
        <w:t>amended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pertaining</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January</w:t>
      </w:r>
      <w:r w:rsidR="007B7640" w:rsidRPr="00CD59CC">
        <w:rPr>
          <w:rFonts w:ascii="Arial" w:hAnsi="Arial" w:cs="Arial"/>
        </w:rPr>
        <w:t xml:space="preserve"> </w:t>
      </w:r>
      <w:r w:rsidRPr="00CD59CC">
        <w:rPr>
          <w:rFonts w:ascii="Arial" w:hAnsi="Arial" w:cs="Arial"/>
        </w:rPr>
        <w:t>2014,</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deadlines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providing</w:t>
      </w:r>
      <w:r w:rsidR="007B7640" w:rsidRPr="00CD59CC">
        <w:rPr>
          <w:rFonts w:ascii="Arial" w:hAnsi="Arial" w:cs="Arial"/>
        </w:rPr>
        <w:t xml:space="preserve"> </w:t>
      </w:r>
      <w:r w:rsidRPr="00CD59CC">
        <w:rPr>
          <w:rFonts w:ascii="Arial" w:hAnsi="Arial" w:cs="Arial"/>
        </w:rPr>
        <w:t>accessibility</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deleted</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deadlines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means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without</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00222648" w:rsidRPr="00CD59CC">
        <w:rPr>
          <w:rFonts w:ascii="Arial" w:hAnsi="Arial" w:cs="Arial"/>
        </w:rPr>
        <w:t>temporary</w:t>
      </w:r>
      <w:r w:rsidR="007B7640" w:rsidRPr="00CD59CC">
        <w:rPr>
          <w:rFonts w:ascii="Arial" w:hAnsi="Arial" w:cs="Arial"/>
        </w:rPr>
        <w:t xml:space="preserve"> </w:t>
      </w:r>
      <w:r w:rsidRPr="00CD59CC">
        <w:rPr>
          <w:rFonts w:ascii="Arial" w:hAnsi="Arial" w:cs="Arial"/>
        </w:rPr>
        <w:t>limitation.</w:t>
      </w:r>
    </w:p>
    <w:p w14:paraId="03BBBCE1" w14:textId="77777777" w:rsidR="00FD3C9E" w:rsidRPr="00CD59CC" w:rsidRDefault="00FD3C9E" w:rsidP="00CD59CC">
      <w:pPr>
        <w:rPr>
          <w:rFonts w:ascii="Arial" w:hAnsi="Arial" w:cs="Arial"/>
        </w:rPr>
      </w:pPr>
    </w:p>
    <w:p w14:paraId="5449B437" w14:textId="77777777" w:rsidR="00FD3C9E" w:rsidRPr="00CD59CC" w:rsidRDefault="00FD3C9E" w:rsidP="00CD59CC">
      <w:pPr>
        <w:rPr>
          <w:rFonts w:ascii="Arial" w:hAnsi="Arial" w:cs="Arial"/>
        </w:rPr>
      </w:pPr>
      <w:r w:rsidRPr="00CD59CC">
        <w:rPr>
          <w:rFonts w:ascii="Arial" w:hAnsi="Arial" w:cs="Arial"/>
        </w:rPr>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referred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practice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failure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make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building</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qualifies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13/2006,</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filed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complaint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claiming</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able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attend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hearing</w:t>
      </w:r>
      <w:r w:rsidR="007B7640" w:rsidRPr="00CD59CC">
        <w:rPr>
          <w:rFonts w:ascii="Arial" w:hAnsi="Arial" w:cs="Arial"/>
        </w:rPr>
        <w:t xml:space="preserve"> </w:t>
      </w:r>
      <w:r w:rsidRPr="00CD59CC">
        <w:rPr>
          <w:rFonts w:ascii="Arial" w:hAnsi="Arial" w:cs="Arial"/>
        </w:rPr>
        <w:t>held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lawsuit</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Central</w:t>
      </w:r>
      <w:r w:rsidR="007B7640" w:rsidRPr="00CD59CC">
        <w:rPr>
          <w:rFonts w:ascii="Arial" w:hAnsi="Arial" w:cs="Arial"/>
        </w:rPr>
        <w:t xml:space="preserve"> </w:t>
      </w:r>
      <w:r w:rsidRPr="00CD59CC">
        <w:rPr>
          <w:rFonts w:ascii="Arial" w:hAnsi="Arial" w:cs="Arial"/>
        </w:rPr>
        <w:t>District</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Pest</w:t>
      </w:r>
      <w:r w:rsidR="007B7640" w:rsidRPr="00CD59CC">
        <w:rPr>
          <w:rFonts w:ascii="Arial" w:hAnsi="Arial" w:cs="Arial"/>
        </w:rPr>
        <w:t xml:space="preserve"> </w:t>
      </w:r>
      <w:r w:rsidRPr="00CD59CC">
        <w:rPr>
          <w:rFonts w:ascii="Arial" w:hAnsi="Arial" w:cs="Arial"/>
        </w:rPr>
        <w:t>(CDCP)</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using</w:t>
      </w:r>
      <w:r w:rsidR="007B7640" w:rsidRPr="00CD59CC">
        <w:rPr>
          <w:rFonts w:ascii="Arial" w:hAnsi="Arial" w:cs="Arial"/>
        </w:rPr>
        <w:t xml:space="preserve"> </w:t>
      </w:r>
      <w:r w:rsidRPr="00CD59CC">
        <w:rPr>
          <w:rFonts w:ascii="Arial" w:hAnsi="Arial" w:cs="Arial"/>
        </w:rPr>
        <w:t>wheelchairs,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CDCP</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provide</w:t>
      </w:r>
      <w:r w:rsidR="007B7640" w:rsidRPr="00CD59CC">
        <w:rPr>
          <w:rFonts w:ascii="Arial" w:hAnsi="Arial" w:cs="Arial"/>
        </w:rPr>
        <w:t xml:space="preserve"> </w:t>
      </w:r>
      <w:r w:rsidRPr="00CD59CC">
        <w:rPr>
          <w:rFonts w:ascii="Arial" w:hAnsi="Arial" w:cs="Arial"/>
        </w:rPr>
        <w:t>him</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appropriate</w:t>
      </w:r>
      <w:r w:rsidR="007B7640" w:rsidRPr="00CD59CC">
        <w:rPr>
          <w:rFonts w:ascii="Arial" w:hAnsi="Arial" w:cs="Arial"/>
        </w:rPr>
        <w:t xml:space="preserve"> </w:t>
      </w:r>
      <w:r w:rsidRPr="00CD59CC">
        <w:rPr>
          <w:rFonts w:ascii="Arial" w:hAnsi="Arial" w:cs="Arial"/>
        </w:rPr>
        <w:t>assistance.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CDCP</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question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compared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clients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suffered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disadvantage</w:t>
      </w:r>
      <w:r w:rsidR="007B7640" w:rsidRPr="00CD59CC">
        <w:rPr>
          <w:rFonts w:ascii="Arial" w:hAnsi="Arial" w:cs="Arial"/>
        </w:rPr>
        <w:t xml:space="preserve"> </w:t>
      </w:r>
      <w:r w:rsidRPr="00CD59CC">
        <w:rPr>
          <w:rFonts w:ascii="Arial" w:hAnsi="Arial" w:cs="Arial"/>
        </w:rPr>
        <w:t>due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his</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distinction</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objectively</w:t>
      </w:r>
      <w:r w:rsidR="007B7640" w:rsidRPr="00CD59CC">
        <w:rPr>
          <w:rFonts w:ascii="Arial" w:hAnsi="Arial" w:cs="Arial"/>
        </w:rPr>
        <w:t xml:space="preserve"> </w:t>
      </w:r>
      <w:r w:rsidRPr="00CD59CC">
        <w:rPr>
          <w:rFonts w:ascii="Arial" w:hAnsi="Arial" w:cs="Arial"/>
        </w:rPr>
        <w:t>reasonable</w:t>
      </w:r>
      <w:r w:rsidR="007B7640" w:rsidRPr="00CD59CC">
        <w:rPr>
          <w:rFonts w:ascii="Arial" w:hAnsi="Arial" w:cs="Arial"/>
        </w:rPr>
        <w:t xml:space="preserve"> </w:t>
      </w:r>
      <w:r w:rsidRPr="00CD59CC">
        <w:rPr>
          <w:rFonts w:ascii="Arial" w:hAnsi="Arial" w:cs="Arial"/>
        </w:rPr>
        <w:t>ground,</w:t>
      </w:r>
      <w:r w:rsidR="007B7640" w:rsidRPr="00CD59CC">
        <w:rPr>
          <w:rFonts w:ascii="Arial" w:hAnsi="Arial" w:cs="Arial"/>
        </w:rPr>
        <w:t xml:space="preserve"> </w:t>
      </w:r>
      <w:r w:rsidRPr="00CD59CC">
        <w:rPr>
          <w:rFonts w:ascii="Arial" w:hAnsi="Arial" w:cs="Arial"/>
        </w:rPr>
        <w:t>namely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budgetary</w:t>
      </w:r>
      <w:r w:rsidR="007B7640" w:rsidRPr="00CD59CC">
        <w:rPr>
          <w:rFonts w:ascii="Arial" w:hAnsi="Arial" w:cs="Arial"/>
        </w:rPr>
        <w:t xml:space="preserve"> </w:t>
      </w:r>
      <w:r w:rsidRPr="00CD59CC">
        <w:rPr>
          <w:rFonts w:ascii="Arial" w:hAnsi="Arial" w:cs="Arial"/>
        </w:rPr>
        <w:t>resources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making</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CDCP</w:t>
      </w:r>
      <w:r w:rsidR="007B7640" w:rsidRPr="00CD59CC">
        <w:rPr>
          <w:rFonts w:ascii="Arial" w:hAnsi="Arial" w:cs="Arial"/>
        </w:rPr>
        <w:t xml:space="preserve"> </w:t>
      </w:r>
      <w:r w:rsidRPr="00CD59CC">
        <w:rPr>
          <w:rFonts w:ascii="Arial" w:hAnsi="Arial" w:cs="Arial"/>
        </w:rPr>
        <w:t>went</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judicial</w:t>
      </w:r>
      <w:r w:rsidR="007B7640" w:rsidRPr="00CD59CC">
        <w:rPr>
          <w:rFonts w:ascii="Arial" w:hAnsi="Arial" w:cs="Arial"/>
        </w:rPr>
        <w:t xml:space="preserve"> </w:t>
      </w:r>
      <w:r w:rsidRPr="00CD59CC">
        <w:rPr>
          <w:rFonts w:ascii="Arial" w:hAnsi="Arial" w:cs="Arial"/>
        </w:rPr>
        <w:t>review</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upheld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p>
    <w:p w14:paraId="7A01766D" w14:textId="6CA08F1D" w:rsidR="00FD3C9E" w:rsidRPr="00CD59CC" w:rsidRDefault="00FD3C9E" w:rsidP="00CD59CC">
      <w:pPr>
        <w:rPr>
          <w:rFonts w:ascii="Arial" w:hAnsi="Arial" w:cs="Arial"/>
        </w:rPr>
      </w:pPr>
      <w:r w:rsidRPr="00CD59CC">
        <w:rPr>
          <w:rFonts w:ascii="Arial" w:hAnsi="Arial" w:cs="Arial"/>
        </w:rPr>
        <w:lastRenderedPageBreak/>
        <w:t>Despite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7</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allows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justification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claims,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w:t>
      </w:r>
      <w:r w:rsidR="00213F66" w:rsidRPr="00CD59CC">
        <w:rPr>
          <w:rFonts w:ascii="Arial" w:hAnsi="Arial" w:cs="Arial"/>
        </w:rPr>
        <w:t>y</w:t>
      </w:r>
      <w:r w:rsidR="007B7640" w:rsidRPr="00CD59CC">
        <w:rPr>
          <w:rFonts w:ascii="Arial" w:hAnsi="Arial" w:cs="Arial"/>
        </w:rPr>
        <w:t xml:space="preserve"> </w:t>
      </w:r>
      <w:r w:rsidR="00213F66" w:rsidRPr="00CD59CC">
        <w:rPr>
          <w:rFonts w:ascii="Arial" w:hAnsi="Arial" w:cs="Arial"/>
        </w:rPr>
        <w:t>did</w:t>
      </w:r>
      <w:r w:rsidR="007B7640" w:rsidRPr="00CD59CC">
        <w:rPr>
          <w:rFonts w:ascii="Arial" w:hAnsi="Arial" w:cs="Arial"/>
        </w:rPr>
        <w:t xml:space="preserve"> </w:t>
      </w:r>
      <w:r w:rsidR="00213F66" w:rsidRPr="00CD59CC">
        <w:rPr>
          <w:rFonts w:ascii="Arial" w:hAnsi="Arial" w:cs="Arial"/>
        </w:rPr>
        <w:t>not</w:t>
      </w:r>
      <w:r w:rsidR="007B7640" w:rsidRPr="00CD59CC">
        <w:rPr>
          <w:rFonts w:ascii="Arial" w:hAnsi="Arial" w:cs="Arial"/>
        </w:rPr>
        <w:t xml:space="preserve"> </w:t>
      </w:r>
      <w:r w:rsidR="00213F66" w:rsidRPr="00CD59CC">
        <w:rPr>
          <w:rFonts w:ascii="Arial" w:hAnsi="Arial" w:cs="Arial"/>
        </w:rPr>
        <w:t>accept</w:t>
      </w:r>
      <w:r w:rsidR="007B7640" w:rsidRPr="00CD59CC">
        <w:rPr>
          <w:rFonts w:ascii="Arial" w:hAnsi="Arial" w:cs="Arial"/>
        </w:rPr>
        <w:t xml:space="preserve"> </w:t>
      </w:r>
      <w:r w:rsidR="00213F66" w:rsidRPr="00CD59CC">
        <w:rPr>
          <w:rFonts w:ascii="Arial" w:hAnsi="Arial" w:cs="Arial"/>
        </w:rPr>
        <w:t>the</w:t>
      </w:r>
      <w:r w:rsidR="007B7640" w:rsidRPr="00CD59CC">
        <w:rPr>
          <w:rFonts w:ascii="Arial" w:hAnsi="Arial" w:cs="Arial"/>
        </w:rPr>
        <w:t xml:space="preserve"> </w:t>
      </w:r>
      <w:r w:rsidR="00213F66" w:rsidRPr="00CD59CC">
        <w:rPr>
          <w:rFonts w:ascii="Arial" w:hAnsi="Arial" w:cs="Arial"/>
        </w:rPr>
        <w:t>reference</w:t>
      </w:r>
      <w:r w:rsidR="007B7640" w:rsidRPr="00CD59CC">
        <w:rPr>
          <w:rFonts w:ascii="Arial" w:hAnsi="Arial" w:cs="Arial"/>
        </w:rPr>
        <w:t xml:space="preserve"> </w:t>
      </w:r>
      <w:r w:rsidR="00213F66" w:rsidRPr="00CD59CC">
        <w:rPr>
          <w:rFonts w:ascii="Arial" w:hAnsi="Arial" w:cs="Arial"/>
        </w:rPr>
        <w:t>to</w:t>
      </w:r>
      <w:r w:rsidR="007B7640" w:rsidRPr="00CD59CC">
        <w:rPr>
          <w:rFonts w:ascii="Arial" w:hAnsi="Arial" w:cs="Arial"/>
        </w:rPr>
        <w:t xml:space="preserve"> </w:t>
      </w:r>
      <w:r w:rsidRPr="00CD59CC">
        <w:rPr>
          <w:rFonts w:ascii="Arial" w:hAnsi="Arial" w:cs="Arial"/>
        </w:rPr>
        <w:t>financial</w:t>
      </w:r>
      <w:r w:rsidR="007B7640" w:rsidRPr="00CD59CC">
        <w:rPr>
          <w:rFonts w:ascii="Arial" w:hAnsi="Arial" w:cs="Arial"/>
        </w:rPr>
        <w:t xml:space="preserve"> </w:t>
      </w:r>
      <w:r w:rsidRPr="00CD59CC">
        <w:rPr>
          <w:rFonts w:ascii="Arial" w:hAnsi="Arial" w:cs="Arial"/>
        </w:rPr>
        <w:t>problems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exempting</w:t>
      </w:r>
      <w:r w:rsidR="007B7640" w:rsidRPr="00CD59CC">
        <w:rPr>
          <w:rFonts w:ascii="Arial" w:hAnsi="Arial" w:cs="Arial"/>
        </w:rPr>
        <w:t xml:space="preserve"> </w:t>
      </w:r>
      <w:r w:rsidRPr="00CD59CC">
        <w:rPr>
          <w:rFonts w:ascii="Arial" w:hAnsi="Arial" w:cs="Arial"/>
        </w:rPr>
        <w:t>factor.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obliged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CDCP</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terminate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injurious</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60</w:t>
      </w:r>
      <w:r w:rsidR="007B7640" w:rsidRPr="00CD59CC">
        <w:rPr>
          <w:rFonts w:ascii="Arial" w:hAnsi="Arial" w:cs="Arial"/>
        </w:rPr>
        <w:t xml:space="preserve"> </w:t>
      </w:r>
      <w:r w:rsidRPr="00CD59CC">
        <w:rPr>
          <w:rFonts w:ascii="Arial" w:hAnsi="Arial" w:cs="Arial"/>
        </w:rPr>
        <w:t>days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ordered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published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own</w:t>
      </w:r>
      <w:r w:rsidR="007B7640" w:rsidRPr="00CD59CC">
        <w:rPr>
          <w:rFonts w:ascii="Arial" w:hAnsi="Arial" w:cs="Arial"/>
        </w:rPr>
        <w:t xml:space="preserve"> </w:t>
      </w:r>
      <w:r w:rsidRPr="00CD59CC">
        <w:rPr>
          <w:rFonts w:ascii="Arial" w:hAnsi="Arial" w:cs="Arial"/>
        </w:rPr>
        <w:t>website.</w:t>
      </w:r>
      <w:r w:rsidR="007B7640" w:rsidRPr="00CD59CC">
        <w:rPr>
          <w:rFonts w:ascii="Arial" w:hAnsi="Arial" w:cs="Arial"/>
        </w:rPr>
        <w:t xml:space="preserve"> </w:t>
      </w:r>
    </w:p>
    <w:p w14:paraId="25293F91" w14:textId="77777777" w:rsidR="00FD3C9E" w:rsidRPr="00CD59CC" w:rsidRDefault="00FD3C9E" w:rsidP="00CD59CC">
      <w:pPr>
        <w:rPr>
          <w:rFonts w:ascii="Arial" w:hAnsi="Arial" w:cs="Arial"/>
        </w:rPr>
      </w:pPr>
    </w:p>
    <w:p w14:paraId="3A785CD7" w14:textId="77777777" w:rsidR="00DA7984" w:rsidRPr="00E34CF1" w:rsidRDefault="00222648" w:rsidP="00BB4E9F">
      <w:pPr>
        <w:rPr>
          <w:rFonts w:ascii="Arial" w:hAnsi="Arial"/>
          <w:i/>
        </w:rPr>
      </w:pPr>
      <w:r w:rsidRPr="00CD59CC">
        <w:rPr>
          <w:rFonts w:ascii="Arial" w:hAnsi="Arial" w:cs="Arial"/>
        </w:rPr>
        <w:t>It</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pointed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00DC5217" w:rsidRPr="00CD59CC">
        <w:rPr>
          <w:rFonts w:ascii="Arial" w:hAnsi="Arial" w:cs="Arial"/>
        </w:rPr>
        <w:t>in</w:t>
      </w:r>
      <w:r w:rsidR="007B7640" w:rsidRPr="00CD59CC">
        <w:rPr>
          <w:rFonts w:ascii="Arial" w:hAnsi="Arial" w:cs="Arial"/>
        </w:rPr>
        <w:t xml:space="preserve"> </w:t>
      </w:r>
      <w:r w:rsidR="00DC5217" w:rsidRPr="00CD59CC">
        <w:rPr>
          <w:rFonts w:ascii="Arial" w:hAnsi="Arial" w:cs="Arial"/>
        </w:rPr>
        <w:t>a</w:t>
      </w:r>
      <w:r w:rsidR="007B7640" w:rsidRPr="00CD59CC">
        <w:rPr>
          <w:rFonts w:ascii="Arial" w:hAnsi="Arial" w:cs="Arial"/>
        </w:rPr>
        <w:t xml:space="preserve"> </w:t>
      </w:r>
      <w:r w:rsidR="00DC5217" w:rsidRPr="00CD59CC">
        <w:rPr>
          <w:rFonts w:ascii="Arial" w:hAnsi="Arial" w:cs="Arial"/>
        </w:rPr>
        <w:t>June</w:t>
      </w:r>
      <w:r w:rsidR="007B7640" w:rsidRPr="00CD59CC">
        <w:rPr>
          <w:rFonts w:ascii="Arial" w:hAnsi="Arial" w:cs="Arial"/>
        </w:rPr>
        <w:t xml:space="preserve"> </w:t>
      </w:r>
      <w:r w:rsidR="00DC5217" w:rsidRPr="00CD59CC">
        <w:rPr>
          <w:rFonts w:ascii="Arial" w:hAnsi="Arial" w:cs="Arial"/>
        </w:rPr>
        <w:t>2013</w:t>
      </w:r>
      <w:r w:rsidR="007B7640" w:rsidRPr="00CD59CC">
        <w:rPr>
          <w:rFonts w:ascii="Arial" w:hAnsi="Arial" w:cs="Arial"/>
        </w:rPr>
        <w:t xml:space="preserve"> </w:t>
      </w:r>
      <w:r w:rsidR="00DC5217" w:rsidRPr="00CD59CC">
        <w:rPr>
          <w:rFonts w:ascii="Arial" w:hAnsi="Arial" w:cs="Arial"/>
        </w:rPr>
        <w:t>decision</w:t>
      </w:r>
      <w:r w:rsidR="007B7640" w:rsidRPr="00CD59CC">
        <w:rPr>
          <w:rFonts w:ascii="Arial" w:hAnsi="Arial" w:cs="Arial"/>
        </w:rPr>
        <w:t xml:space="preserve"> </w:t>
      </w:r>
      <w:r w:rsidR="00DC5217" w:rsidRPr="00CD59CC">
        <w:rPr>
          <w:rFonts w:ascii="Arial" w:hAnsi="Arial" w:cs="Arial"/>
        </w:rPr>
        <w:t>the</w:t>
      </w:r>
      <w:r w:rsidR="007B7640" w:rsidRPr="00CD59CC">
        <w:rPr>
          <w:rFonts w:ascii="Arial" w:hAnsi="Arial" w:cs="Arial"/>
        </w:rPr>
        <w:t xml:space="preserve"> </w:t>
      </w:r>
      <w:r w:rsidR="00DC5217" w:rsidRPr="00CD59CC">
        <w:rPr>
          <w:rFonts w:ascii="Arial" w:hAnsi="Arial" w:cs="Arial"/>
        </w:rPr>
        <w:t>Curia</w:t>
      </w:r>
      <w:r w:rsidR="007B7640" w:rsidRPr="00CD59CC">
        <w:rPr>
          <w:rFonts w:ascii="Arial" w:hAnsi="Arial" w:cs="Arial"/>
        </w:rPr>
        <w:t xml:space="preserve"> </w:t>
      </w:r>
      <w:r w:rsidR="00DC5217" w:rsidRPr="00CD59CC">
        <w:rPr>
          <w:rFonts w:ascii="Arial" w:hAnsi="Arial" w:cs="Arial"/>
        </w:rPr>
        <w:t>accepted</w:t>
      </w:r>
      <w:r w:rsidR="007B7640" w:rsidRPr="00CD59CC">
        <w:rPr>
          <w:rFonts w:ascii="Arial" w:hAnsi="Arial" w:cs="Arial"/>
        </w:rPr>
        <w:t xml:space="preserve"> </w:t>
      </w:r>
      <w:r w:rsidR="00DC5217" w:rsidRPr="00CD59CC">
        <w:rPr>
          <w:rFonts w:ascii="Arial" w:hAnsi="Arial" w:cs="Arial"/>
        </w:rPr>
        <w:t>reference</w:t>
      </w:r>
      <w:r w:rsidR="007B7640" w:rsidRPr="00CD59CC">
        <w:rPr>
          <w:rFonts w:ascii="Arial" w:hAnsi="Arial" w:cs="Arial"/>
        </w:rPr>
        <w:t xml:space="preserve"> </w:t>
      </w:r>
      <w:r w:rsidR="00DC5217" w:rsidRPr="00CD59CC">
        <w:rPr>
          <w:rFonts w:ascii="Arial" w:hAnsi="Arial" w:cs="Arial"/>
        </w:rPr>
        <w:t>to</w:t>
      </w:r>
      <w:r w:rsidR="007B7640" w:rsidRPr="00CD59CC">
        <w:rPr>
          <w:rFonts w:ascii="Arial" w:hAnsi="Arial" w:cs="Arial"/>
        </w:rPr>
        <w:t xml:space="preserve"> </w:t>
      </w:r>
      <w:r w:rsidR="00DC5217" w:rsidRPr="00CD59CC">
        <w:rPr>
          <w:rFonts w:ascii="Arial" w:hAnsi="Arial" w:cs="Arial"/>
        </w:rPr>
        <w:t>financial</w:t>
      </w:r>
      <w:r w:rsidR="007B7640" w:rsidRPr="00CD59CC">
        <w:rPr>
          <w:rFonts w:ascii="Arial" w:hAnsi="Arial" w:cs="Arial"/>
        </w:rPr>
        <w:t xml:space="preserve"> </w:t>
      </w:r>
      <w:r w:rsidR="00DC5217" w:rsidRPr="00CD59CC">
        <w:rPr>
          <w:rFonts w:ascii="Arial" w:hAnsi="Arial" w:cs="Arial"/>
        </w:rPr>
        <w:t>difficulties</w:t>
      </w:r>
      <w:r w:rsidR="007B7640" w:rsidRPr="00CD59CC">
        <w:rPr>
          <w:rFonts w:ascii="Arial" w:hAnsi="Arial" w:cs="Arial"/>
        </w:rPr>
        <w:t xml:space="preserve"> </w:t>
      </w:r>
      <w:r w:rsidR="00DC5217" w:rsidRPr="00CD59CC">
        <w:rPr>
          <w:rFonts w:ascii="Arial" w:hAnsi="Arial" w:cs="Arial"/>
        </w:rPr>
        <w:t>as</w:t>
      </w:r>
      <w:r w:rsidR="007B7640" w:rsidRPr="00CD59CC">
        <w:rPr>
          <w:rFonts w:ascii="Arial" w:hAnsi="Arial" w:cs="Arial"/>
        </w:rPr>
        <w:t xml:space="preserve"> </w:t>
      </w:r>
      <w:r w:rsidR="00DC5217" w:rsidRPr="00CD59CC">
        <w:rPr>
          <w:rFonts w:ascii="Arial" w:hAnsi="Arial" w:cs="Arial"/>
        </w:rPr>
        <w:t>a</w:t>
      </w:r>
      <w:r w:rsidR="007B7640" w:rsidRPr="00CD59CC">
        <w:rPr>
          <w:rFonts w:ascii="Arial" w:hAnsi="Arial" w:cs="Arial"/>
        </w:rPr>
        <w:t xml:space="preserve"> </w:t>
      </w:r>
      <w:r w:rsidR="00DC5217" w:rsidRPr="00CD59CC">
        <w:rPr>
          <w:rFonts w:ascii="Arial" w:hAnsi="Arial" w:cs="Arial"/>
        </w:rPr>
        <w:t>legitimate</w:t>
      </w:r>
      <w:r w:rsidR="007B7640" w:rsidRPr="00CD59CC">
        <w:rPr>
          <w:rFonts w:ascii="Arial" w:hAnsi="Arial" w:cs="Arial"/>
        </w:rPr>
        <w:t xml:space="preserve"> </w:t>
      </w:r>
      <w:r w:rsidR="00DC5217" w:rsidRPr="00CD59CC">
        <w:rPr>
          <w:rFonts w:ascii="Arial" w:hAnsi="Arial" w:cs="Arial"/>
        </w:rPr>
        <w:t>defence</w:t>
      </w:r>
      <w:r w:rsidR="007B7640" w:rsidRPr="00CD59CC">
        <w:rPr>
          <w:rFonts w:ascii="Arial" w:hAnsi="Arial" w:cs="Arial"/>
        </w:rPr>
        <w:t xml:space="preserve"> </w:t>
      </w:r>
      <w:r w:rsidR="00DC5217" w:rsidRPr="00CD59CC">
        <w:rPr>
          <w:rFonts w:ascii="Arial" w:hAnsi="Arial" w:cs="Arial"/>
        </w:rPr>
        <w:t>in</w:t>
      </w:r>
      <w:r w:rsidR="007B7640" w:rsidRPr="00CD59CC">
        <w:rPr>
          <w:rFonts w:ascii="Arial" w:hAnsi="Arial" w:cs="Arial"/>
        </w:rPr>
        <w:t xml:space="preserve"> </w:t>
      </w:r>
      <w:r w:rsidR="00DC5217" w:rsidRPr="00CD59CC">
        <w:rPr>
          <w:rFonts w:ascii="Arial" w:hAnsi="Arial" w:cs="Arial"/>
        </w:rPr>
        <w:t>relation</w:t>
      </w:r>
      <w:r w:rsidR="007B7640" w:rsidRPr="00CD59CC">
        <w:rPr>
          <w:rFonts w:ascii="Arial" w:hAnsi="Arial" w:cs="Arial"/>
        </w:rPr>
        <w:t xml:space="preserve"> </w:t>
      </w:r>
      <w:r w:rsidR="00DC5217" w:rsidRPr="00CD59CC">
        <w:rPr>
          <w:rFonts w:ascii="Arial" w:hAnsi="Arial" w:cs="Arial"/>
        </w:rPr>
        <w:t>to</w:t>
      </w:r>
      <w:r w:rsidR="007B7640" w:rsidRPr="00CD59CC">
        <w:rPr>
          <w:rFonts w:ascii="Arial" w:hAnsi="Arial" w:cs="Arial"/>
        </w:rPr>
        <w:t xml:space="preserve"> </w:t>
      </w:r>
      <w:r w:rsidR="00DC5217" w:rsidRPr="00CD59CC">
        <w:rPr>
          <w:rFonts w:ascii="Arial" w:hAnsi="Arial" w:cs="Arial"/>
        </w:rPr>
        <w:t>the</w:t>
      </w:r>
      <w:r w:rsidR="007B7640" w:rsidRPr="00CD59CC">
        <w:rPr>
          <w:rFonts w:ascii="Arial" w:hAnsi="Arial" w:cs="Arial"/>
        </w:rPr>
        <w:t xml:space="preserve"> </w:t>
      </w:r>
      <w:r w:rsidR="00DC5217" w:rsidRPr="00CD59CC">
        <w:rPr>
          <w:rFonts w:ascii="Arial" w:hAnsi="Arial" w:cs="Arial"/>
        </w:rPr>
        <w:t>failure</w:t>
      </w:r>
      <w:r w:rsidR="007B7640" w:rsidRPr="00CD59CC">
        <w:rPr>
          <w:rFonts w:ascii="Arial" w:hAnsi="Arial" w:cs="Arial"/>
        </w:rPr>
        <w:t xml:space="preserve"> </w:t>
      </w:r>
      <w:r w:rsidR="00DC5217" w:rsidRPr="00CD59CC">
        <w:rPr>
          <w:rFonts w:ascii="Arial" w:hAnsi="Arial" w:cs="Arial"/>
        </w:rPr>
        <w:t>to</w:t>
      </w:r>
      <w:r w:rsidR="007B7640" w:rsidRPr="00CD59CC">
        <w:rPr>
          <w:rFonts w:ascii="Arial" w:hAnsi="Arial" w:cs="Arial"/>
        </w:rPr>
        <w:t xml:space="preserve"> </w:t>
      </w:r>
      <w:r w:rsidR="00DC5217" w:rsidRPr="00CD59CC">
        <w:rPr>
          <w:rFonts w:ascii="Arial" w:hAnsi="Arial" w:cs="Arial"/>
        </w:rPr>
        <w:t>provide</w:t>
      </w:r>
      <w:r w:rsidR="007B7640" w:rsidRPr="00CD59CC">
        <w:rPr>
          <w:rFonts w:ascii="Arial" w:hAnsi="Arial" w:cs="Arial"/>
        </w:rPr>
        <w:t xml:space="preserve"> </w:t>
      </w:r>
      <w:r w:rsidR="00DC5217" w:rsidRPr="00CD59CC">
        <w:rPr>
          <w:rFonts w:ascii="Arial" w:hAnsi="Arial" w:cs="Arial"/>
        </w:rPr>
        <w:t>accessibility.</w:t>
      </w:r>
      <w:r w:rsidR="007B7640" w:rsidRPr="00CD59CC">
        <w:rPr>
          <w:rFonts w:ascii="Arial" w:hAnsi="Arial" w:cs="Arial"/>
        </w:rPr>
        <w:t xml:space="preserve"> </w:t>
      </w:r>
      <w:r w:rsidR="00DC5217" w:rsidRPr="00CD59CC">
        <w:rPr>
          <w:rFonts w:ascii="Arial" w:hAnsi="Arial" w:cs="Arial"/>
        </w:rPr>
        <w:t>The</w:t>
      </w:r>
      <w:r w:rsidR="007B7640" w:rsidRPr="00CD59CC">
        <w:rPr>
          <w:rFonts w:ascii="Arial" w:hAnsi="Arial" w:cs="Arial"/>
        </w:rPr>
        <w:t xml:space="preserve"> </w:t>
      </w:r>
      <w:r w:rsidR="00DC5217" w:rsidRPr="00CD59CC">
        <w:rPr>
          <w:rFonts w:ascii="Arial" w:hAnsi="Arial" w:cs="Arial"/>
        </w:rPr>
        <w:t>blind</w:t>
      </w:r>
      <w:r w:rsidR="007B7640" w:rsidRPr="00CD59CC">
        <w:rPr>
          <w:rFonts w:ascii="Arial" w:hAnsi="Arial" w:cs="Arial"/>
        </w:rPr>
        <w:t xml:space="preserve"> </w:t>
      </w:r>
      <w:r w:rsidR="00DC5217" w:rsidRPr="00CD59CC">
        <w:rPr>
          <w:rFonts w:ascii="Arial" w:hAnsi="Arial" w:cs="Arial"/>
        </w:rPr>
        <w:t>plaintiff</w:t>
      </w:r>
      <w:r w:rsidR="007B7640" w:rsidRPr="00CD59CC">
        <w:rPr>
          <w:rFonts w:ascii="Arial" w:hAnsi="Arial" w:cs="Arial"/>
        </w:rPr>
        <w:t xml:space="preserve"> </w:t>
      </w:r>
      <w:r w:rsidR="00DC5217" w:rsidRPr="00CD59CC">
        <w:rPr>
          <w:rFonts w:ascii="Arial" w:hAnsi="Arial" w:cs="Arial"/>
        </w:rPr>
        <w:t>initiated</w:t>
      </w:r>
      <w:r w:rsidR="007B7640" w:rsidRPr="00CD59CC">
        <w:rPr>
          <w:rFonts w:ascii="Arial" w:hAnsi="Arial" w:cs="Arial"/>
        </w:rPr>
        <w:t xml:space="preserve"> </w:t>
      </w:r>
      <w:r w:rsidR="00DC5217" w:rsidRPr="00CD59CC">
        <w:rPr>
          <w:rFonts w:ascii="Arial" w:hAnsi="Arial" w:cs="Arial"/>
        </w:rPr>
        <w:t>a</w:t>
      </w:r>
      <w:r w:rsidR="007B7640" w:rsidRPr="00CD59CC">
        <w:rPr>
          <w:rFonts w:ascii="Arial" w:hAnsi="Arial" w:cs="Arial"/>
        </w:rPr>
        <w:t xml:space="preserve"> </w:t>
      </w:r>
      <w:r w:rsidR="00DC5217" w:rsidRPr="00CD59CC">
        <w:rPr>
          <w:rFonts w:ascii="Arial" w:hAnsi="Arial" w:cs="Arial"/>
        </w:rPr>
        <w:t>lawsuit</w:t>
      </w:r>
      <w:r w:rsidR="007B7640" w:rsidRPr="00CD59CC">
        <w:rPr>
          <w:rFonts w:ascii="Arial" w:hAnsi="Arial" w:cs="Arial"/>
        </w:rPr>
        <w:t xml:space="preserve"> </w:t>
      </w:r>
      <w:r w:rsidR="00DC5217" w:rsidRPr="00CD59CC">
        <w:rPr>
          <w:rFonts w:ascii="Arial" w:hAnsi="Arial" w:cs="Arial"/>
        </w:rPr>
        <w:t>against</w:t>
      </w:r>
      <w:r w:rsidR="007B7640" w:rsidRPr="00CD59CC">
        <w:rPr>
          <w:rFonts w:ascii="Arial" w:hAnsi="Arial" w:cs="Arial"/>
        </w:rPr>
        <w:t xml:space="preserve"> </w:t>
      </w:r>
      <w:r w:rsidR="00DC5217" w:rsidRPr="00CD59CC">
        <w:rPr>
          <w:rFonts w:ascii="Arial" w:hAnsi="Arial" w:cs="Arial"/>
        </w:rPr>
        <w:t>a</w:t>
      </w:r>
      <w:r w:rsidR="007B7640" w:rsidRPr="00CD59CC">
        <w:rPr>
          <w:rFonts w:ascii="Arial" w:hAnsi="Arial" w:cs="Arial"/>
        </w:rPr>
        <w:t xml:space="preserve"> </w:t>
      </w:r>
      <w:r w:rsidR="00DC5217" w:rsidRPr="00CD59CC">
        <w:rPr>
          <w:rFonts w:ascii="Arial" w:hAnsi="Arial" w:cs="Arial"/>
        </w:rPr>
        <w:t>transportation</w:t>
      </w:r>
      <w:r w:rsidR="007B7640" w:rsidRPr="00CD59CC">
        <w:rPr>
          <w:rFonts w:ascii="Arial" w:hAnsi="Arial" w:cs="Arial"/>
        </w:rPr>
        <w:t xml:space="preserve"> </w:t>
      </w:r>
      <w:r w:rsidR="00DC5217" w:rsidRPr="00CD59CC">
        <w:rPr>
          <w:rFonts w:ascii="Arial" w:hAnsi="Arial" w:cs="Arial"/>
        </w:rPr>
        <w:t>company</w:t>
      </w:r>
      <w:r w:rsidR="007B7640" w:rsidRPr="00CD59CC">
        <w:rPr>
          <w:rFonts w:ascii="Arial" w:hAnsi="Arial" w:cs="Arial"/>
        </w:rPr>
        <w:t xml:space="preserve"> </w:t>
      </w:r>
      <w:r w:rsidR="00DC5217" w:rsidRPr="00CD59CC">
        <w:rPr>
          <w:rFonts w:ascii="Arial" w:hAnsi="Arial" w:cs="Arial"/>
        </w:rPr>
        <w:t>because</w:t>
      </w:r>
      <w:r w:rsidR="007B7640" w:rsidRPr="00CD59CC">
        <w:rPr>
          <w:rFonts w:ascii="Arial" w:hAnsi="Arial" w:cs="Arial"/>
        </w:rPr>
        <w:t xml:space="preserve"> </w:t>
      </w:r>
      <w:r w:rsidR="008F6667" w:rsidRPr="00CD59CC">
        <w:rPr>
          <w:rFonts w:ascii="Arial" w:hAnsi="Arial" w:cs="Arial"/>
        </w:rPr>
        <w:t>the</w:t>
      </w:r>
      <w:r w:rsidR="007B7640" w:rsidRPr="00CD59CC">
        <w:rPr>
          <w:rFonts w:ascii="Arial" w:hAnsi="Arial" w:cs="Arial"/>
        </w:rPr>
        <w:t xml:space="preserve"> </w:t>
      </w:r>
      <w:r w:rsidR="008F6667" w:rsidRPr="00CD59CC">
        <w:rPr>
          <w:rFonts w:ascii="Arial" w:hAnsi="Arial" w:cs="Arial"/>
        </w:rPr>
        <w:t>bus</w:t>
      </w:r>
      <w:r w:rsidR="007B7640" w:rsidRPr="00CD59CC">
        <w:rPr>
          <w:rFonts w:ascii="Arial" w:hAnsi="Arial" w:cs="Arial"/>
        </w:rPr>
        <w:t xml:space="preserve"> </w:t>
      </w:r>
      <w:r w:rsidR="008F6667" w:rsidRPr="00CD59CC">
        <w:rPr>
          <w:rFonts w:ascii="Arial" w:hAnsi="Arial" w:cs="Arial"/>
        </w:rPr>
        <w:t>terminal</w:t>
      </w:r>
      <w:r w:rsidR="007B7640" w:rsidRPr="00CD59CC">
        <w:rPr>
          <w:rFonts w:ascii="Arial" w:hAnsi="Arial" w:cs="Arial"/>
        </w:rPr>
        <w:t xml:space="preserve"> </w:t>
      </w:r>
      <w:r w:rsidR="008F6667" w:rsidRPr="00CD59CC">
        <w:rPr>
          <w:rFonts w:ascii="Arial" w:hAnsi="Arial" w:cs="Arial"/>
        </w:rPr>
        <w:t>it</w:t>
      </w:r>
      <w:r w:rsidR="007B7640" w:rsidRPr="00CD59CC">
        <w:rPr>
          <w:rFonts w:ascii="Arial" w:hAnsi="Arial" w:cs="Arial"/>
        </w:rPr>
        <w:t xml:space="preserve"> </w:t>
      </w:r>
      <w:r w:rsidR="008F6667" w:rsidRPr="00CD59CC">
        <w:rPr>
          <w:rFonts w:ascii="Arial" w:hAnsi="Arial" w:cs="Arial"/>
        </w:rPr>
        <w:t>operated</w:t>
      </w:r>
      <w:r w:rsidR="007B7640" w:rsidRPr="00CD59CC">
        <w:rPr>
          <w:rFonts w:ascii="Arial" w:hAnsi="Arial" w:cs="Arial"/>
        </w:rPr>
        <w:t xml:space="preserve"> </w:t>
      </w:r>
      <w:r w:rsidR="008F6667" w:rsidRPr="00CD59CC">
        <w:rPr>
          <w:rFonts w:ascii="Arial" w:hAnsi="Arial" w:cs="Arial"/>
        </w:rPr>
        <w:t>was</w:t>
      </w:r>
      <w:r w:rsidR="007B7640" w:rsidRPr="00CD59CC">
        <w:rPr>
          <w:rFonts w:ascii="Arial" w:hAnsi="Arial" w:cs="Arial"/>
        </w:rPr>
        <w:t xml:space="preserve"> </w:t>
      </w:r>
      <w:r w:rsidR="008F6667" w:rsidRPr="00CD59CC">
        <w:rPr>
          <w:rFonts w:ascii="Arial" w:hAnsi="Arial" w:cs="Arial"/>
        </w:rPr>
        <w:t>not</w:t>
      </w:r>
      <w:r w:rsidR="007B7640" w:rsidRPr="00CD59CC">
        <w:rPr>
          <w:rFonts w:ascii="Arial" w:hAnsi="Arial" w:cs="Arial"/>
        </w:rPr>
        <w:t xml:space="preserve"> </w:t>
      </w:r>
      <w:r w:rsidR="008F6667" w:rsidRPr="00CD59CC">
        <w:rPr>
          <w:rFonts w:ascii="Arial" w:hAnsi="Arial" w:cs="Arial"/>
        </w:rPr>
        <w:t>accessible</w:t>
      </w:r>
      <w:r w:rsidR="007B7640" w:rsidRPr="00CD59CC">
        <w:rPr>
          <w:rFonts w:ascii="Arial" w:hAnsi="Arial" w:cs="Arial"/>
        </w:rPr>
        <w:t xml:space="preserve"> </w:t>
      </w:r>
      <w:r w:rsidR="008F6667" w:rsidRPr="00CD59CC">
        <w:rPr>
          <w:rFonts w:ascii="Arial" w:hAnsi="Arial" w:cs="Arial"/>
        </w:rPr>
        <w:t>for</w:t>
      </w:r>
      <w:r w:rsidR="007B7640" w:rsidRPr="00CD59CC">
        <w:rPr>
          <w:rFonts w:ascii="Arial" w:hAnsi="Arial" w:cs="Arial"/>
        </w:rPr>
        <w:t xml:space="preserve"> </w:t>
      </w:r>
      <w:r w:rsidR="008F6667" w:rsidRPr="00CD59CC">
        <w:rPr>
          <w:rFonts w:ascii="Arial" w:hAnsi="Arial" w:cs="Arial"/>
        </w:rPr>
        <w:t>persons</w:t>
      </w:r>
      <w:r w:rsidR="007B7640" w:rsidRPr="00CD59CC">
        <w:rPr>
          <w:rFonts w:ascii="Arial" w:hAnsi="Arial" w:cs="Arial"/>
        </w:rPr>
        <w:t xml:space="preserve"> </w:t>
      </w:r>
      <w:r w:rsidR="008F6667" w:rsidRPr="00CD59CC">
        <w:rPr>
          <w:rFonts w:ascii="Arial" w:hAnsi="Arial" w:cs="Arial"/>
        </w:rPr>
        <w:t>with</w:t>
      </w:r>
      <w:r w:rsidR="007B7640" w:rsidRPr="00CD59CC">
        <w:rPr>
          <w:rFonts w:ascii="Arial" w:hAnsi="Arial" w:cs="Arial"/>
        </w:rPr>
        <w:t xml:space="preserve"> </w:t>
      </w:r>
      <w:r w:rsidR="008F6667" w:rsidRPr="00CD59CC">
        <w:rPr>
          <w:rFonts w:ascii="Arial" w:hAnsi="Arial" w:cs="Arial"/>
        </w:rPr>
        <w:t>visual</w:t>
      </w:r>
      <w:r w:rsidR="007B7640" w:rsidRPr="00CD59CC">
        <w:rPr>
          <w:rFonts w:ascii="Arial" w:hAnsi="Arial" w:cs="Arial"/>
        </w:rPr>
        <w:t xml:space="preserve"> </w:t>
      </w:r>
      <w:r w:rsidR="008F6667" w:rsidRPr="00CD59CC">
        <w:rPr>
          <w:rFonts w:ascii="Arial" w:hAnsi="Arial" w:cs="Arial"/>
        </w:rPr>
        <w:t>impairments.</w:t>
      </w:r>
      <w:r w:rsidR="007B7640" w:rsidRPr="00CD59CC">
        <w:rPr>
          <w:rFonts w:ascii="Arial" w:hAnsi="Arial" w:cs="Arial"/>
        </w:rPr>
        <w:t xml:space="preserve"> </w:t>
      </w:r>
      <w:r w:rsidR="008F6667" w:rsidRPr="00CD59CC">
        <w:rPr>
          <w:rFonts w:ascii="Arial" w:hAnsi="Arial" w:cs="Arial"/>
        </w:rPr>
        <w:t>Although</w:t>
      </w:r>
      <w:r w:rsidR="007B7640" w:rsidRPr="00CD59CC">
        <w:rPr>
          <w:rFonts w:ascii="Arial" w:hAnsi="Arial" w:cs="Arial"/>
        </w:rPr>
        <w:t xml:space="preserve"> </w:t>
      </w:r>
      <w:r w:rsidR="008F6667" w:rsidRPr="00CD59CC">
        <w:rPr>
          <w:rFonts w:ascii="Arial" w:hAnsi="Arial" w:cs="Arial"/>
        </w:rPr>
        <w:t>the</w:t>
      </w:r>
      <w:r w:rsidR="007B7640" w:rsidRPr="00CD59CC">
        <w:rPr>
          <w:rFonts w:ascii="Arial" w:hAnsi="Arial" w:cs="Arial"/>
        </w:rPr>
        <w:t xml:space="preserve"> </w:t>
      </w:r>
      <w:r w:rsidR="008F6667" w:rsidRPr="00CD59CC">
        <w:rPr>
          <w:rFonts w:ascii="Arial" w:hAnsi="Arial" w:cs="Arial"/>
        </w:rPr>
        <w:t>construction</w:t>
      </w:r>
      <w:r w:rsidR="007B7640" w:rsidRPr="00CD59CC">
        <w:rPr>
          <w:rFonts w:ascii="Arial" w:hAnsi="Arial" w:cs="Arial"/>
        </w:rPr>
        <w:t xml:space="preserve"> </w:t>
      </w:r>
      <w:r w:rsidR="008F6667" w:rsidRPr="00CD59CC">
        <w:rPr>
          <w:rFonts w:ascii="Arial" w:hAnsi="Arial" w:cs="Arial"/>
        </w:rPr>
        <w:t>permission</w:t>
      </w:r>
      <w:r w:rsidR="007B7640" w:rsidRPr="00CD59CC">
        <w:rPr>
          <w:rFonts w:ascii="Arial" w:hAnsi="Arial" w:cs="Arial"/>
        </w:rPr>
        <w:t xml:space="preserve"> </w:t>
      </w:r>
      <w:r w:rsidR="008F6667" w:rsidRPr="00CD59CC">
        <w:rPr>
          <w:rFonts w:ascii="Arial" w:hAnsi="Arial" w:cs="Arial"/>
        </w:rPr>
        <w:t>for</w:t>
      </w:r>
      <w:r w:rsidR="007B7640" w:rsidRPr="00CD59CC">
        <w:rPr>
          <w:rFonts w:ascii="Arial" w:hAnsi="Arial" w:cs="Arial"/>
        </w:rPr>
        <w:t xml:space="preserve"> </w:t>
      </w:r>
      <w:r w:rsidR="008F6667" w:rsidRPr="00CD59CC">
        <w:rPr>
          <w:rFonts w:ascii="Arial" w:hAnsi="Arial" w:cs="Arial"/>
        </w:rPr>
        <w:t>the</w:t>
      </w:r>
      <w:r w:rsidR="007B7640" w:rsidRPr="00CD59CC">
        <w:rPr>
          <w:rFonts w:ascii="Arial" w:hAnsi="Arial" w:cs="Arial"/>
        </w:rPr>
        <w:t xml:space="preserve"> </w:t>
      </w:r>
      <w:r w:rsidR="0021738F" w:rsidRPr="00CD59CC">
        <w:rPr>
          <w:rFonts w:ascii="Arial" w:hAnsi="Arial" w:cs="Arial"/>
        </w:rPr>
        <w:t>old</w:t>
      </w:r>
      <w:r w:rsidR="007B7640" w:rsidRPr="00CD59CC">
        <w:rPr>
          <w:rFonts w:ascii="Arial" w:hAnsi="Arial" w:cs="Arial"/>
        </w:rPr>
        <w:t xml:space="preserve"> </w:t>
      </w:r>
      <w:r w:rsidR="008F6667" w:rsidRPr="00CD59CC">
        <w:rPr>
          <w:rFonts w:ascii="Arial" w:hAnsi="Arial" w:cs="Arial"/>
        </w:rPr>
        <w:t>bus</w:t>
      </w:r>
      <w:r w:rsidR="007B7640" w:rsidRPr="00CD59CC">
        <w:rPr>
          <w:rFonts w:ascii="Arial" w:hAnsi="Arial" w:cs="Arial"/>
        </w:rPr>
        <w:t xml:space="preserve"> </w:t>
      </w:r>
      <w:r w:rsidR="008F6667" w:rsidRPr="00CD59CC">
        <w:rPr>
          <w:rFonts w:ascii="Arial" w:hAnsi="Arial" w:cs="Arial"/>
        </w:rPr>
        <w:t>terminal’s</w:t>
      </w:r>
      <w:r w:rsidR="007B7640" w:rsidRPr="00CD59CC">
        <w:rPr>
          <w:rFonts w:ascii="Arial" w:hAnsi="Arial" w:cs="Arial"/>
        </w:rPr>
        <w:t xml:space="preserve"> </w:t>
      </w:r>
      <w:r w:rsidR="008F6667" w:rsidRPr="00CD59CC">
        <w:rPr>
          <w:rFonts w:ascii="Arial" w:hAnsi="Arial" w:cs="Arial"/>
        </w:rPr>
        <w:t>reconstruction</w:t>
      </w:r>
      <w:r w:rsidR="007B7640" w:rsidRPr="00CD59CC">
        <w:rPr>
          <w:rFonts w:ascii="Arial" w:hAnsi="Arial" w:cs="Arial"/>
        </w:rPr>
        <w:t xml:space="preserve"> </w:t>
      </w:r>
      <w:r w:rsidR="008F6667" w:rsidRPr="00CD59CC">
        <w:rPr>
          <w:rFonts w:ascii="Arial" w:hAnsi="Arial" w:cs="Arial"/>
        </w:rPr>
        <w:t>was</w:t>
      </w:r>
      <w:r w:rsidR="007B7640" w:rsidRPr="00CD59CC">
        <w:rPr>
          <w:rFonts w:ascii="Arial" w:hAnsi="Arial" w:cs="Arial"/>
        </w:rPr>
        <w:t xml:space="preserve"> </w:t>
      </w:r>
      <w:r w:rsidR="008F6667" w:rsidRPr="00CD59CC">
        <w:rPr>
          <w:rFonts w:ascii="Arial" w:hAnsi="Arial" w:cs="Arial"/>
        </w:rPr>
        <w:t>issued</w:t>
      </w:r>
      <w:r w:rsidR="007B7640" w:rsidRPr="00CD59CC">
        <w:rPr>
          <w:rFonts w:ascii="Arial" w:hAnsi="Arial" w:cs="Arial"/>
        </w:rPr>
        <w:t xml:space="preserve"> </w:t>
      </w:r>
      <w:r w:rsidR="008F6667" w:rsidRPr="00CD59CC">
        <w:rPr>
          <w:rFonts w:ascii="Arial" w:hAnsi="Arial" w:cs="Arial"/>
        </w:rPr>
        <w:t>in</w:t>
      </w:r>
      <w:r w:rsidR="007B7640" w:rsidRPr="00CD59CC">
        <w:rPr>
          <w:rFonts w:ascii="Arial" w:hAnsi="Arial" w:cs="Arial"/>
        </w:rPr>
        <w:t xml:space="preserve"> </w:t>
      </w:r>
      <w:r w:rsidR="008F6667" w:rsidRPr="00CD59CC">
        <w:rPr>
          <w:rFonts w:ascii="Arial" w:hAnsi="Arial" w:cs="Arial"/>
        </w:rPr>
        <w:t>March</w:t>
      </w:r>
      <w:r w:rsidR="007B7640" w:rsidRPr="00CD59CC">
        <w:rPr>
          <w:rFonts w:ascii="Arial" w:hAnsi="Arial" w:cs="Arial"/>
        </w:rPr>
        <w:t xml:space="preserve"> </w:t>
      </w:r>
      <w:r w:rsidR="008F6667" w:rsidRPr="00CD59CC">
        <w:rPr>
          <w:rFonts w:ascii="Arial" w:hAnsi="Arial" w:cs="Arial"/>
        </w:rPr>
        <w:t>1999</w:t>
      </w:r>
      <w:r w:rsidR="007B7640" w:rsidRPr="00CD59CC">
        <w:rPr>
          <w:rFonts w:ascii="Arial" w:hAnsi="Arial" w:cs="Arial"/>
        </w:rPr>
        <w:t xml:space="preserve"> </w:t>
      </w:r>
      <w:r w:rsidR="008F6667" w:rsidRPr="00CD59CC">
        <w:rPr>
          <w:rFonts w:ascii="Arial" w:hAnsi="Arial" w:cs="Arial"/>
        </w:rPr>
        <w:t>(i.e.</w:t>
      </w:r>
      <w:r w:rsidR="007B7640" w:rsidRPr="00CD59CC">
        <w:rPr>
          <w:rFonts w:ascii="Arial" w:hAnsi="Arial" w:cs="Arial"/>
        </w:rPr>
        <w:t xml:space="preserve"> </w:t>
      </w:r>
      <w:r w:rsidR="008F6667" w:rsidRPr="00CD59CC">
        <w:rPr>
          <w:rFonts w:ascii="Arial" w:hAnsi="Arial" w:cs="Arial"/>
        </w:rPr>
        <w:t>after</w:t>
      </w:r>
      <w:r w:rsidR="007B7640" w:rsidRPr="00CD59CC">
        <w:rPr>
          <w:rFonts w:ascii="Arial" w:hAnsi="Arial" w:cs="Arial"/>
        </w:rPr>
        <w:t xml:space="preserve"> </w:t>
      </w:r>
      <w:r w:rsidR="008F6667" w:rsidRPr="00CD59CC">
        <w:rPr>
          <w:rFonts w:ascii="Arial" w:hAnsi="Arial" w:cs="Arial"/>
        </w:rPr>
        <w:t>the</w:t>
      </w:r>
      <w:r w:rsidR="007B7640" w:rsidRPr="00CD59CC">
        <w:rPr>
          <w:rFonts w:ascii="Arial" w:hAnsi="Arial" w:cs="Arial"/>
        </w:rPr>
        <w:t xml:space="preserve"> </w:t>
      </w:r>
      <w:r w:rsidR="008F6667" w:rsidRPr="00CD59CC">
        <w:rPr>
          <w:rFonts w:ascii="Arial" w:hAnsi="Arial" w:cs="Arial"/>
        </w:rPr>
        <w:t>coming</w:t>
      </w:r>
      <w:r w:rsidR="007B7640" w:rsidRPr="00CD59CC">
        <w:rPr>
          <w:rFonts w:ascii="Arial" w:hAnsi="Arial" w:cs="Arial"/>
        </w:rPr>
        <w:t xml:space="preserve"> </w:t>
      </w:r>
      <w:r w:rsidR="008F6667" w:rsidRPr="00CD59CC">
        <w:rPr>
          <w:rFonts w:ascii="Arial" w:hAnsi="Arial" w:cs="Arial"/>
        </w:rPr>
        <w:t>into</w:t>
      </w:r>
      <w:r w:rsidR="007B7640" w:rsidRPr="00CD59CC">
        <w:rPr>
          <w:rFonts w:ascii="Arial" w:hAnsi="Arial" w:cs="Arial"/>
        </w:rPr>
        <w:t xml:space="preserve"> </w:t>
      </w:r>
      <w:r w:rsidR="008F6667" w:rsidRPr="00CD59CC">
        <w:rPr>
          <w:rFonts w:ascii="Arial" w:hAnsi="Arial" w:cs="Arial"/>
        </w:rPr>
        <w:t>force</w:t>
      </w:r>
      <w:r w:rsidR="007B7640" w:rsidRPr="00CD59CC">
        <w:rPr>
          <w:rFonts w:ascii="Arial" w:hAnsi="Arial" w:cs="Arial"/>
        </w:rPr>
        <w:t xml:space="preserve"> </w:t>
      </w:r>
      <w:r w:rsidR="008F6667" w:rsidRPr="00CD59CC">
        <w:rPr>
          <w:rFonts w:ascii="Arial" w:hAnsi="Arial" w:cs="Arial"/>
        </w:rPr>
        <w:t>of</w:t>
      </w:r>
      <w:r w:rsidR="007B7640" w:rsidRPr="00CD59CC">
        <w:rPr>
          <w:rFonts w:ascii="Arial" w:hAnsi="Arial" w:cs="Arial"/>
        </w:rPr>
        <w:t xml:space="preserve"> </w:t>
      </w:r>
      <w:r w:rsidR="008F6667" w:rsidRPr="00CD59CC">
        <w:rPr>
          <w:rFonts w:ascii="Arial" w:hAnsi="Arial" w:cs="Arial"/>
        </w:rPr>
        <w:t>the</w:t>
      </w:r>
      <w:r w:rsidR="007B7640" w:rsidRPr="00CD59CC">
        <w:rPr>
          <w:rFonts w:ascii="Arial" w:hAnsi="Arial" w:cs="Arial"/>
        </w:rPr>
        <w:t xml:space="preserve"> </w:t>
      </w:r>
      <w:r w:rsidR="008F6667" w:rsidRPr="00CD59CC">
        <w:rPr>
          <w:rFonts w:ascii="Arial" w:hAnsi="Arial" w:cs="Arial"/>
        </w:rPr>
        <w:t>Act</w:t>
      </w:r>
      <w:r w:rsidR="007B7640" w:rsidRPr="00CD59CC">
        <w:rPr>
          <w:rFonts w:ascii="Arial" w:hAnsi="Arial" w:cs="Arial"/>
        </w:rPr>
        <w:t xml:space="preserve"> </w:t>
      </w:r>
      <w:r w:rsidR="008F6667" w:rsidRPr="00CD59CC">
        <w:rPr>
          <w:rFonts w:ascii="Arial" w:hAnsi="Arial" w:cs="Arial"/>
        </w:rPr>
        <w:t>on</w:t>
      </w:r>
      <w:r w:rsidR="007B7640" w:rsidRPr="00CD59CC">
        <w:rPr>
          <w:rFonts w:ascii="Arial" w:hAnsi="Arial" w:cs="Arial"/>
        </w:rPr>
        <w:t xml:space="preserve"> </w:t>
      </w:r>
      <w:r w:rsidR="008F6667" w:rsidRPr="00CD59CC">
        <w:rPr>
          <w:rFonts w:ascii="Arial" w:hAnsi="Arial" w:cs="Arial"/>
        </w:rPr>
        <w:t>Building</w:t>
      </w:r>
      <w:r w:rsidR="007B7640" w:rsidRPr="00CD59CC">
        <w:rPr>
          <w:rFonts w:ascii="Arial" w:hAnsi="Arial" w:cs="Arial"/>
        </w:rPr>
        <w:t xml:space="preserve"> </w:t>
      </w:r>
      <w:r w:rsidR="008F6667" w:rsidRPr="00CD59CC">
        <w:rPr>
          <w:rFonts w:ascii="Arial" w:hAnsi="Arial" w:cs="Arial"/>
        </w:rPr>
        <w:t>Matters,</w:t>
      </w:r>
      <w:r w:rsidR="007B7640" w:rsidRPr="00CD59CC">
        <w:rPr>
          <w:rFonts w:ascii="Arial" w:hAnsi="Arial" w:cs="Arial"/>
        </w:rPr>
        <w:t xml:space="preserve"> </w:t>
      </w:r>
      <w:r w:rsidR="008F6667" w:rsidRPr="00CD59CC">
        <w:rPr>
          <w:rFonts w:ascii="Arial" w:hAnsi="Arial" w:cs="Arial"/>
        </w:rPr>
        <w:t>see</w:t>
      </w:r>
      <w:r w:rsidR="007B7640" w:rsidRPr="00CD59CC">
        <w:rPr>
          <w:rFonts w:ascii="Arial" w:hAnsi="Arial" w:cs="Arial"/>
        </w:rPr>
        <w:t xml:space="preserve"> </w:t>
      </w:r>
      <w:r w:rsidR="008F6667" w:rsidRPr="00CD59CC">
        <w:rPr>
          <w:rFonts w:ascii="Arial" w:hAnsi="Arial" w:cs="Arial"/>
        </w:rPr>
        <w:t>above)</w:t>
      </w:r>
      <w:r w:rsidR="007B7640" w:rsidRPr="00CD59CC">
        <w:rPr>
          <w:rFonts w:ascii="Arial" w:hAnsi="Arial" w:cs="Arial"/>
        </w:rPr>
        <w:t xml:space="preserve"> </w:t>
      </w:r>
      <w:r w:rsidR="008F6667" w:rsidRPr="00CD59CC">
        <w:rPr>
          <w:rFonts w:ascii="Arial" w:hAnsi="Arial" w:cs="Arial"/>
        </w:rPr>
        <w:t>and</w:t>
      </w:r>
      <w:r w:rsidR="007B7640" w:rsidRPr="00CD59CC">
        <w:rPr>
          <w:rFonts w:ascii="Arial" w:hAnsi="Arial" w:cs="Arial"/>
        </w:rPr>
        <w:t xml:space="preserve"> </w:t>
      </w:r>
      <w:r w:rsidR="008F6667" w:rsidRPr="00CD59CC">
        <w:rPr>
          <w:rFonts w:ascii="Arial" w:hAnsi="Arial" w:cs="Arial"/>
        </w:rPr>
        <w:t>the</w:t>
      </w:r>
      <w:r w:rsidR="007B7640" w:rsidRPr="00CD59CC">
        <w:rPr>
          <w:rFonts w:ascii="Arial" w:hAnsi="Arial" w:cs="Arial"/>
        </w:rPr>
        <w:t xml:space="preserve"> </w:t>
      </w:r>
      <w:r w:rsidR="008F6667" w:rsidRPr="00CD59CC">
        <w:rPr>
          <w:rFonts w:ascii="Arial" w:hAnsi="Arial" w:cs="Arial"/>
        </w:rPr>
        <w:t>reconstruction</w:t>
      </w:r>
      <w:r w:rsidR="007B7640" w:rsidRPr="00CD59CC">
        <w:rPr>
          <w:rFonts w:ascii="Arial" w:hAnsi="Arial" w:cs="Arial"/>
        </w:rPr>
        <w:t xml:space="preserve"> </w:t>
      </w:r>
      <w:r w:rsidR="008F6667" w:rsidRPr="00CD59CC">
        <w:rPr>
          <w:rFonts w:ascii="Arial" w:hAnsi="Arial" w:cs="Arial"/>
        </w:rPr>
        <w:t>was</w:t>
      </w:r>
      <w:r w:rsidR="007B7640" w:rsidRPr="00CD59CC">
        <w:rPr>
          <w:rFonts w:ascii="Arial" w:hAnsi="Arial" w:cs="Arial"/>
        </w:rPr>
        <w:t xml:space="preserve"> </w:t>
      </w:r>
      <w:r w:rsidR="008F6667" w:rsidRPr="00CD59CC">
        <w:rPr>
          <w:rFonts w:ascii="Arial" w:hAnsi="Arial" w:cs="Arial"/>
        </w:rPr>
        <w:t>completed</w:t>
      </w:r>
      <w:r w:rsidR="007B7640" w:rsidRPr="00CD59CC">
        <w:rPr>
          <w:rFonts w:ascii="Arial" w:hAnsi="Arial" w:cs="Arial"/>
        </w:rPr>
        <w:t xml:space="preserve"> </w:t>
      </w:r>
      <w:r w:rsidR="008F6667" w:rsidRPr="00CD59CC">
        <w:rPr>
          <w:rFonts w:ascii="Arial" w:hAnsi="Arial" w:cs="Arial"/>
        </w:rPr>
        <w:t>in</w:t>
      </w:r>
      <w:r w:rsidR="007B7640" w:rsidRPr="00CD59CC">
        <w:rPr>
          <w:rFonts w:ascii="Arial" w:hAnsi="Arial" w:cs="Arial"/>
        </w:rPr>
        <w:t xml:space="preserve"> </w:t>
      </w:r>
      <w:r w:rsidR="008F6667" w:rsidRPr="00CD59CC">
        <w:rPr>
          <w:rFonts w:ascii="Arial" w:hAnsi="Arial" w:cs="Arial"/>
        </w:rPr>
        <w:t>March</w:t>
      </w:r>
      <w:r w:rsidR="007B7640" w:rsidRPr="00CD59CC">
        <w:rPr>
          <w:rFonts w:ascii="Arial" w:hAnsi="Arial" w:cs="Arial"/>
        </w:rPr>
        <w:t xml:space="preserve"> </w:t>
      </w:r>
      <w:r w:rsidR="008F6667" w:rsidRPr="00CD59CC">
        <w:rPr>
          <w:rFonts w:ascii="Arial" w:hAnsi="Arial" w:cs="Arial"/>
        </w:rPr>
        <w:t>2003</w:t>
      </w:r>
      <w:r w:rsidR="007B7640" w:rsidRPr="00CD59CC">
        <w:rPr>
          <w:rFonts w:ascii="Arial" w:hAnsi="Arial" w:cs="Arial"/>
        </w:rPr>
        <w:t xml:space="preserve"> </w:t>
      </w:r>
      <w:r w:rsidR="008F6667" w:rsidRPr="00CD59CC">
        <w:rPr>
          <w:rFonts w:ascii="Arial" w:hAnsi="Arial" w:cs="Arial"/>
        </w:rPr>
        <w:t>(i.e.</w:t>
      </w:r>
      <w:r w:rsidR="007B7640" w:rsidRPr="00CD59CC">
        <w:rPr>
          <w:rFonts w:ascii="Arial" w:hAnsi="Arial" w:cs="Arial"/>
        </w:rPr>
        <w:t xml:space="preserve"> </w:t>
      </w:r>
      <w:r w:rsidR="008F6667" w:rsidRPr="00CD59CC">
        <w:rPr>
          <w:rFonts w:ascii="Arial" w:hAnsi="Arial" w:cs="Arial"/>
        </w:rPr>
        <w:t>at</w:t>
      </w:r>
      <w:r w:rsidR="007B7640" w:rsidRPr="00CD59CC">
        <w:rPr>
          <w:rFonts w:ascii="Arial" w:hAnsi="Arial" w:cs="Arial"/>
        </w:rPr>
        <w:t xml:space="preserve"> </w:t>
      </w:r>
      <w:r w:rsidR="008F6667" w:rsidRPr="00CD59CC">
        <w:rPr>
          <w:rFonts w:ascii="Arial" w:hAnsi="Arial" w:cs="Arial"/>
        </w:rPr>
        <w:t>a</w:t>
      </w:r>
      <w:r w:rsidR="007B7640" w:rsidRPr="00CD59CC">
        <w:rPr>
          <w:rFonts w:ascii="Arial" w:hAnsi="Arial" w:cs="Arial"/>
        </w:rPr>
        <w:t xml:space="preserve"> </w:t>
      </w:r>
      <w:r w:rsidR="008F6667" w:rsidRPr="00CD59CC">
        <w:rPr>
          <w:rFonts w:ascii="Arial" w:hAnsi="Arial" w:cs="Arial"/>
        </w:rPr>
        <w:t>time</w:t>
      </w:r>
      <w:r w:rsidR="007B7640" w:rsidRPr="00CD59CC">
        <w:rPr>
          <w:rFonts w:ascii="Arial" w:hAnsi="Arial" w:cs="Arial"/>
        </w:rPr>
        <w:t xml:space="preserve"> </w:t>
      </w:r>
      <w:r w:rsidR="008F6667" w:rsidRPr="00CD59CC">
        <w:rPr>
          <w:rFonts w:ascii="Arial" w:hAnsi="Arial" w:cs="Arial"/>
        </w:rPr>
        <w:t>when</w:t>
      </w:r>
      <w:r w:rsidR="007B7640" w:rsidRPr="00CD59CC">
        <w:rPr>
          <w:rFonts w:ascii="Arial" w:hAnsi="Arial" w:cs="Arial"/>
        </w:rPr>
        <w:t xml:space="preserve"> </w:t>
      </w:r>
      <w:r w:rsidR="008F6667" w:rsidRPr="00CD59CC">
        <w:rPr>
          <w:rFonts w:ascii="Arial" w:hAnsi="Arial" w:cs="Arial"/>
        </w:rPr>
        <w:t>there</w:t>
      </w:r>
      <w:r w:rsidR="007B7640" w:rsidRPr="00CD59CC">
        <w:rPr>
          <w:rFonts w:ascii="Arial" w:hAnsi="Arial" w:cs="Arial"/>
        </w:rPr>
        <w:t xml:space="preserve"> </w:t>
      </w:r>
      <w:r w:rsidR="008F6667" w:rsidRPr="00CD59CC">
        <w:rPr>
          <w:rFonts w:ascii="Arial" w:hAnsi="Arial" w:cs="Arial"/>
        </w:rPr>
        <w:t>were</w:t>
      </w:r>
      <w:r w:rsidR="007B7640" w:rsidRPr="00CD59CC">
        <w:rPr>
          <w:rFonts w:ascii="Arial" w:hAnsi="Arial" w:cs="Arial"/>
        </w:rPr>
        <w:t xml:space="preserve"> </w:t>
      </w:r>
      <w:r w:rsidR="008F6667" w:rsidRPr="00CD59CC">
        <w:rPr>
          <w:rFonts w:ascii="Arial" w:hAnsi="Arial" w:cs="Arial"/>
        </w:rPr>
        <w:t>no</w:t>
      </w:r>
      <w:r w:rsidR="007B7640" w:rsidRPr="00CD59CC">
        <w:rPr>
          <w:rFonts w:ascii="Arial" w:hAnsi="Arial" w:cs="Arial"/>
        </w:rPr>
        <w:t xml:space="preserve"> </w:t>
      </w:r>
      <w:r w:rsidR="008F6667" w:rsidRPr="00CD59CC">
        <w:rPr>
          <w:rFonts w:ascii="Arial" w:hAnsi="Arial" w:cs="Arial"/>
        </w:rPr>
        <w:t>limitations</w:t>
      </w:r>
      <w:r w:rsidR="007B7640" w:rsidRPr="00CD59CC">
        <w:rPr>
          <w:rFonts w:ascii="Arial" w:hAnsi="Arial" w:cs="Arial"/>
        </w:rPr>
        <w:t xml:space="preserve"> </w:t>
      </w:r>
      <w:r w:rsidR="008F6667" w:rsidRPr="00CD59CC">
        <w:rPr>
          <w:rFonts w:ascii="Arial" w:hAnsi="Arial" w:cs="Arial"/>
        </w:rPr>
        <w:t>on</w:t>
      </w:r>
      <w:r w:rsidR="007B7640" w:rsidRPr="00CD59CC">
        <w:rPr>
          <w:rFonts w:ascii="Arial" w:hAnsi="Arial" w:cs="Arial"/>
        </w:rPr>
        <w:t xml:space="preserve"> </w:t>
      </w:r>
      <w:r w:rsidR="008F6667" w:rsidRPr="00CD59CC">
        <w:rPr>
          <w:rFonts w:ascii="Arial" w:hAnsi="Arial" w:cs="Arial"/>
        </w:rPr>
        <w:t>the</w:t>
      </w:r>
      <w:r w:rsidR="007B7640" w:rsidRPr="00CD59CC">
        <w:rPr>
          <w:rFonts w:ascii="Arial" w:hAnsi="Arial" w:cs="Arial"/>
        </w:rPr>
        <w:t xml:space="preserve"> </w:t>
      </w:r>
      <w:r w:rsidR="008F6667" w:rsidRPr="00CD59CC">
        <w:rPr>
          <w:rFonts w:ascii="Arial" w:hAnsi="Arial" w:cs="Arial"/>
        </w:rPr>
        <w:t>duty</w:t>
      </w:r>
      <w:r w:rsidR="007B7640" w:rsidRPr="00CD59CC">
        <w:rPr>
          <w:rFonts w:ascii="Arial" w:hAnsi="Arial" w:cs="Arial"/>
        </w:rPr>
        <w:t xml:space="preserve"> </w:t>
      </w:r>
      <w:r w:rsidR="008F6667" w:rsidRPr="00CD59CC">
        <w:rPr>
          <w:rFonts w:ascii="Arial" w:hAnsi="Arial" w:cs="Arial"/>
        </w:rPr>
        <w:t>to</w:t>
      </w:r>
      <w:r w:rsidR="007B7640" w:rsidRPr="00CD59CC">
        <w:rPr>
          <w:rFonts w:ascii="Arial" w:hAnsi="Arial" w:cs="Arial"/>
        </w:rPr>
        <w:t xml:space="preserve"> </w:t>
      </w:r>
      <w:r w:rsidR="008F6667" w:rsidRPr="00CD59CC">
        <w:rPr>
          <w:rFonts w:ascii="Arial" w:hAnsi="Arial" w:cs="Arial"/>
        </w:rPr>
        <w:t>provide</w:t>
      </w:r>
      <w:r w:rsidR="007B7640" w:rsidRPr="00CD59CC">
        <w:rPr>
          <w:rFonts w:ascii="Arial" w:hAnsi="Arial" w:cs="Arial"/>
        </w:rPr>
        <w:t xml:space="preserve"> </w:t>
      </w:r>
      <w:r w:rsidR="008F6667" w:rsidRPr="00CD59CC">
        <w:rPr>
          <w:rFonts w:ascii="Arial" w:hAnsi="Arial" w:cs="Arial"/>
        </w:rPr>
        <w:t>accessibility),</w:t>
      </w:r>
      <w:r w:rsidR="007B7640" w:rsidRPr="00CD59CC">
        <w:rPr>
          <w:rFonts w:ascii="Arial" w:hAnsi="Arial" w:cs="Arial"/>
        </w:rPr>
        <w:t xml:space="preserve"> </w:t>
      </w:r>
      <w:r w:rsidR="008F6667" w:rsidRPr="00CD59CC">
        <w:rPr>
          <w:rFonts w:ascii="Arial" w:hAnsi="Arial" w:cs="Arial"/>
        </w:rPr>
        <w:t>the</w:t>
      </w:r>
      <w:r w:rsidR="007B7640" w:rsidRPr="00CD59CC">
        <w:rPr>
          <w:rFonts w:ascii="Arial" w:hAnsi="Arial" w:cs="Arial"/>
        </w:rPr>
        <w:t xml:space="preserve"> </w:t>
      </w:r>
      <w:r w:rsidR="0021738F" w:rsidRPr="00CD59CC">
        <w:rPr>
          <w:rFonts w:ascii="Arial" w:hAnsi="Arial" w:cs="Arial"/>
        </w:rPr>
        <w:t>new</w:t>
      </w:r>
      <w:r w:rsidR="007B7640" w:rsidRPr="00CD59CC">
        <w:rPr>
          <w:rFonts w:ascii="Arial" w:hAnsi="Arial" w:cs="Arial"/>
        </w:rPr>
        <w:t xml:space="preserve"> </w:t>
      </w:r>
      <w:r w:rsidR="008F6667" w:rsidRPr="00CD59CC">
        <w:rPr>
          <w:rFonts w:ascii="Arial" w:hAnsi="Arial" w:cs="Arial"/>
        </w:rPr>
        <w:t>bus</w:t>
      </w:r>
      <w:r w:rsidR="007B7640" w:rsidRPr="00CD59CC">
        <w:rPr>
          <w:rFonts w:ascii="Arial" w:hAnsi="Arial" w:cs="Arial"/>
        </w:rPr>
        <w:t xml:space="preserve"> </w:t>
      </w:r>
      <w:r w:rsidR="008F6667" w:rsidRPr="00CD59CC">
        <w:rPr>
          <w:rFonts w:ascii="Arial" w:hAnsi="Arial" w:cs="Arial"/>
        </w:rPr>
        <w:t>terminal</w:t>
      </w:r>
      <w:r w:rsidR="007B7640" w:rsidRPr="00CD59CC">
        <w:rPr>
          <w:rFonts w:ascii="Arial" w:hAnsi="Arial" w:cs="Arial"/>
        </w:rPr>
        <w:t xml:space="preserve"> </w:t>
      </w:r>
      <w:r w:rsidR="008F6667" w:rsidRPr="00CD59CC">
        <w:rPr>
          <w:rFonts w:ascii="Arial" w:hAnsi="Arial" w:cs="Arial"/>
        </w:rPr>
        <w:t>was</w:t>
      </w:r>
      <w:r w:rsidR="007B7640" w:rsidRPr="00CD59CC">
        <w:rPr>
          <w:rFonts w:ascii="Arial" w:hAnsi="Arial" w:cs="Arial"/>
        </w:rPr>
        <w:t xml:space="preserve"> </w:t>
      </w:r>
      <w:r w:rsidR="008F6667" w:rsidRPr="00CD59CC">
        <w:rPr>
          <w:rFonts w:ascii="Arial" w:hAnsi="Arial" w:cs="Arial"/>
        </w:rPr>
        <w:t>designed</w:t>
      </w:r>
      <w:r w:rsidR="007B7640" w:rsidRPr="00CD59CC">
        <w:rPr>
          <w:rFonts w:ascii="Arial" w:hAnsi="Arial" w:cs="Arial"/>
        </w:rPr>
        <w:t xml:space="preserve"> </w:t>
      </w:r>
      <w:r w:rsidR="008F6667" w:rsidRPr="00CD59CC">
        <w:rPr>
          <w:rFonts w:ascii="Arial" w:hAnsi="Arial" w:cs="Arial"/>
        </w:rPr>
        <w:t>and</w:t>
      </w:r>
      <w:r w:rsidR="007B7640" w:rsidRPr="00CD59CC">
        <w:rPr>
          <w:rFonts w:ascii="Arial" w:hAnsi="Arial" w:cs="Arial"/>
        </w:rPr>
        <w:t xml:space="preserve"> </w:t>
      </w:r>
      <w:r w:rsidR="008F6667" w:rsidRPr="00CD59CC">
        <w:rPr>
          <w:rFonts w:ascii="Arial" w:hAnsi="Arial" w:cs="Arial"/>
        </w:rPr>
        <w:t>built</w:t>
      </w:r>
      <w:r w:rsidR="007B7640" w:rsidRPr="00CD59CC">
        <w:rPr>
          <w:rFonts w:ascii="Arial" w:hAnsi="Arial" w:cs="Arial"/>
        </w:rPr>
        <w:t xml:space="preserve"> </w:t>
      </w:r>
      <w:r w:rsidR="008F6667" w:rsidRPr="00CD59CC">
        <w:rPr>
          <w:rFonts w:ascii="Arial" w:hAnsi="Arial" w:cs="Arial"/>
        </w:rPr>
        <w:t>in</w:t>
      </w:r>
      <w:r w:rsidR="007B7640" w:rsidRPr="00CD59CC">
        <w:rPr>
          <w:rFonts w:ascii="Arial" w:hAnsi="Arial" w:cs="Arial"/>
        </w:rPr>
        <w:t xml:space="preserve"> </w:t>
      </w:r>
      <w:r w:rsidR="008F6667" w:rsidRPr="00CD59CC">
        <w:rPr>
          <w:rFonts w:ascii="Arial" w:hAnsi="Arial" w:cs="Arial"/>
        </w:rPr>
        <w:t>a</w:t>
      </w:r>
      <w:r w:rsidR="007B7640" w:rsidRPr="00CD59CC">
        <w:rPr>
          <w:rFonts w:ascii="Arial" w:hAnsi="Arial" w:cs="Arial"/>
        </w:rPr>
        <w:t xml:space="preserve"> </w:t>
      </w:r>
      <w:r w:rsidR="008F6667" w:rsidRPr="00CD59CC">
        <w:rPr>
          <w:rFonts w:ascii="Arial" w:hAnsi="Arial" w:cs="Arial"/>
        </w:rPr>
        <w:t>manner</w:t>
      </w:r>
      <w:r w:rsidR="007B7640" w:rsidRPr="00CD59CC">
        <w:rPr>
          <w:rFonts w:ascii="Arial" w:hAnsi="Arial" w:cs="Arial"/>
        </w:rPr>
        <w:t xml:space="preserve"> </w:t>
      </w:r>
      <w:r w:rsidR="008F6667" w:rsidRPr="00CD59CC">
        <w:rPr>
          <w:rFonts w:ascii="Arial" w:hAnsi="Arial" w:cs="Arial"/>
        </w:rPr>
        <w:t>that</w:t>
      </w:r>
      <w:r w:rsidR="007B7640" w:rsidRPr="00CD59CC">
        <w:rPr>
          <w:rFonts w:ascii="Arial" w:hAnsi="Arial" w:cs="Arial"/>
        </w:rPr>
        <w:t xml:space="preserve"> </w:t>
      </w:r>
      <w:r w:rsidR="00D72DEE" w:rsidRPr="00CD59CC">
        <w:rPr>
          <w:rFonts w:ascii="Arial" w:hAnsi="Arial" w:cs="Arial"/>
        </w:rPr>
        <w:t>while</w:t>
      </w:r>
      <w:r w:rsidR="007B7640" w:rsidRPr="00CD59CC">
        <w:rPr>
          <w:rFonts w:ascii="Arial" w:hAnsi="Arial" w:cs="Arial"/>
        </w:rPr>
        <w:t xml:space="preserve"> </w:t>
      </w:r>
      <w:r w:rsidR="008F6667" w:rsidRPr="00CD59CC">
        <w:rPr>
          <w:rFonts w:ascii="Arial" w:hAnsi="Arial" w:cs="Arial"/>
        </w:rPr>
        <w:t>it</w:t>
      </w:r>
      <w:r w:rsidR="007B7640" w:rsidRPr="00CD59CC">
        <w:rPr>
          <w:rFonts w:ascii="Arial" w:hAnsi="Arial" w:cs="Arial"/>
        </w:rPr>
        <w:t xml:space="preserve"> </w:t>
      </w:r>
      <w:r w:rsidR="008F6667" w:rsidRPr="00CD59CC">
        <w:rPr>
          <w:rFonts w:ascii="Arial" w:hAnsi="Arial" w:cs="Arial"/>
        </w:rPr>
        <w:t>was</w:t>
      </w:r>
      <w:r w:rsidR="007B7640" w:rsidRPr="00CD59CC">
        <w:rPr>
          <w:rFonts w:ascii="Arial" w:hAnsi="Arial" w:cs="Arial"/>
        </w:rPr>
        <w:t xml:space="preserve"> </w:t>
      </w:r>
      <w:r w:rsidR="008F6667" w:rsidRPr="00CD59CC">
        <w:rPr>
          <w:rFonts w:ascii="Arial" w:hAnsi="Arial" w:cs="Arial"/>
        </w:rPr>
        <w:t>accessible</w:t>
      </w:r>
      <w:r w:rsidR="007B7640" w:rsidRPr="00CD59CC">
        <w:rPr>
          <w:rFonts w:ascii="Arial" w:hAnsi="Arial" w:cs="Arial"/>
        </w:rPr>
        <w:t xml:space="preserve"> </w:t>
      </w:r>
      <w:r w:rsidR="008F6667" w:rsidRPr="00CD59CC">
        <w:rPr>
          <w:rFonts w:ascii="Arial" w:hAnsi="Arial" w:cs="Arial"/>
        </w:rPr>
        <w:t>for</w:t>
      </w:r>
      <w:r w:rsidR="007B7640" w:rsidRPr="00CD59CC">
        <w:rPr>
          <w:rFonts w:ascii="Arial" w:hAnsi="Arial" w:cs="Arial"/>
        </w:rPr>
        <w:t xml:space="preserve"> </w:t>
      </w:r>
      <w:r w:rsidR="008F6667" w:rsidRPr="00CD59CC">
        <w:rPr>
          <w:rFonts w:ascii="Arial" w:hAnsi="Arial" w:cs="Arial"/>
        </w:rPr>
        <w:t>wheelchair</w:t>
      </w:r>
      <w:r w:rsidR="007B7640" w:rsidRPr="00CD59CC">
        <w:rPr>
          <w:rFonts w:ascii="Arial" w:hAnsi="Arial" w:cs="Arial"/>
        </w:rPr>
        <w:t xml:space="preserve"> </w:t>
      </w:r>
      <w:r w:rsidR="008F6667" w:rsidRPr="00CD59CC">
        <w:rPr>
          <w:rFonts w:ascii="Arial" w:hAnsi="Arial" w:cs="Arial"/>
        </w:rPr>
        <w:t>users,</w:t>
      </w:r>
      <w:r w:rsidR="007B7640" w:rsidRPr="00CD59CC">
        <w:rPr>
          <w:rFonts w:ascii="Arial" w:hAnsi="Arial" w:cs="Arial"/>
        </w:rPr>
        <w:t xml:space="preserve"> </w:t>
      </w:r>
      <w:r w:rsidR="008F6667" w:rsidRPr="00CD59CC">
        <w:rPr>
          <w:rFonts w:ascii="Arial" w:hAnsi="Arial" w:cs="Arial"/>
        </w:rPr>
        <w:t>persons</w:t>
      </w:r>
      <w:r w:rsidR="007B7640" w:rsidRPr="00CD59CC">
        <w:rPr>
          <w:rFonts w:ascii="Arial" w:hAnsi="Arial" w:cs="Arial"/>
        </w:rPr>
        <w:t xml:space="preserve"> </w:t>
      </w:r>
      <w:r w:rsidR="008F6667" w:rsidRPr="00CD59CC">
        <w:rPr>
          <w:rFonts w:ascii="Arial" w:hAnsi="Arial" w:cs="Arial"/>
        </w:rPr>
        <w:t>with</w:t>
      </w:r>
      <w:r w:rsidR="007B7640" w:rsidRPr="00CD59CC">
        <w:rPr>
          <w:rFonts w:ascii="Arial" w:hAnsi="Arial" w:cs="Arial"/>
        </w:rPr>
        <w:t xml:space="preserve"> </w:t>
      </w:r>
      <w:r w:rsidR="008F6667" w:rsidRPr="00CD59CC">
        <w:rPr>
          <w:rFonts w:ascii="Arial" w:hAnsi="Arial" w:cs="Arial"/>
        </w:rPr>
        <w:t>visual</w:t>
      </w:r>
      <w:r w:rsidR="007B7640" w:rsidRPr="00CD59CC">
        <w:rPr>
          <w:rFonts w:ascii="Arial" w:hAnsi="Arial" w:cs="Arial"/>
        </w:rPr>
        <w:t xml:space="preserve"> </w:t>
      </w:r>
      <w:r w:rsidR="008F6667" w:rsidRPr="00CD59CC">
        <w:rPr>
          <w:rFonts w:ascii="Arial" w:hAnsi="Arial" w:cs="Arial"/>
        </w:rPr>
        <w:t>impairments</w:t>
      </w:r>
      <w:r w:rsidR="007B7640" w:rsidRPr="00CD59CC">
        <w:rPr>
          <w:rFonts w:ascii="Arial" w:hAnsi="Arial" w:cs="Arial"/>
        </w:rPr>
        <w:t xml:space="preserve"> </w:t>
      </w:r>
      <w:r w:rsidR="00D72DEE" w:rsidRPr="00CD59CC">
        <w:rPr>
          <w:rFonts w:ascii="Arial" w:hAnsi="Arial" w:cs="Arial"/>
        </w:rPr>
        <w:t>could</w:t>
      </w:r>
      <w:r w:rsidR="007B7640" w:rsidRPr="00CD59CC">
        <w:rPr>
          <w:rFonts w:ascii="Arial" w:hAnsi="Arial" w:cs="Arial"/>
        </w:rPr>
        <w:t xml:space="preserve"> </w:t>
      </w:r>
      <w:r w:rsidR="00D72DEE" w:rsidRPr="00CD59CC">
        <w:rPr>
          <w:rFonts w:ascii="Arial" w:hAnsi="Arial" w:cs="Arial"/>
        </w:rPr>
        <w:t>not</w:t>
      </w:r>
      <w:r w:rsidR="007B7640" w:rsidRPr="00CD59CC">
        <w:rPr>
          <w:rFonts w:ascii="Arial" w:hAnsi="Arial" w:cs="Arial"/>
        </w:rPr>
        <w:t xml:space="preserve"> </w:t>
      </w:r>
      <w:r w:rsidR="00D72DEE" w:rsidRPr="00CD59CC">
        <w:rPr>
          <w:rFonts w:ascii="Arial" w:hAnsi="Arial" w:cs="Arial"/>
        </w:rPr>
        <w:t>use</w:t>
      </w:r>
      <w:r w:rsidR="007B7640" w:rsidRPr="00CD59CC">
        <w:rPr>
          <w:rFonts w:ascii="Arial" w:hAnsi="Arial" w:cs="Arial"/>
        </w:rPr>
        <w:t xml:space="preserve"> </w:t>
      </w:r>
      <w:r w:rsidR="00D72DEE" w:rsidRPr="00CD59CC">
        <w:rPr>
          <w:rFonts w:ascii="Arial" w:hAnsi="Arial" w:cs="Arial"/>
        </w:rPr>
        <w:t>it</w:t>
      </w:r>
      <w:r w:rsidR="007B7640" w:rsidRPr="00CD59CC">
        <w:rPr>
          <w:rFonts w:ascii="Arial" w:hAnsi="Arial" w:cs="Arial"/>
        </w:rPr>
        <w:t xml:space="preserve"> </w:t>
      </w:r>
      <w:r w:rsidR="00D72DEE" w:rsidRPr="00CD59CC">
        <w:rPr>
          <w:rFonts w:ascii="Arial" w:hAnsi="Arial" w:cs="Arial"/>
        </w:rPr>
        <w:t>without</w:t>
      </w:r>
      <w:r w:rsidR="007B7640" w:rsidRPr="00CD59CC">
        <w:rPr>
          <w:rFonts w:ascii="Arial" w:hAnsi="Arial" w:cs="Arial"/>
        </w:rPr>
        <w:t xml:space="preserve"> </w:t>
      </w:r>
      <w:r w:rsidR="00D72DEE" w:rsidRPr="00CD59CC">
        <w:rPr>
          <w:rFonts w:ascii="Arial" w:hAnsi="Arial" w:cs="Arial"/>
        </w:rPr>
        <w:t>assistance</w:t>
      </w:r>
      <w:r w:rsidR="007B7640" w:rsidRPr="00CD59CC">
        <w:rPr>
          <w:rFonts w:ascii="Arial" w:hAnsi="Arial" w:cs="Arial"/>
        </w:rPr>
        <w:t xml:space="preserve"> </w:t>
      </w:r>
      <w:r w:rsidR="008F6667" w:rsidRPr="00CD59CC">
        <w:rPr>
          <w:rFonts w:ascii="Arial" w:hAnsi="Arial" w:cs="Arial"/>
        </w:rPr>
        <w:t>(</w:t>
      </w:r>
      <w:r w:rsidR="00D72DEE" w:rsidRPr="00CD59CC">
        <w:rPr>
          <w:rFonts w:ascii="Arial" w:hAnsi="Arial" w:cs="Arial"/>
        </w:rPr>
        <w:t>the</w:t>
      </w:r>
      <w:r w:rsidR="007B7640" w:rsidRPr="00CD59CC">
        <w:rPr>
          <w:rFonts w:ascii="Arial" w:hAnsi="Arial" w:cs="Arial"/>
        </w:rPr>
        <w:t xml:space="preserve"> </w:t>
      </w:r>
      <w:r w:rsidR="00D72DEE" w:rsidRPr="00CD59CC">
        <w:rPr>
          <w:rFonts w:ascii="Arial" w:hAnsi="Arial" w:cs="Arial"/>
        </w:rPr>
        <w:t>fact</w:t>
      </w:r>
      <w:r w:rsidR="007B7640" w:rsidRPr="00CD59CC">
        <w:rPr>
          <w:rFonts w:ascii="Arial" w:hAnsi="Arial" w:cs="Arial"/>
        </w:rPr>
        <w:t xml:space="preserve"> </w:t>
      </w:r>
      <w:r w:rsidR="00D72DEE" w:rsidRPr="00CD59CC">
        <w:rPr>
          <w:rFonts w:ascii="Arial" w:hAnsi="Arial" w:cs="Arial"/>
        </w:rPr>
        <w:t>that</w:t>
      </w:r>
      <w:r w:rsidR="007B7640" w:rsidRPr="00CD59CC">
        <w:rPr>
          <w:rFonts w:ascii="Arial" w:hAnsi="Arial" w:cs="Arial"/>
        </w:rPr>
        <w:t xml:space="preserve"> </w:t>
      </w:r>
      <w:r w:rsidR="00D72DEE" w:rsidRPr="00CD59CC">
        <w:rPr>
          <w:rFonts w:ascii="Arial" w:hAnsi="Arial" w:cs="Arial"/>
        </w:rPr>
        <w:t>the</w:t>
      </w:r>
      <w:r w:rsidR="007B7640" w:rsidRPr="00CD59CC">
        <w:rPr>
          <w:rFonts w:ascii="Arial" w:hAnsi="Arial" w:cs="Arial"/>
        </w:rPr>
        <w:t xml:space="preserve"> </w:t>
      </w:r>
      <w:r w:rsidR="00D72DEE" w:rsidRPr="00CD59CC">
        <w:rPr>
          <w:rFonts w:ascii="Arial" w:hAnsi="Arial" w:cs="Arial"/>
        </w:rPr>
        <w:t>terminal</w:t>
      </w:r>
      <w:r w:rsidR="007B7640" w:rsidRPr="00CD59CC">
        <w:rPr>
          <w:rFonts w:ascii="Arial" w:hAnsi="Arial" w:cs="Arial"/>
        </w:rPr>
        <w:t xml:space="preserve"> </w:t>
      </w:r>
      <w:r w:rsidR="00D72DEE" w:rsidRPr="00CD59CC">
        <w:rPr>
          <w:rFonts w:ascii="Arial" w:hAnsi="Arial" w:cs="Arial"/>
        </w:rPr>
        <w:t>was</w:t>
      </w:r>
      <w:r w:rsidR="007B7640" w:rsidRPr="00CD59CC">
        <w:rPr>
          <w:rFonts w:ascii="Arial" w:hAnsi="Arial" w:cs="Arial"/>
        </w:rPr>
        <w:t xml:space="preserve"> </w:t>
      </w:r>
      <w:r w:rsidR="00D72DEE" w:rsidRPr="00CD59CC">
        <w:rPr>
          <w:rFonts w:ascii="Arial" w:hAnsi="Arial" w:cs="Arial"/>
        </w:rPr>
        <w:t>not</w:t>
      </w:r>
      <w:r w:rsidR="007B7640" w:rsidRPr="00CD59CC">
        <w:rPr>
          <w:rFonts w:ascii="Arial" w:hAnsi="Arial" w:cs="Arial"/>
        </w:rPr>
        <w:t xml:space="preserve"> </w:t>
      </w:r>
      <w:r w:rsidR="00D72DEE" w:rsidRPr="00CD59CC">
        <w:rPr>
          <w:rFonts w:ascii="Arial" w:hAnsi="Arial" w:cs="Arial"/>
        </w:rPr>
        <w:t>accessible</w:t>
      </w:r>
      <w:r w:rsidR="007B7640" w:rsidRPr="00CD59CC">
        <w:rPr>
          <w:rFonts w:ascii="Arial" w:hAnsi="Arial" w:cs="Arial"/>
        </w:rPr>
        <w:t xml:space="preserve"> </w:t>
      </w:r>
      <w:r w:rsidR="00D72DEE" w:rsidRPr="00CD59CC">
        <w:rPr>
          <w:rFonts w:ascii="Arial" w:hAnsi="Arial" w:cs="Arial"/>
        </w:rPr>
        <w:t>for</w:t>
      </w:r>
      <w:r w:rsidR="007B7640" w:rsidRPr="00CD59CC">
        <w:rPr>
          <w:rFonts w:ascii="Arial" w:hAnsi="Arial" w:cs="Arial"/>
        </w:rPr>
        <w:t xml:space="preserve"> </w:t>
      </w:r>
      <w:r w:rsidR="00D72DEE" w:rsidRPr="00CD59CC">
        <w:rPr>
          <w:rFonts w:ascii="Arial" w:hAnsi="Arial" w:cs="Arial"/>
        </w:rPr>
        <w:t>persons</w:t>
      </w:r>
      <w:r w:rsidR="007B7640" w:rsidRPr="00CD59CC">
        <w:rPr>
          <w:rFonts w:ascii="Arial" w:hAnsi="Arial" w:cs="Arial"/>
        </w:rPr>
        <w:t xml:space="preserve"> </w:t>
      </w:r>
      <w:r w:rsidR="00D72DEE" w:rsidRPr="00CD59CC">
        <w:rPr>
          <w:rFonts w:ascii="Arial" w:hAnsi="Arial" w:cs="Arial"/>
        </w:rPr>
        <w:t>with</w:t>
      </w:r>
      <w:r w:rsidR="007B7640" w:rsidRPr="00CD59CC">
        <w:rPr>
          <w:rFonts w:ascii="Arial" w:hAnsi="Arial" w:cs="Arial"/>
        </w:rPr>
        <w:t xml:space="preserve"> </w:t>
      </w:r>
      <w:r w:rsidR="00D72DEE" w:rsidRPr="00CD59CC">
        <w:rPr>
          <w:rFonts w:ascii="Arial" w:hAnsi="Arial" w:cs="Arial"/>
        </w:rPr>
        <w:t>visual</w:t>
      </w:r>
      <w:r w:rsidR="007B7640" w:rsidRPr="00CD59CC">
        <w:rPr>
          <w:rFonts w:ascii="Arial" w:hAnsi="Arial" w:cs="Arial"/>
        </w:rPr>
        <w:t xml:space="preserve"> </w:t>
      </w:r>
      <w:r w:rsidR="00D72DEE" w:rsidRPr="00CD59CC">
        <w:rPr>
          <w:rFonts w:ascii="Arial" w:hAnsi="Arial" w:cs="Arial"/>
        </w:rPr>
        <w:t>impairments</w:t>
      </w:r>
      <w:r w:rsidR="007B7640" w:rsidRPr="00CD59CC">
        <w:rPr>
          <w:rFonts w:ascii="Arial" w:hAnsi="Arial" w:cs="Arial"/>
        </w:rPr>
        <w:t xml:space="preserve"> </w:t>
      </w:r>
      <w:r w:rsidR="00D72DEE" w:rsidRPr="00CD59CC">
        <w:rPr>
          <w:rFonts w:ascii="Arial" w:hAnsi="Arial" w:cs="Arial"/>
        </w:rPr>
        <w:t>was</w:t>
      </w:r>
      <w:r w:rsidR="007B7640" w:rsidRPr="00CD59CC">
        <w:rPr>
          <w:rFonts w:ascii="Arial" w:hAnsi="Arial" w:cs="Arial"/>
        </w:rPr>
        <w:t xml:space="preserve"> </w:t>
      </w:r>
      <w:r w:rsidR="00D72DEE" w:rsidRPr="00CD59CC">
        <w:rPr>
          <w:rFonts w:ascii="Arial" w:hAnsi="Arial" w:cs="Arial"/>
        </w:rPr>
        <w:t>fully</w:t>
      </w:r>
      <w:r w:rsidR="007B7640" w:rsidRPr="00CD59CC">
        <w:rPr>
          <w:rFonts w:ascii="Arial" w:hAnsi="Arial" w:cs="Arial"/>
        </w:rPr>
        <w:t xml:space="preserve"> </w:t>
      </w:r>
      <w:r w:rsidR="00D72DEE" w:rsidRPr="00CD59CC">
        <w:rPr>
          <w:rFonts w:ascii="Arial" w:hAnsi="Arial" w:cs="Arial"/>
        </w:rPr>
        <w:t>confirmed</w:t>
      </w:r>
      <w:r w:rsidR="007B7640" w:rsidRPr="00CD59CC">
        <w:rPr>
          <w:rFonts w:ascii="Arial" w:hAnsi="Arial" w:cs="Arial"/>
        </w:rPr>
        <w:t xml:space="preserve"> </w:t>
      </w:r>
      <w:r w:rsidR="00D72DEE" w:rsidRPr="00CD59CC">
        <w:rPr>
          <w:rFonts w:ascii="Arial" w:hAnsi="Arial" w:cs="Arial"/>
        </w:rPr>
        <w:t>by</w:t>
      </w:r>
      <w:r w:rsidR="007B7640" w:rsidRPr="00CD59CC">
        <w:rPr>
          <w:rFonts w:ascii="Arial" w:hAnsi="Arial" w:cs="Arial"/>
        </w:rPr>
        <w:t xml:space="preserve"> </w:t>
      </w:r>
      <w:r w:rsidR="00D72DEE" w:rsidRPr="00CD59CC">
        <w:rPr>
          <w:rFonts w:ascii="Arial" w:hAnsi="Arial" w:cs="Arial"/>
        </w:rPr>
        <w:t>the</w:t>
      </w:r>
      <w:r w:rsidR="007B7640" w:rsidRPr="00CD59CC">
        <w:rPr>
          <w:rFonts w:ascii="Arial" w:hAnsi="Arial" w:cs="Arial"/>
        </w:rPr>
        <w:t xml:space="preserve"> </w:t>
      </w:r>
      <w:r w:rsidR="00D72DEE" w:rsidRPr="00CD59CC">
        <w:rPr>
          <w:rFonts w:ascii="Arial" w:hAnsi="Arial" w:cs="Arial"/>
        </w:rPr>
        <w:t>expert</w:t>
      </w:r>
      <w:r w:rsidR="007B7640" w:rsidRPr="00CD59CC">
        <w:rPr>
          <w:rFonts w:ascii="Arial" w:hAnsi="Arial" w:cs="Arial"/>
        </w:rPr>
        <w:t xml:space="preserve"> </w:t>
      </w:r>
      <w:r w:rsidR="008F6667" w:rsidRPr="00CD59CC">
        <w:rPr>
          <w:rFonts w:ascii="Arial" w:hAnsi="Arial" w:cs="Arial"/>
        </w:rPr>
        <w:t>appointed</w:t>
      </w:r>
      <w:r w:rsidR="007B7640" w:rsidRPr="00CD59CC">
        <w:rPr>
          <w:rFonts w:ascii="Arial" w:hAnsi="Arial" w:cs="Arial"/>
        </w:rPr>
        <w:t xml:space="preserve"> </w:t>
      </w:r>
      <w:r w:rsidR="008F6667" w:rsidRPr="00CD59CC">
        <w:rPr>
          <w:rFonts w:ascii="Arial" w:hAnsi="Arial" w:cs="Arial"/>
        </w:rPr>
        <w:t>in</w:t>
      </w:r>
      <w:r w:rsidR="007B7640" w:rsidRPr="00CD59CC">
        <w:rPr>
          <w:rFonts w:ascii="Arial" w:hAnsi="Arial" w:cs="Arial"/>
        </w:rPr>
        <w:t xml:space="preserve"> </w:t>
      </w:r>
      <w:r w:rsidR="008F6667" w:rsidRPr="00CD59CC">
        <w:rPr>
          <w:rFonts w:ascii="Arial" w:hAnsi="Arial" w:cs="Arial"/>
        </w:rPr>
        <w:t>the</w:t>
      </w:r>
      <w:r w:rsidR="007B7640" w:rsidRPr="00CD59CC">
        <w:rPr>
          <w:rFonts w:ascii="Arial" w:hAnsi="Arial" w:cs="Arial"/>
        </w:rPr>
        <w:t xml:space="preserve"> </w:t>
      </w:r>
      <w:r w:rsidR="008F6667" w:rsidRPr="00CD59CC">
        <w:rPr>
          <w:rFonts w:ascii="Arial" w:hAnsi="Arial" w:cs="Arial"/>
        </w:rPr>
        <w:t>court</w:t>
      </w:r>
      <w:r w:rsidR="007B7640" w:rsidRPr="00CD59CC">
        <w:rPr>
          <w:rFonts w:ascii="Arial" w:hAnsi="Arial" w:cs="Arial"/>
        </w:rPr>
        <w:t xml:space="preserve"> </w:t>
      </w:r>
      <w:r w:rsidR="008F6667" w:rsidRPr="00CD59CC">
        <w:rPr>
          <w:rFonts w:ascii="Arial" w:hAnsi="Arial" w:cs="Arial"/>
        </w:rPr>
        <w:t>procedure</w:t>
      </w:r>
      <w:r w:rsidR="008F6667" w:rsidRPr="006F0AF2">
        <w:rPr>
          <w:rFonts w:ascii="Arial" w:hAnsi="Arial"/>
        </w:rPr>
        <w:t>).</w:t>
      </w:r>
      <w:r w:rsidR="007B7640" w:rsidRPr="006F0AF2">
        <w:rPr>
          <w:rFonts w:ascii="Arial" w:hAnsi="Arial"/>
        </w:rPr>
        <w:t xml:space="preserve"> </w:t>
      </w:r>
    </w:p>
    <w:p w14:paraId="368E82AA" w14:textId="77777777" w:rsidR="00DA7984" w:rsidRPr="00E34CF1" w:rsidRDefault="00DA7984" w:rsidP="00BB4E9F">
      <w:pPr>
        <w:rPr>
          <w:rFonts w:ascii="Arial" w:hAnsi="Arial"/>
          <w:i/>
        </w:rPr>
      </w:pPr>
    </w:p>
    <w:p w14:paraId="616ABD26" w14:textId="2C0BDEF9" w:rsidR="00DA7984" w:rsidRDefault="00DA7984"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00A71F8C" w:rsidRPr="00CD59CC">
        <w:rPr>
          <w:rFonts w:ascii="Arial" w:hAnsi="Arial" w:cs="Arial"/>
        </w:rPr>
        <w:t>no.</w:t>
      </w:r>
      <w:r w:rsidR="007B7640" w:rsidRPr="00CD59CC">
        <w:rPr>
          <w:rFonts w:ascii="Arial" w:hAnsi="Arial" w:cs="Arial"/>
        </w:rPr>
        <w:t xml:space="preserve"> </w:t>
      </w:r>
      <w:r w:rsidR="00A71F8C" w:rsidRPr="00CD59CC">
        <w:rPr>
          <w:rFonts w:ascii="Arial" w:hAnsi="Arial" w:cs="Arial"/>
        </w:rPr>
        <w:t>Pfv.IV.20.104/2013/4</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Curia</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0021738F" w:rsidRPr="00CD59CC">
        <w:rPr>
          <w:rFonts w:ascii="Arial" w:hAnsi="Arial" w:cs="Arial"/>
        </w:rPr>
        <w:t>“there</w:t>
      </w:r>
      <w:r w:rsidR="007B7640" w:rsidRPr="00CD59CC">
        <w:rPr>
          <w:rFonts w:ascii="Arial" w:hAnsi="Arial" w:cs="Arial"/>
        </w:rPr>
        <w:t xml:space="preserve"> </w:t>
      </w:r>
      <w:r w:rsidR="0021738F" w:rsidRPr="00CD59CC">
        <w:rPr>
          <w:rFonts w:ascii="Arial" w:hAnsi="Arial" w:cs="Arial"/>
        </w:rPr>
        <w:t>is</w:t>
      </w:r>
      <w:r w:rsidR="007B7640" w:rsidRPr="00CD59CC">
        <w:rPr>
          <w:rFonts w:ascii="Arial" w:hAnsi="Arial" w:cs="Arial"/>
        </w:rPr>
        <w:t xml:space="preserve"> </w:t>
      </w:r>
      <w:r w:rsidR="0021738F" w:rsidRPr="00CD59CC">
        <w:rPr>
          <w:rFonts w:ascii="Arial" w:hAnsi="Arial" w:cs="Arial"/>
        </w:rPr>
        <w:t>no</w:t>
      </w:r>
      <w:r w:rsidR="007B7640" w:rsidRPr="00CD59CC">
        <w:rPr>
          <w:rFonts w:ascii="Arial" w:hAnsi="Arial" w:cs="Arial"/>
        </w:rPr>
        <w:t xml:space="preserve"> </w:t>
      </w:r>
      <w:r w:rsidR="0021738F" w:rsidRPr="00CD59CC">
        <w:rPr>
          <w:rFonts w:ascii="Arial" w:hAnsi="Arial" w:cs="Arial"/>
        </w:rPr>
        <w:t>statutory</w:t>
      </w:r>
      <w:r w:rsidR="007B7640" w:rsidRPr="00CD59CC">
        <w:rPr>
          <w:rFonts w:ascii="Arial" w:hAnsi="Arial" w:cs="Arial"/>
        </w:rPr>
        <w:t xml:space="preserve"> </w:t>
      </w:r>
      <w:r w:rsidR="00A71F8C" w:rsidRPr="00CD59CC">
        <w:rPr>
          <w:rFonts w:ascii="Arial" w:hAnsi="Arial" w:cs="Arial"/>
        </w:rPr>
        <w:t>provision</w:t>
      </w:r>
      <w:r w:rsidR="007B7640" w:rsidRPr="00CD59CC">
        <w:rPr>
          <w:rFonts w:ascii="Arial" w:hAnsi="Arial" w:cs="Arial"/>
        </w:rPr>
        <w:t xml:space="preserve"> </w:t>
      </w:r>
      <w:r w:rsidR="00A71F8C" w:rsidRPr="00CD59CC">
        <w:rPr>
          <w:rFonts w:ascii="Arial" w:hAnsi="Arial" w:cs="Arial"/>
        </w:rPr>
        <w:t>prescribing</w:t>
      </w:r>
      <w:r w:rsidR="007B7640" w:rsidRPr="00CD59CC">
        <w:rPr>
          <w:rFonts w:ascii="Arial" w:hAnsi="Arial" w:cs="Arial"/>
        </w:rPr>
        <w:t xml:space="preserve"> </w:t>
      </w:r>
      <w:r w:rsidR="00A71F8C" w:rsidRPr="00CD59CC">
        <w:rPr>
          <w:rFonts w:ascii="Arial" w:hAnsi="Arial" w:cs="Arial"/>
        </w:rPr>
        <w:t>that</w:t>
      </w:r>
      <w:r w:rsidR="007B7640" w:rsidRPr="00CD59CC">
        <w:rPr>
          <w:rFonts w:ascii="Arial" w:hAnsi="Arial" w:cs="Arial"/>
        </w:rPr>
        <w:t xml:space="preserve"> </w:t>
      </w:r>
      <w:r w:rsidR="00A71F8C" w:rsidRPr="00CD59CC">
        <w:rPr>
          <w:rFonts w:ascii="Arial" w:hAnsi="Arial" w:cs="Arial"/>
        </w:rPr>
        <w:t>discrimination</w:t>
      </w:r>
      <w:r w:rsidR="007B7640" w:rsidRPr="00CD59CC">
        <w:rPr>
          <w:rFonts w:ascii="Arial" w:hAnsi="Arial" w:cs="Arial"/>
        </w:rPr>
        <w:t xml:space="preserve"> </w:t>
      </w:r>
      <w:r w:rsidR="00A71F8C" w:rsidRPr="00CD59CC">
        <w:rPr>
          <w:rFonts w:ascii="Arial" w:hAnsi="Arial" w:cs="Arial"/>
        </w:rPr>
        <w:t>caused</w:t>
      </w:r>
      <w:r w:rsidR="007B7640" w:rsidRPr="00CD59CC">
        <w:rPr>
          <w:rFonts w:ascii="Arial" w:hAnsi="Arial" w:cs="Arial"/>
        </w:rPr>
        <w:t xml:space="preserve"> </w:t>
      </w:r>
      <w:r w:rsidR="00A71F8C" w:rsidRPr="00CD59CC">
        <w:rPr>
          <w:rFonts w:ascii="Arial" w:hAnsi="Arial" w:cs="Arial"/>
        </w:rPr>
        <w:t>by</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failure</w:t>
      </w:r>
      <w:r w:rsidR="007B7640" w:rsidRPr="00CD59CC">
        <w:rPr>
          <w:rFonts w:ascii="Arial" w:hAnsi="Arial" w:cs="Arial"/>
        </w:rPr>
        <w:t xml:space="preserve"> </w:t>
      </w:r>
      <w:r w:rsidR="00A71F8C" w:rsidRPr="00CD59CC">
        <w:rPr>
          <w:rFonts w:ascii="Arial" w:hAnsi="Arial" w:cs="Arial"/>
        </w:rPr>
        <w:t>to</w:t>
      </w:r>
      <w:r w:rsidR="007B7640" w:rsidRPr="00CD59CC">
        <w:rPr>
          <w:rFonts w:ascii="Arial" w:hAnsi="Arial" w:cs="Arial"/>
        </w:rPr>
        <w:t xml:space="preserve"> </w:t>
      </w:r>
      <w:r w:rsidR="00A71F8C" w:rsidRPr="00CD59CC">
        <w:rPr>
          <w:rFonts w:ascii="Arial" w:hAnsi="Arial" w:cs="Arial"/>
        </w:rPr>
        <w:t>guarantee</w:t>
      </w:r>
      <w:r w:rsidR="007B7640" w:rsidRPr="00CD59CC">
        <w:rPr>
          <w:rFonts w:ascii="Arial" w:hAnsi="Arial" w:cs="Arial"/>
        </w:rPr>
        <w:t xml:space="preserve"> </w:t>
      </w:r>
      <w:r w:rsidR="00A71F8C" w:rsidRPr="00CD59CC">
        <w:rPr>
          <w:rFonts w:ascii="Arial" w:hAnsi="Arial" w:cs="Arial"/>
        </w:rPr>
        <w:t>accessibility</w:t>
      </w:r>
      <w:r w:rsidR="007B7640" w:rsidRPr="00CD59CC">
        <w:rPr>
          <w:rFonts w:ascii="Arial" w:hAnsi="Arial" w:cs="Arial"/>
        </w:rPr>
        <w:t xml:space="preserve"> </w:t>
      </w:r>
      <w:r w:rsidR="00A71F8C" w:rsidRPr="00CD59CC">
        <w:rPr>
          <w:rFonts w:ascii="Arial" w:hAnsi="Arial" w:cs="Arial"/>
        </w:rPr>
        <w:t>may</w:t>
      </w:r>
      <w:r w:rsidR="007B7640" w:rsidRPr="00CD59CC">
        <w:rPr>
          <w:rFonts w:ascii="Arial" w:hAnsi="Arial" w:cs="Arial"/>
        </w:rPr>
        <w:t xml:space="preserve"> </w:t>
      </w:r>
      <w:r w:rsidR="00A71F8C" w:rsidRPr="00CD59CC">
        <w:rPr>
          <w:rFonts w:ascii="Arial" w:hAnsi="Arial" w:cs="Arial"/>
        </w:rPr>
        <w:t>not</w:t>
      </w:r>
      <w:r w:rsidR="007B7640" w:rsidRPr="00CD59CC">
        <w:rPr>
          <w:rFonts w:ascii="Arial" w:hAnsi="Arial" w:cs="Arial"/>
        </w:rPr>
        <w:t xml:space="preserve"> </w:t>
      </w:r>
      <w:r w:rsidR="00A71F8C" w:rsidRPr="00CD59CC">
        <w:rPr>
          <w:rFonts w:ascii="Arial" w:hAnsi="Arial" w:cs="Arial"/>
        </w:rPr>
        <w:t>be</w:t>
      </w:r>
      <w:r w:rsidR="007B7640" w:rsidRPr="00CD59CC">
        <w:rPr>
          <w:rFonts w:ascii="Arial" w:hAnsi="Arial" w:cs="Arial"/>
        </w:rPr>
        <w:t xml:space="preserve"> </w:t>
      </w:r>
      <w:r w:rsidR="00A71F8C" w:rsidRPr="00CD59CC">
        <w:rPr>
          <w:rFonts w:ascii="Arial" w:hAnsi="Arial" w:cs="Arial"/>
        </w:rPr>
        <w:t>exempted</w:t>
      </w:r>
      <w:r w:rsidR="007B7640" w:rsidRPr="00CD59CC">
        <w:rPr>
          <w:rFonts w:ascii="Arial" w:hAnsi="Arial" w:cs="Arial"/>
        </w:rPr>
        <w:t xml:space="preserve"> </w:t>
      </w:r>
      <w:r w:rsidR="00A71F8C" w:rsidRPr="00CD59CC">
        <w:rPr>
          <w:rFonts w:ascii="Arial" w:hAnsi="Arial" w:cs="Arial"/>
        </w:rPr>
        <w:t>under</w:t>
      </w:r>
      <w:r w:rsidR="007B7640" w:rsidRPr="00CD59CC">
        <w:rPr>
          <w:rFonts w:ascii="Arial" w:hAnsi="Arial" w:cs="Arial"/>
        </w:rPr>
        <w:t xml:space="preserve"> </w:t>
      </w:r>
      <w:r w:rsidR="00A71F8C" w:rsidRPr="00CD59CC">
        <w:rPr>
          <w:rFonts w:ascii="Arial" w:hAnsi="Arial" w:cs="Arial"/>
        </w:rPr>
        <w:t>any</w:t>
      </w:r>
      <w:r w:rsidR="007B7640" w:rsidRPr="00CD59CC">
        <w:rPr>
          <w:rFonts w:ascii="Arial" w:hAnsi="Arial" w:cs="Arial"/>
        </w:rPr>
        <w:t xml:space="preserve"> </w:t>
      </w:r>
      <w:r w:rsidR="00A71F8C" w:rsidRPr="00CD59CC">
        <w:rPr>
          <w:rFonts w:ascii="Arial" w:hAnsi="Arial" w:cs="Arial"/>
        </w:rPr>
        <w:t>circumstances”,</w:t>
      </w:r>
      <w:r w:rsidR="007B7640" w:rsidRPr="00CD59CC">
        <w:rPr>
          <w:rFonts w:ascii="Arial" w:hAnsi="Arial" w:cs="Arial"/>
        </w:rPr>
        <w:t xml:space="preserve"> </w:t>
      </w:r>
      <w:r w:rsidR="00A71F8C" w:rsidRPr="00CD59CC">
        <w:rPr>
          <w:rFonts w:ascii="Arial" w:hAnsi="Arial" w:cs="Arial"/>
        </w:rPr>
        <w:t>and</w:t>
      </w:r>
      <w:r w:rsidR="007B7640" w:rsidRPr="00CD59CC">
        <w:rPr>
          <w:rFonts w:ascii="Arial" w:hAnsi="Arial" w:cs="Arial"/>
        </w:rPr>
        <w:t xml:space="preserve"> </w:t>
      </w:r>
      <w:r w:rsidR="00A71F8C" w:rsidRPr="00CD59CC">
        <w:rPr>
          <w:rFonts w:ascii="Arial" w:hAnsi="Arial" w:cs="Arial"/>
        </w:rPr>
        <w:t>that</w:t>
      </w:r>
      <w:r w:rsidR="007B7640" w:rsidRPr="00CD59CC">
        <w:rPr>
          <w:rFonts w:ascii="Arial" w:hAnsi="Arial" w:cs="Arial"/>
        </w:rPr>
        <w:t xml:space="preserve"> </w:t>
      </w:r>
      <w:r w:rsidR="00D72DEE" w:rsidRPr="00CD59CC">
        <w:rPr>
          <w:rFonts w:ascii="Arial" w:hAnsi="Arial" w:cs="Arial"/>
        </w:rPr>
        <w:t>although</w:t>
      </w:r>
      <w:r w:rsidR="007B7640" w:rsidRPr="00CD59CC">
        <w:rPr>
          <w:rFonts w:ascii="Arial" w:hAnsi="Arial" w:cs="Arial"/>
        </w:rPr>
        <w:t xml:space="preserve"> </w:t>
      </w:r>
      <w:r w:rsidR="00D72DEE" w:rsidRPr="00CD59CC">
        <w:rPr>
          <w:rFonts w:ascii="Arial" w:hAnsi="Arial" w:cs="Arial"/>
        </w:rPr>
        <w:t>the</w:t>
      </w:r>
      <w:r w:rsidR="007B7640" w:rsidRPr="00CD59CC">
        <w:rPr>
          <w:rFonts w:ascii="Arial" w:hAnsi="Arial" w:cs="Arial"/>
        </w:rPr>
        <w:t xml:space="preserve"> </w:t>
      </w:r>
      <w:r w:rsidR="00D72DEE" w:rsidRPr="00CD59CC">
        <w:rPr>
          <w:rFonts w:ascii="Arial" w:hAnsi="Arial" w:cs="Arial"/>
        </w:rPr>
        <w:t>deadline</w:t>
      </w:r>
      <w:r w:rsidR="007B7640" w:rsidRPr="00CD59CC">
        <w:rPr>
          <w:rFonts w:ascii="Arial" w:hAnsi="Arial" w:cs="Arial"/>
        </w:rPr>
        <w:t xml:space="preserve"> </w:t>
      </w:r>
      <w:r w:rsidR="00D72DEE" w:rsidRPr="00CD59CC">
        <w:rPr>
          <w:rFonts w:ascii="Arial" w:hAnsi="Arial" w:cs="Arial"/>
        </w:rPr>
        <w:t>for</w:t>
      </w:r>
      <w:r w:rsidR="007B7640" w:rsidRPr="00CD59CC">
        <w:rPr>
          <w:rFonts w:ascii="Arial" w:hAnsi="Arial" w:cs="Arial"/>
        </w:rPr>
        <w:t xml:space="preserve"> </w:t>
      </w:r>
      <w:r w:rsidR="00D72DEE" w:rsidRPr="00CD59CC">
        <w:rPr>
          <w:rFonts w:ascii="Arial" w:hAnsi="Arial" w:cs="Arial"/>
        </w:rPr>
        <w:t>ensuring</w:t>
      </w:r>
      <w:r w:rsidR="007B7640" w:rsidRPr="00CD59CC">
        <w:rPr>
          <w:rFonts w:ascii="Arial" w:hAnsi="Arial" w:cs="Arial"/>
        </w:rPr>
        <w:t xml:space="preserve"> </w:t>
      </w:r>
      <w:r w:rsidR="00D72DEE" w:rsidRPr="00CD59CC">
        <w:rPr>
          <w:rFonts w:ascii="Arial" w:hAnsi="Arial" w:cs="Arial"/>
        </w:rPr>
        <w:t>accessibility</w:t>
      </w:r>
      <w:r w:rsidR="007B7640" w:rsidRPr="00CD59CC">
        <w:rPr>
          <w:rFonts w:ascii="Arial" w:hAnsi="Arial" w:cs="Arial"/>
        </w:rPr>
        <w:t xml:space="preserve"> </w:t>
      </w:r>
      <w:r w:rsidR="00D72DEE" w:rsidRPr="00CD59CC">
        <w:rPr>
          <w:rFonts w:ascii="Arial" w:hAnsi="Arial" w:cs="Arial"/>
        </w:rPr>
        <w:t>had</w:t>
      </w:r>
      <w:r w:rsidR="007B7640" w:rsidRPr="00CD59CC">
        <w:rPr>
          <w:rFonts w:ascii="Arial" w:hAnsi="Arial" w:cs="Arial"/>
        </w:rPr>
        <w:t xml:space="preserve"> </w:t>
      </w:r>
      <w:r w:rsidR="0021738F" w:rsidRPr="00CD59CC">
        <w:rPr>
          <w:rFonts w:ascii="Arial" w:hAnsi="Arial" w:cs="Arial"/>
        </w:rPr>
        <w:t>indeed</w:t>
      </w:r>
      <w:r w:rsidR="007B7640" w:rsidRPr="00CD59CC">
        <w:rPr>
          <w:rFonts w:ascii="Arial" w:hAnsi="Arial" w:cs="Arial"/>
        </w:rPr>
        <w:t xml:space="preserve"> </w:t>
      </w:r>
      <w:r w:rsidR="00D72DEE" w:rsidRPr="00CD59CC">
        <w:rPr>
          <w:rFonts w:ascii="Arial" w:hAnsi="Arial" w:cs="Arial"/>
        </w:rPr>
        <w:t>expired</w:t>
      </w:r>
      <w:r w:rsidR="007B7640" w:rsidRPr="00CD59CC">
        <w:rPr>
          <w:rFonts w:ascii="Arial" w:hAnsi="Arial" w:cs="Arial"/>
        </w:rPr>
        <w:t xml:space="preserve"> </w:t>
      </w:r>
      <w:r w:rsidR="00D72DEE" w:rsidRPr="00CD59CC">
        <w:rPr>
          <w:rFonts w:ascii="Arial" w:hAnsi="Arial" w:cs="Arial"/>
        </w:rPr>
        <w:t>on</w:t>
      </w:r>
      <w:r w:rsidR="007B7640" w:rsidRPr="00CD59CC">
        <w:rPr>
          <w:rFonts w:ascii="Arial" w:hAnsi="Arial" w:cs="Arial"/>
        </w:rPr>
        <w:t xml:space="preserve"> </w:t>
      </w:r>
      <w:r w:rsidR="00D72DEE" w:rsidRPr="00CD59CC">
        <w:rPr>
          <w:rFonts w:ascii="Arial" w:hAnsi="Arial" w:cs="Arial"/>
        </w:rPr>
        <w:t>1</w:t>
      </w:r>
      <w:r w:rsidR="007B7640" w:rsidRPr="00CD59CC">
        <w:rPr>
          <w:rFonts w:ascii="Arial" w:hAnsi="Arial" w:cs="Arial"/>
        </w:rPr>
        <w:t xml:space="preserve"> </w:t>
      </w:r>
      <w:r w:rsidR="00D72DEE" w:rsidRPr="00CD59CC">
        <w:rPr>
          <w:rFonts w:ascii="Arial" w:hAnsi="Arial" w:cs="Arial"/>
        </w:rPr>
        <w:t>January</w:t>
      </w:r>
      <w:r w:rsidR="007B7640" w:rsidRPr="00CD59CC">
        <w:rPr>
          <w:rFonts w:ascii="Arial" w:hAnsi="Arial" w:cs="Arial"/>
        </w:rPr>
        <w:t xml:space="preserve"> </w:t>
      </w:r>
      <w:r w:rsidR="00D72DEE" w:rsidRPr="00CD59CC">
        <w:rPr>
          <w:rFonts w:ascii="Arial" w:hAnsi="Arial" w:cs="Arial"/>
        </w:rPr>
        <w:t>2010</w:t>
      </w:r>
      <w:r w:rsidR="007B7640" w:rsidRPr="00CD59CC">
        <w:rPr>
          <w:rFonts w:ascii="Arial" w:hAnsi="Arial" w:cs="Arial"/>
        </w:rPr>
        <w:t xml:space="preserve"> </w:t>
      </w:r>
      <w:r w:rsidR="00D72DEE" w:rsidRPr="00CD59CC">
        <w:rPr>
          <w:rFonts w:ascii="Arial" w:hAnsi="Arial" w:cs="Arial"/>
        </w:rPr>
        <w:t>in</w:t>
      </w:r>
      <w:r w:rsidR="007B7640" w:rsidRPr="00CD59CC">
        <w:rPr>
          <w:rFonts w:ascii="Arial" w:hAnsi="Arial" w:cs="Arial"/>
        </w:rPr>
        <w:t xml:space="preserve"> </w:t>
      </w:r>
      <w:r w:rsidR="00D72DEE" w:rsidRPr="00CD59CC">
        <w:rPr>
          <w:rFonts w:ascii="Arial" w:hAnsi="Arial" w:cs="Arial"/>
        </w:rPr>
        <w:t>relation</w:t>
      </w:r>
      <w:r w:rsidR="007B7640" w:rsidRPr="00CD59CC">
        <w:rPr>
          <w:rFonts w:ascii="Arial" w:hAnsi="Arial" w:cs="Arial"/>
        </w:rPr>
        <w:t xml:space="preserve"> </w:t>
      </w:r>
      <w:r w:rsidR="00D72DEE" w:rsidRPr="00CD59CC">
        <w:rPr>
          <w:rFonts w:ascii="Arial" w:hAnsi="Arial" w:cs="Arial"/>
        </w:rPr>
        <w:t>to</w:t>
      </w:r>
      <w:r w:rsidR="007B7640" w:rsidRPr="00CD59CC">
        <w:rPr>
          <w:rFonts w:ascii="Arial" w:hAnsi="Arial" w:cs="Arial"/>
        </w:rPr>
        <w:t xml:space="preserve"> </w:t>
      </w:r>
      <w:r w:rsidR="00D72DEE" w:rsidRPr="00CD59CC">
        <w:rPr>
          <w:rFonts w:ascii="Arial" w:hAnsi="Arial" w:cs="Arial"/>
        </w:rPr>
        <w:t>the</w:t>
      </w:r>
      <w:r w:rsidR="007B7640" w:rsidRPr="00CD59CC">
        <w:rPr>
          <w:rFonts w:ascii="Arial" w:hAnsi="Arial" w:cs="Arial"/>
        </w:rPr>
        <w:t xml:space="preserve"> </w:t>
      </w:r>
      <w:r w:rsidR="00D72DEE" w:rsidRPr="00CD59CC">
        <w:rPr>
          <w:rFonts w:ascii="Arial" w:hAnsi="Arial" w:cs="Arial"/>
        </w:rPr>
        <w:t>bus</w:t>
      </w:r>
      <w:r w:rsidR="007B7640" w:rsidRPr="00CD59CC">
        <w:rPr>
          <w:rFonts w:ascii="Arial" w:hAnsi="Arial" w:cs="Arial"/>
        </w:rPr>
        <w:t xml:space="preserve"> </w:t>
      </w:r>
      <w:r w:rsidR="00D72DEE" w:rsidRPr="00CD59CC">
        <w:rPr>
          <w:rFonts w:ascii="Arial" w:hAnsi="Arial" w:cs="Arial"/>
        </w:rPr>
        <w:t>terminal,</w:t>
      </w:r>
      <w:r w:rsidR="007B7640" w:rsidRPr="00CD59CC">
        <w:rPr>
          <w:rFonts w:ascii="Arial" w:hAnsi="Arial" w:cs="Arial"/>
        </w:rPr>
        <w:t xml:space="preserve"> </w:t>
      </w:r>
      <w:r w:rsidR="00D72DEE" w:rsidRPr="00CD59CC">
        <w:rPr>
          <w:rFonts w:ascii="Arial" w:hAnsi="Arial" w:cs="Arial"/>
        </w:rPr>
        <w:t>“it</w:t>
      </w:r>
      <w:r w:rsidR="007B7640" w:rsidRPr="00CD59CC">
        <w:rPr>
          <w:rFonts w:ascii="Arial" w:hAnsi="Arial" w:cs="Arial"/>
        </w:rPr>
        <w:t xml:space="preserve"> </w:t>
      </w:r>
      <w:r w:rsidR="00D72DEE" w:rsidRPr="00CD59CC">
        <w:rPr>
          <w:rFonts w:ascii="Arial" w:hAnsi="Arial" w:cs="Arial"/>
        </w:rPr>
        <w:t>is</w:t>
      </w:r>
      <w:r w:rsidR="007B7640" w:rsidRPr="00CD59CC">
        <w:rPr>
          <w:rFonts w:ascii="Arial" w:hAnsi="Arial" w:cs="Arial"/>
        </w:rPr>
        <w:t xml:space="preserve"> </w:t>
      </w:r>
      <w:r w:rsidR="00D72DEE" w:rsidRPr="00CD59CC">
        <w:rPr>
          <w:rFonts w:ascii="Arial" w:hAnsi="Arial" w:cs="Arial"/>
        </w:rPr>
        <w:t>common</w:t>
      </w:r>
      <w:r w:rsidR="007B7640" w:rsidRPr="00CD59CC">
        <w:rPr>
          <w:rFonts w:ascii="Arial" w:hAnsi="Arial" w:cs="Arial"/>
        </w:rPr>
        <w:t xml:space="preserve"> </w:t>
      </w:r>
      <w:r w:rsidR="00D72DEE" w:rsidRPr="00CD59CC">
        <w:rPr>
          <w:rFonts w:ascii="Arial" w:hAnsi="Arial" w:cs="Arial"/>
        </w:rPr>
        <w:t>knowledge</w:t>
      </w:r>
      <w:r w:rsidR="007B7640" w:rsidRPr="00CD59CC">
        <w:rPr>
          <w:rFonts w:ascii="Arial" w:hAnsi="Arial" w:cs="Arial"/>
        </w:rPr>
        <w:t xml:space="preserve"> </w:t>
      </w:r>
      <w:r w:rsidR="00D72DEE" w:rsidRPr="00CD59CC">
        <w:rPr>
          <w:rFonts w:ascii="Arial" w:hAnsi="Arial" w:cs="Arial"/>
        </w:rPr>
        <w:t>that</w:t>
      </w:r>
      <w:r w:rsidR="007B7640" w:rsidRPr="00CD59CC">
        <w:rPr>
          <w:rFonts w:ascii="Arial" w:hAnsi="Arial" w:cs="Arial"/>
        </w:rPr>
        <w:t xml:space="preserve"> </w:t>
      </w:r>
      <w:r w:rsidR="00D72DEE" w:rsidRPr="00CD59CC">
        <w:rPr>
          <w:rFonts w:ascii="Arial" w:hAnsi="Arial" w:cs="Arial"/>
        </w:rPr>
        <w:t>the</w:t>
      </w:r>
      <w:r w:rsidR="007B7640" w:rsidRPr="00CD59CC">
        <w:rPr>
          <w:rFonts w:ascii="Arial" w:hAnsi="Arial" w:cs="Arial"/>
        </w:rPr>
        <w:t xml:space="preserve"> </w:t>
      </w:r>
      <w:r w:rsidR="00D72DEE" w:rsidRPr="00CD59CC">
        <w:rPr>
          <w:rFonts w:ascii="Arial" w:hAnsi="Arial" w:cs="Arial"/>
        </w:rPr>
        <w:t>reconstruction</w:t>
      </w:r>
      <w:r w:rsidR="007B7640" w:rsidRPr="00CD59CC">
        <w:rPr>
          <w:rFonts w:ascii="Arial" w:hAnsi="Arial" w:cs="Arial"/>
        </w:rPr>
        <w:t xml:space="preserve"> </w:t>
      </w:r>
      <w:r w:rsidR="00D72DEE" w:rsidRPr="00CD59CC">
        <w:rPr>
          <w:rFonts w:ascii="Arial" w:hAnsi="Arial" w:cs="Arial"/>
        </w:rPr>
        <w:t>of</w:t>
      </w:r>
      <w:r w:rsidR="007B7640" w:rsidRPr="00CD59CC">
        <w:rPr>
          <w:rFonts w:ascii="Arial" w:hAnsi="Arial" w:cs="Arial"/>
        </w:rPr>
        <w:t xml:space="preserve"> </w:t>
      </w:r>
      <w:r w:rsidR="0021738F" w:rsidRPr="00CD59CC">
        <w:rPr>
          <w:rFonts w:ascii="Arial" w:hAnsi="Arial" w:cs="Arial"/>
        </w:rPr>
        <w:t>all</w:t>
      </w:r>
      <w:r w:rsidR="007B7640" w:rsidRPr="00CD59CC">
        <w:rPr>
          <w:rFonts w:ascii="Arial" w:hAnsi="Arial" w:cs="Arial"/>
        </w:rPr>
        <w:t xml:space="preserve"> </w:t>
      </w:r>
      <w:r w:rsidR="0021738F" w:rsidRPr="00CD59CC">
        <w:rPr>
          <w:rFonts w:ascii="Arial" w:hAnsi="Arial" w:cs="Arial"/>
        </w:rPr>
        <w:t>the</w:t>
      </w:r>
      <w:r w:rsidR="007B7640" w:rsidRPr="00CD59CC">
        <w:rPr>
          <w:rFonts w:ascii="Arial" w:hAnsi="Arial" w:cs="Arial"/>
        </w:rPr>
        <w:t xml:space="preserve"> </w:t>
      </w:r>
      <w:r w:rsidR="0021738F" w:rsidRPr="00CD59CC">
        <w:rPr>
          <w:rFonts w:ascii="Arial" w:hAnsi="Arial" w:cs="Arial"/>
        </w:rPr>
        <w:t>buildings</w:t>
      </w:r>
      <w:r w:rsidR="007B7640" w:rsidRPr="00CD59CC">
        <w:rPr>
          <w:rFonts w:ascii="Arial" w:hAnsi="Arial" w:cs="Arial"/>
        </w:rPr>
        <w:t xml:space="preserve"> </w:t>
      </w:r>
      <w:r w:rsidR="0021738F" w:rsidRPr="00CD59CC">
        <w:rPr>
          <w:rFonts w:ascii="Arial" w:hAnsi="Arial" w:cs="Arial"/>
        </w:rPr>
        <w:t>and</w:t>
      </w:r>
      <w:r w:rsidR="007B7640" w:rsidRPr="00CD59CC">
        <w:rPr>
          <w:rFonts w:ascii="Arial" w:hAnsi="Arial" w:cs="Arial"/>
        </w:rPr>
        <w:t xml:space="preserve"> </w:t>
      </w:r>
      <w:r w:rsidR="0021738F" w:rsidRPr="00CD59CC">
        <w:rPr>
          <w:rFonts w:ascii="Arial" w:hAnsi="Arial" w:cs="Arial"/>
        </w:rPr>
        <w:t>external</w:t>
      </w:r>
      <w:r w:rsidR="007B7640" w:rsidRPr="00CD59CC">
        <w:rPr>
          <w:rFonts w:ascii="Arial" w:hAnsi="Arial" w:cs="Arial"/>
        </w:rPr>
        <w:t xml:space="preserve"> </w:t>
      </w:r>
      <w:r w:rsidR="0021738F" w:rsidRPr="00CD59CC">
        <w:rPr>
          <w:rFonts w:ascii="Arial" w:hAnsi="Arial" w:cs="Arial"/>
        </w:rPr>
        <w:t>units</w:t>
      </w:r>
      <w:r w:rsidR="007B7640" w:rsidRPr="00CD59CC">
        <w:rPr>
          <w:rFonts w:ascii="Arial" w:hAnsi="Arial" w:cs="Arial"/>
        </w:rPr>
        <w:t xml:space="preserve"> </w:t>
      </w:r>
      <w:r w:rsidR="0021738F" w:rsidRPr="00CD59CC">
        <w:rPr>
          <w:rFonts w:ascii="Arial" w:hAnsi="Arial" w:cs="Arial"/>
        </w:rPr>
        <w:t>of</w:t>
      </w:r>
      <w:r w:rsidR="007B7640" w:rsidRPr="00CD59CC">
        <w:rPr>
          <w:rFonts w:ascii="Arial" w:hAnsi="Arial" w:cs="Arial"/>
        </w:rPr>
        <w:t xml:space="preserve"> </w:t>
      </w:r>
      <w:r w:rsidR="0021738F" w:rsidRPr="00CD59CC">
        <w:rPr>
          <w:rFonts w:ascii="Arial" w:hAnsi="Arial" w:cs="Arial"/>
        </w:rPr>
        <w:t>a</w:t>
      </w:r>
      <w:r w:rsidR="007B7640" w:rsidRPr="00CD59CC">
        <w:rPr>
          <w:rFonts w:ascii="Arial" w:hAnsi="Arial" w:cs="Arial"/>
        </w:rPr>
        <w:t xml:space="preserve"> </w:t>
      </w:r>
      <w:r w:rsidR="0021738F" w:rsidRPr="00CD59CC">
        <w:rPr>
          <w:rFonts w:ascii="Arial" w:hAnsi="Arial" w:cs="Arial"/>
        </w:rPr>
        <w:t>bus</w:t>
      </w:r>
      <w:r w:rsidR="007B7640" w:rsidRPr="00CD59CC">
        <w:rPr>
          <w:rFonts w:ascii="Arial" w:hAnsi="Arial" w:cs="Arial"/>
        </w:rPr>
        <w:t xml:space="preserve"> </w:t>
      </w:r>
      <w:r w:rsidR="0021738F" w:rsidRPr="00CD59CC">
        <w:rPr>
          <w:rFonts w:ascii="Arial" w:hAnsi="Arial" w:cs="Arial"/>
        </w:rPr>
        <w:t>terminal</w:t>
      </w:r>
      <w:r w:rsidR="007B7640" w:rsidRPr="00CD59CC">
        <w:rPr>
          <w:rFonts w:ascii="Arial" w:hAnsi="Arial" w:cs="Arial"/>
        </w:rPr>
        <w:t xml:space="preserve"> </w:t>
      </w:r>
      <w:r w:rsidR="0021738F" w:rsidRPr="00CD59CC">
        <w:rPr>
          <w:rFonts w:ascii="Arial" w:hAnsi="Arial" w:cs="Arial"/>
        </w:rPr>
        <w:t>with</w:t>
      </w:r>
      <w:r w:rsidR="007B7640" w:rsidRPr="00CD59CC">
        <w:rPr>
          <w:rFonts w:ascii="Arial" w:hAnsi="Arial" w:cs="Arial"/>
        </w:rPr>
        <w:t xml:space="preserve"> </w:t>
      </w:r>
      <w:r w:rsidR="0021738F" w:rsidRPr="00CD59CC">
        <w:rPr>
          <w:rFonts w:ascii="Arial" w:hAnsi="Arial" w:cs="Arial"/>
        </w:rPr>
        <w:t>such</w:t>
      </w:r>
      <w:r w:rsidR="007B7640" w:rsidRPr="00CD59CC">
        <w:rPr>
          <w:rFonts w:ascii="Arial" w:hAnsi="Arial" w:cs="Arial"/>
        </w:rPr>
        <w:t xml:space="preserve"> </w:t>
      </w:r>
      <w:r w:rsidR="0021738F" w:rsidRPr="00CD59CC">
        <w:rPr>
          <w:rFonts w:ascii="Arial" w:hAnsi="Arial" w:cs="Arial"/>
        </w:rPr>
        <w:t>a</w:t>
      </w:r>
      <w:r w:rsidR="007B7640" w:rsidRPr="00CD59CC">
        <w:rPr>
          <w:rFonts w:ascii="Arial" w:hAnsi="Arial" w:cs="Arial"/>
        </w:rPr>
        <w:t xml:space="preserve"> </w:t>
      </w:r>
      <w:r w:rsidR="0021738F" w:rsidRPr="00CD59CC">
        <w:rPr>
          <w:rFonts w:ascii="Arial" w:hAnsi="Arial" w:cs="Arial"/>
        </w:rPr>
        <w:t>heavy</w:t>
      </w:r>
      <w:r w:rsidR="007B7640" w:rsidRPr="00CD59CC">
        <w:rPr>
          <w:rFonts w:ascii="Arial" w:hAnsi="Arial" w:cs="Arial"/>
        </w:rPr>
        <w:t xml:space="preserve"> </w:t>
      </w:r>
      <w:r w:rsidR="0021738F" w:rsidRPr="00CD59CC">
        <w:rPr>
          <w:rFonts w:ascii="Arial" w:hAnsi="Arial" w:cs="Arial"/>
        </w:rPr>
        <w:t>traffic</w:t>
      </w:r>
      <w:r w:rsidR="007B7640" w:rsidRPr="00CD59CC">
        <w:rPr>
          <w:rFonts w:ascii="Arial" w:hAnsi="Arial" w:cs="Arial"/>
        </w:rPr>
        <w:t xml:space="preserve"> </w:t>
      </w:r>
      <w:r w:rsidR="0021738F" w:rsidRPr="00CD59CC">
        <w:rPr>
          <w:rFonts w:ascii="Arial" w:hAnsi="Arial" w:cs="Arial"/>
        </w:rPr>
        <w:t>with</w:t>
      </w:r>
      <w:r w:rsidR="007B7640" w:rsidRPr="00CD59CC">
        <w:rPr>
          <w:rFonts w:ascii="Arial" w:hAnsi="Arial" w:cs="Arial"/>
        </w:rPr>
        <w:t xml:space="preserve"> </w:t>
      </w:r>
      <w:r w:rsidR="0021738F" w:rsidRPr="00CD59CC">
        <w:rPr>
          <w:rFonts w:ascii="Arial" w:hAnsi="Arial" w:cs="Arial"/>
        </w:rPr>
        <w:t>the</w:t>
      </w:r>
      <w:r w:rsidR="007B7640" w:rsidRPr="00CD59CC">
        <w:rPr>
          <w:rFonts w:ascii="Arial" w:hAnsi="Arial" w:cs="Arial"/>
        </w:rPr>
        <w:t xml:space="preserve"> </w:t>
      </w:r>
      <w:r w:rsidR="0021738F" w:rsidRPr="00CD59CC">
        <w:rPr>
          <w:rFonts w:ascii="Arial" w:hAnsi="Arial" w:cs="Arial"/>
        </w:rPr>
        <w:t>aim</w:t>
      </w:r>
      <w:r w:rsidR="007B7640" w:rsidRPr="00CD59CC">
        <w:rPr>
          <w:rFonts w:ascii="Arial" w:hAnsi="Arial" w:cs="Arial"/>
        </w:rPr>
        <w:t xml:space="preserve"> </w:t>
      </w:r>
      <w:r w:rsidR="0021738F" w:rsidRPr="00CD59CC">
        <w:rPr>
          <w:rFonts w:ascii="Arial" w:hAnsi="Arial" w:cs="Arial"/>
        </w:rPr>
        <w:t>of</w:t>
      </w:r>
      <w:r w:rsidR="007B7640" w:rsidRPr="00CD59CC">
        <w:rPr>
          <w:rFonts w:ascii="Arial" w:hAnsi="Arial" w:cs="Arial"/>
        </w:rPr>
        <w:t xml:space="preserve"> </w:t>
      </w:r>
      <w:r w:rsidR="0021738F" w:rsidRPr="00CD59CC">
        <w:rPr>
          <w:rFonts w:ascii="Arial" w:hAnsi="Arial" w:cs="Arial"/>
        </w:rPr>
        <w:t>providing</w:t>
      </w:r>
      <w:r w:rsidR="007B7640" w:rsidRPr="00CD59CC">
        <w:rPr>
          <w:rFonts w:ascii="Arial" w:hAnsi="Arial" w:cs="Arial"/>
        </w:rPr>
        <w:t xml:space="preserve"> </w:t>
      </w:r>
      <w:r w:rsidR="0021738F" w:rsidRPr="00CD59CC">
        <w:rPr>
          <w:rFonts w:ascii="Arial" w:hAnsi="Arial" w:cs="Arial"/>
        </w:rPr>
        <w:t>accessibility</w:t>
      </w:r>
      <w:r w:rsidR="007B7640" w:rsidRPr="00CD59CC">
        <w:rPr>
          <w:rFonts w:ascii="Arial" w:hAnsi="Arial" w:cs="Arial"/>
        </w:rPr>
        <w:t xml:space="preserve"> </w:t>
      </w:r>
      <w:r w:rsidR="0021738F" w:rsidRPr="00CD59CC">
        <w:rPr>
          <w:rFonts w:ascii="Arial" w:hAnsi="Arial" w:cs="Arial"/>
        </w:rPr>
        <w:t>requires</w:t>
      </w:r>
      <w:r w:rsidR="007B7640" w:rsidRPr="00CD59CC">
        <w:rPr>
          <w:rFonts w:ascii="Arial" w:hAnsi="Arial" w:cs="Arial"/>
        </w:rPr>
        <w:t xml:space="preserve"> </w:t>
      </w:r>
      <w:r w:rsidR="0021738F" w:rsidRPr="00CD59CC">
        <w:rPr>
          <w:rFonts w:ascii="Arial" w:hAnsi="Arial" w:cs="Arial"/>
        </w:rPr>
        <w:t>significant</w:t>
      </w:r>
      <w:r w:rsidR="007B7640" w:rsidRPr="00CD59CC">
        <w:rPr>
          <w:rFonts w:ascii="Arial" w:hAnsi="Arial" w:cs="Arial"/>
        </w:rPr>
        <w:t xml:space="preserve"> </w:t>
      </w:r>
      <w:r w:rsidR="0021738F" w:rsidRPr="00CD59CC">
        <w:rPr>
          <w:rFonts w:ascii="Arial" w:hAnsi="Arial" w:cs="Arial"/>
        </w:rPr>
        <w:t>investment</w:t>
      </w:r>
      <w:r w:rsidR="007B7640" w:rsidRPr="00CD59CC">
        <w:rPr>
          <w:rFonts w:ascii="Arial" w:hAnsi="Arial" w:cs="Arial"/>
        </w:rPr>
        <w:t xml:space="preserve"> </w:t>
      </w:r>
      <w:r w:rsidR="0021738F" w:rsidRPr="00CD59CC">
        <w:rPr>
          <w:rFonts w:ascii="Arial" w:hAnsi="Arial" w:cs="Arial"/>
        </w:rPr>
        <w:t>and</w:t>
      </w:r>
      <w:r w:rsidR="007B7640" w:rsidRPr="00CD59CC">
        <w:rPr>
          <w:rFonts w:ascii="Arial" w:hAnsi="Arial" w:cs="Arial"/>
        </w:rPr>
        <w:t xml:space="preserve"> </w:t>
      </w:r>
      <w:r w:rsidR="0021738F" w:rsidRPr="00CD59CC">
        <w:rPr>
          <w:rFonts w:ascii="Arial" w:hAnsi="Arial" w:cs="Arial"/>
        </w:rPr>
        <w:t>time.</w:t>
      </w:r>
      <w:r w:rsidR="007B7640" w:rsidRPr="00CD59CC">
        <w:rPr>
          <w:rFonts w:ascii="Arial" w:hAnsi="Arial" w:cs="Arial"/>
        </w:rPr>
        <w:t xml:space="preserve"> </w:t>
      </w:r>
      <w:r w:rsidR="00A71F8C" w:rsidRPr="00CD59CC">
        <w:rPr>
          <w:rFonts w:ascii="Arial" w:hAnsi="Arial" w:cs="Arial"/>
        </w:rPr>
        <w:t>Taking</w:t>
      </w:r>
      <w:r w:rsidR="007B7640" w:rsidRPr="00CD59CC">
        <w:rPr>
          <w:rFonts w:ascii="Arial" w:hAnsi="Arial" w:cs="Arial"/>
        </w:rPr>
        <w:t xml:space="preserve"> </w:t>
      </w:r>
      <w:r w:rsidR="00A71F8C" w:rsidRPr="00CD59CC">
        <w:rPr>
          <w:rFonts w:ascii="Arial" w:hAnsi="Arial" w:cs="Arial"/>
        </w:rPr>
        <w:t>all</w:t>
      </w:r>
      <w:r w:rsidR="007B7640" w:rsidRPr="00CD59CC">
        <w:rPr>
          <w:rFonts w:ascii="Arial" w:hAnsi="Arial" w:cs="Arial"/>
        </w:rPr>
        <w:t xml:space="preserve"> </w:t>
      </w:r>
      <w:r w:rsidR="00A71F8C" w:rsidRPr="00CD59CC">
        <w:rPr>
          <w:rFonts w:ascii="Arial" w:hAnsi="Arial" w:cs="Arial"/>
        </w:rPr>
        <w:t>this</w:t>
      </w:r>
      <w:r w:rsidR="007B7640" w:rsidRPr="00CD59CC">
        <w:rPr>
          <w:rFonts w:ascii="Arial" w:hAnsi="Arial" w:cs="Arial"/>
        </w:rPr>
        <w:t xml:space="preserve"> </w:t>
      </w:r>
      <w:r w:rsidR="00A71F8C" w:rsidRPr="00CD59CC">
        <w:rPr>
          <w:rFonts w:ascii="Arial" w:hAnsi="Arial" w:cs="Arial"/>
        </w:rPr>
        <w:t>into</w:t>
      </w:r>
      <w:r w:rsidR="007B7640" w:rsidRPr="00CD59CC">
        <w:rPr>
          <w:rFonts w:ascii="Arial" w:hAnsi="Arial" w:cs="Arial"/>
        </w:rPr>
        <w:t xml:space="preserve"> </w:t>
      </w:r>
      <w:r w:rsidR="00A71F8C" w:rsidRPr="00CD59CC">
        <w:rPr>
          <w:rFonts w:ascii="Arial" w:hAnsi="Arial" w:cs="Arial"/>
        </w:rPr>
        <w:t>account,</w:t>
      </w:r>
      <w:r w:rsidR="007B7640" w:rsidRPr="00CD59CC">
        <w:rPr>
          <w:rFonts w:ascii="Arial" w:hAnsi="Arial" w:cs="Arial"/>
        </w:rPr>
        <w:t xml:space="preserve"> </w:t>
      </w:r>
      <w:r w:rsidR="00A71F8C" w:rsidRPr="00CD59CC">
        <w:rPr>
          <w:rFonts w:ascii="Arial" w:hAnsi="Arial" w:cs="Arial"/>
        </w:rPr>
        <w:t>it</w:t>
      </w:r>
      <w:r w:rsidR="007B7640" w:rsidRPr="00CD59CC">
        <w:rPr>
          <w:rFonts w:ascii="Arial" w:hAnsi="Arial" w:cs="Arial"/>
        </w:rPr>
        <w:t xml:space="preserve"> </w:t>
      </w:r>
      <w:r w:rsidR="00A71F8C" w:rsidRPr="00CD59CC">
        <w:rPr>
          <w:rFonts w:ascii="Arial" w:hAnsi="Arial" w:cs="Arial"/>
        </w:rPr>
        <w:t>can</w:t>
      </w:r>
      <w:r w:rsidR="007B7640" w:rsidRPr="00CD59CC">
        <w:rPr>
          <w:rFonts w:ascii="Arial" w:hAnsi="Arial" w:cs="Arial"/>
        </w:rPr>
        <w:t xml:space="preserve"> </w:t>
      </w:r>
      <w:r w:rsidR="00A71F8C" w:rsidRPr="00CD59CC">
        <w:rPr>
          <w:rFonts w:ascii="Arial" w:hAnsi="Arial" w:cs="Arial"/>
        </w:rPr>
        <w:t>be</w:t>
      </w:r>
      <w:r w:rsidR="007B7640" w:rsidRPr="00CD59CC">
        <w:rPr>
          <w:rFonts w:ascii="Arial" w:hAnsi="Arial" w:cs="Arial"/>
        </w:rPr>
        <w:t xml:space="preserve"> </w:t>
      </w:r>
      <w:r w:rsidR="00A71F8C" w:rsidRPr="00CD59CC">
        <w:rPr>
          <w:rFonts w:ascii="Arial" w:hAnsi="Arial" w:cs="Arial"/>
        </w:rPr>
        <w:t>established</w:t>
      </w:r>
      <w:r w:rsidR="007B7640" w:rsidRPr="00CD59CC">
        <w:rPr>
          <w:rFonts w:ascii="Arial" w:hAnsi="Arial" w:cs="Arial"/>
        </w:rPr>
        <w:t xml:space="preserve"> </w:t>
      </w:r>
      <w:r w:rsidR="00A71F8C" w:rsidRPr="00CD59CC">
        <w:rPr>
          <w:rFonts w:ascii="Arial" w:hAnsi="Arial" w:cs="Arial"/>
        </w:rPr>
        <w:t>that</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fact</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defendant</w:t>
      </w:r>
      <w:r w:rsidR="007B7640" w:rsidRPr="00CD59CC">
        <w:rPr>
          <w:rFonts w:ascii="Arial" w:hAnsi="Arial" w:cs="Arial"/>
        </w:rPr>
        <w:t xml:space="preserve"> </w:t>
      </w:r>
      <w:r w:rsidR="00A71F8C" w:rsidRPr="00CD59CC">
        <w:rPr>
          <w:rFonts w:ascii="Arial" w:hAnsi="Arial" w:cs="Arial"/>
        </w:rPr>
        <w:t>has</w:t>
      </w:r>
      <w:r w:rsidR="007B7640" w:rsidRPr="00CD59CC">
        <w:rPr>
          <w:rFonts w:ascii="Arial" w:hAnsi="Arial" w:cs="Arial"/>
        </w:rPr>
        <w:t xml:space="preserve"> </w:t>
      </w:r>
      <w:r w:rsidR="00A71F8C" w:rsidRPr="00CD59CC">
        <w:rPr>
          <w:rFonts w:ascii="Arial" w:hAnsi="Arial" w:cs="Arial"/>
        </w:rPr>
        <w:t>not</w:t>
      </w:r>
      <w:r w:rsidR="007B7640" w:rsidRPr="00CD59CC">
        <w:rPr>
          <w:rFonts w:ascii="Arial" w:hAnsi="Arial" w:cs="Arial"/>
        </w:rPr>
        <w:t xml:space="preserve"> </w:t>
      </w:r>
      <w:r w:rsidR="00A71F8C" w:rsidRPr="00CD59CC">
        <w:rPr>
          <w:rFonts w:ascii="Arial" w:hAnsi="Arial" w:cs="Arial"/>
        </w:rPr>
        <w:t>solved</w:t>
      </w:r>
      <w:r w:rsidR="007B7640" w:rsidRPr="00CD59CC">
        <w:rPr>
          <w:rFonts w:ascii="Arial" w:hAnsi="Arial" w:cs="Arial"/>
        </w:rPr>
        <w:t xml:space="preserve"> </w:t>
      </w:r>
      <w:r w:rsidR="00A71F8C" w:rsidRPr="00CD59CC">
        <w:rPr>
          <w:rFonts w:ascii="Arial" w:hAnsi="Arial" w:cs="Arial"/>
        </w:rPr>
        <w:t>all</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problems</w:t>
      </w:r>
      <w:r w:rsidR="007B7640" w:rsidRPr="00CD59CC">
        <w:rPr>
          <w:rFonts w:ascii="Arial" w:hAnsi="Arial" w:cs="Arial"/>
        </w:rPr>
        <w:t xml:space="preserve"> </w:t>
      </w:r>
      <w:r w:rsidR="00A71F8C" w:rsidRPr="00CD59CC">
        <w:rPr>
          <w:rFonts w:ascii="Arial" w:hAnsi="Arial" w:cs="Arial"/>
        </w:rPr>
        <w:t>raised</w:t>
      </w:r>
      <w:r w:rsidR="007B7640" w:rsidRPr="00CD59CC">
        <w:rPr>
          <w:rFonts w:ascii="Arial" w:hAnsi="Arial" w:cs="Arial"/>
        </w:rPr>
        <w:t xml:space="preserve"> </w:t>
      </w:r>
      <w:r w:rsidR="00A71F8C" w:rsidRPr="00CD59CC">
        <w:rPr>
          <w:rFonts w:ascii="Arial" w:hAnsi="Arial" w:cs="Arial"/>
        </w:rPr>
        <w:t>by</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plaintiff,</w:t>
      </w:r>
      <w:r w:rsidR="007B7640" w:rsidRPr="00CD59CC">
        <w:rPr>
          <w:rFonts w:ascii="Arial" w:hAnsi="Arial" w:cs="Arial"/>
        </w:rPr>
        <w:t xml:space="preserve"> </w:t>
      </w:r>
      <w:r w:rsidR="00A71F8C" w:rsidRPr="00CD59CC">
        <w:rPr>
          <w:rFonts w:ascii="Arial" w:hAnsi="Arial" w:cs="Arial"/>
        </w:rPr>
        <w:t>can</w:t>
      </w:r>
      <w:r w:rsidR="007B7640" w:rsidRPr="00CD59CC">
        <w:rPr>
          <w:rFonts w:ascii="Arial" w:hAnsi="Arial" w:cs="Arial"/>
        </w:rPr>
        <w:t xml:space="preserve"> </w:t>
      </w:r>
      <w:r w:rsidR="00A71F8C" w:rsidRPr="00CD59CC">
        <w:rPr>
          <w:rFonts w:ascii="Arial" w:hAnsi="Arial" w:cs="Arial"/>
        </w:rPr>
        <w:t>be</w:t>
      </w:r>
      <w:r w:rsidR="007B7640" w:rsidRPr="00CD59CC">
        <w:rPr>
          <w:rFonts w:ascii="Arial" w:hAnsi="Arial" w:cs="Arial"/>
        </w:rPr>
        <w:t xml:space="preserve"> </w:t>
      </w:r>
      <w:r w:rsidR="00A71F8C" w:rsidRPr="00CD59CC">
        <w:rPr>
          <w:rFonts w:ascii="Arial" w:hAnsi="Arial" w:cs="Arial"/>
        </w:rPr>
        <w:t>regarded</w:t>
      </w:r>
      <w:r w:rsidR="007B7640" w:rsidRPr="00CD59CC">
        <w:rPr>
          <w:rFonts w:ascii="Arial" w:hAnsi="Arial" w:cs="Arial"/>
        </w:rPr>
        <w:t xml:space="preserve"> </w:t>
      </w:r>
      <w:r w:rsidR="00A71F8C" w:rsidRPr="00CD59CC">
        <w:rPr>
          <w:rFonts w:ascii="Arial" w:hAnsi="Arial" w:cs="Arial"/>
        </w:rPr>
        <w:t>to</w:t>
      </w:r>
      <w:r w:rsidR="007B7640" w:rsidRPr="00CD59CC">
        <w:rPr>
          <w:rFonts w:ascii="Arial" w:hAnsi="Arial" w:cs="Arial"/>
        </w:rPr>
        <w:t xml:space="preserve"> </w:t>
      </w:r>
      <w:r w:rsidR="00A71F8C" w:rsidRPr="00CD59CC">
        <w:rPr>
          <w:rFonts w:ascii="Arial" w:hAnsi="Arial" w:cs="Arial"/>
        </w:rPr>
        <w:t>have</w:t>
      </w:r>
      <w:r w:rsidR="007B7640" w:rsidRPr="00CD59CC">
        <w:rPr>
          <w:rFonts w:ascii="Arial" w:hAnsi="Arial" w:cs="Arial"/>
        </w:rPr>
        <w:t xml:space="preserve"> </w:t>
      </w:r>
      <w:r w:rsidR="00A71F8C" w:rsidRPr="00CD59CC">
        <w:rPr>
          <w:rFonts w:ascii="Arial" w:hAnsi="Arial" w:cs="Arial"/>
        </w:rPr>
        <w:t>a</w:t>
      </w:r>
      <w:r w:rsidR="007B7640" w:rsidRPr="00CD59CC">
        <w:rPr>
          <w:rFonts w:ascii="Arial" w:hAnsi="Arial" w:cs="Arial"/>
        </w:rPr>
        <w:t xml:space="preserve"> </w:t>
      </w:r>
      <w:r w:rsidR="00A71F8C" w:rsidRPr="00CD59CC">
        <w:rPr>
          <w:rFonts w:ascii="Arial" w:hAnsi="Arial" w:cs="Arial"/>
        </w:rPr>
        <w:t>reasonable</w:t>
      </w:r>
      <w:r w:rsidR="007B7640" w:rsidRPr="00CD59CC">
        <w:rPr>
          <w:rFonts w:ascii="Arial" w:hAnsi="Arial" w:cs="Arial"/>
        </w:rPr>
        <w:t xml:space="preserve"> </w:t>
      </w:r>
      <w:r w:rsidR="00A71F8C" w:rsidRPr="00CD59CC">
        <w:rPr>
          <w:rFonts w:ascii="Arial" w:hAnsi="Arial" w:cs="Arial"/>
        </w:rPr>
        <w:t>economic</w:t>
      </w:r>
      <w:r w:rsidR="007B7640" w:rsidRPr="00CD59CC">
        <w:rPr>
          <w:rFonts w:ascii="Arial" w:hAnsi="Arial" w:cs="Arial"/>
        </w:rPr>
        <w:t xml:space="preserve"> </w:t>
      </w:r>
      <w:r w:rsidR="00A71F8C" w:rsidRPr="00CD59CC">
        <w:rPr>
          <w:rFonts w:ascii="Arial" w:hAnsi="Arial" w:cs="Arial"/>
        </w:rPr>
        <w:t>ground</w:t>
      </w:r>
      <w:r w:rsidR="007B7640" w:rsidRPr="00CD59CC">
        <w:rPr>
          <w:rFonts w:ascii="Arial" w:hAnsi="Arial" w:cs="Arial"/>
        </w:rPr>
        <w:t xml:space="preserve"> </w:t>
      </w:r>
      <w:r w:rsidR="00A71F8C" w:rsidRPr="00CD59CC">
        <w:rPr>
          <w:rFonts w:ascii="Arial" w:hAnsi="Arial" w:cs="Arial"/>
        </w:rPr>
        <w:t>directly</w:t>
      </w:r>
      <w:r w:rsidR="007B7640" w:rsidRPr="00CD59CC">
        <w:rPr>
          <w:rFonts w:ascii="Arial" w:hAnsi="Arial" w:cs="Arial"/>
        </w:rPr>
        <w:t xml:space="preserve"> </w:t>
      </w:r>
      <w:r w:rsidR="00A71F8C" w:rsidRPr="00CD59CC">
        <w:rPr>
          <w:rFonts w:ascii="Arial" w:hAnsi="Arial" w:cs="Arial"/>
        </w:rPr>
        <w:t>related</w:t>
      </w:r>
      <w:r w:rsidR="007B7640" w:rsidRPr="00CD59CC">
        <w:rPr>
          <w:rFonts w:ascii="Arial" w:hAnsi="Arial" w:cs="Arial"/>
        </w:rPr>
        <w:t xml:space="preserve"> </w:t>
      </w:r>
      <w:r w:rsidR="00A71F8C" w:rsidRPr="00CD59CC">
        <w:rPr>
          <w:rFonts w:ascii="Arial" w:hAnsi="Arial" w:cs="Arial"/>
        </w:rPr>
        <w:t>to</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relevant</w:t>
      </w:r>
      <w:r w:rsidR="007B7640" w:rsidRPr="00CD59CC">
        <w:rPr>
          <w:rFonts w:ascii="Arial" w:hAnsi="Arial" w:cs="Arial"/>
        </w:rPr>
        <w:t xml:space="preserve"> </w:t>
      </w:r>
      <w:r w:rsidR="00A71F8C" w:rsidRPr="00CD59CC">
        <w:rPr>
          <w:rFonts w:ascii="Arial" w:hAnsi="Arial" w:cs="Arial"/>
        </w:rPr>
        <w:t>legal</w:t>
      </w:r>
      <w:r w:rsidR="007B7640" w:rsidRPr="00CD59CC">
        <w:rPr>
          <w:rFonts w:ascii="Arial" w:hAnsi="Arial" w:cs="Arial"/>
        </w:rPr>
        <w:t xml:space="preserve"> </w:t>
      </w:r>
      <w:r w:rsidR="00A71F8C" w:rsidRPr="00CD59CC">
        <w:rPr>
          <w:rFonts w:ascii="Arial" w:hAnsi="Arial" w:cs="Arial"/>
        </w:rPr>
        <w:t>relation.”</w:t>
      </w:r>
      <w:r w:rsidR="007B7640" w:rsidRPr="00CD59CC">
        <w:rPr>
          <w:rFonts w:ascii="Arial" w:hAnsi="Arial" w:cs="Arial"/>
        </w:rPr>
        <w:t xml:space="preserve"> </w:t>
      </w:r>
      <w:r w:rsidR="00A71F8C" w:rsidRPr="00CD59CC">
        <w:rPr>
          <w:rFonts w:ascii="Arial" w:hAnsi="Arial" w:cs="Arial"/>
        </w:rPr>
        <w:t>In</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author’s</w:t>
      </w:r>
      <w:r w:rsidR="007B7640" w:rsidRPr="00CD59CC">
        <w:rPr>
          <w:rFonts w:ascii="Arial" w:hAnsi="Arial" w:cs="Arial"/>
        </w:rPr>
        <w:t xml:space="preserve"> </w:t>
      </w:r>
      <w:r w:rsidR="00A71F8C" w:rsidRPr="00CD59CC">
        <w:rPr>
          <w:rFonts w:ascii="Arial" w:hAnsi="Arial" w:cs="Arial"/>
        </w:rPr>
        <w:t>view</w:t>
      </w:r>
      <w:r w:rsidR="007B7640" w:rsidRPr="00CD59CC">
        <w:rPr>
          <w:rFonts w:ascii="Arial" w:hAnsi="Arial" w:cs="Arial"/>
        </w:rPr>
        <w:t xml:space="preserve"> </w:t>
      </w:r>
      <w:r w:rsidR="00A71F8C" w:rsidRPr="00CD59CC">
        <w:rPr>
          <w:rFonts w:ascii="Arial" w:hAnsi="Arial" w:cs="Arial"/>
        </w:rPr>
        <w:t>when</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Curia</w:t>
      </w:r>
      <w:r w:rsidR="007B7640" w:rsidRPr="00CD59CC">
        <w:rPr>
          <w:rFonts w:ascii="Arial" w:hAnsi="Arial" w:cs="Arial"/>
        </w:rPr>
        <w:t xml:space="preserve"> </w:t>
      </w:r>
      <w:r w:rsidR="00A71F8C" w:rsidRPr="00CD59CC">
        <w:rPr>
          <w:rFonts w:ascii="Arial" w:hAnsi="Arial" w:cs="Arial"/>
        </w:rPr>
        <w:t>came</w:t>
      </w:r>
      <w:r w:rsidR="007B7640" w:rsidRPr="00CD59CC">
        <w:rPr>
          <w:rFonts w:ascii="Arial" w:hAnsi="Arial" w:cs="Arial"/>
        </w:rPr>
        <w:t xml:space="preserve"> </w:t>
      </w:r>
      <w:r w:rsidR="00A71F8C" w:rsidRPr="00CD59CC">
        <w:rPr>
          <w:rFonts w:ascii="Arial" w:hAnsi="Arial" w:cs="Arial"/>
        </w:rPr>
        <w:t>to</w:t>
      </w:r>
      <w:r w:rsidR="007B7640" w:rsidRPr="00CD59CC">
        <w:rPr>
          <w:rFonts w:ascii="Arial" w:hAnsi="Arial" w:cs="Arial"/>
        </w:rPr>
        <w:t xml:space="preserve"> </w:t>
      </w:r>
      <w:r w:rsidR="00A71F8C" w:rsidRPr="00CD59CC">
        <w:rPr>
          <w:rFonts w:ascii="Arial" w:hAnsi="Arial" w:cs="Arial"/>
        </w:rPr>
        <w:t>this</w:t>
      </w:r>
      <w:r w:rsidR="007B7640" w:rsidRPr="00CD59CC">
        <w:rPr>
          <w:rFonts w:ascii="Arial" w:hAnsi="Arial" w:cs="Arial"/>
        </w:rPr>
        <w:t xml:space="preserve"> </w:t>
      </w:r>
      <w:r w:rsidR="00A71F8C" w:rsidRPr="00CD59CC">
        <w:rPr>
          <w:rFonts w:ascii="Arial" w:hAnsi="Arial" w:cs="Arial"/>
        </w:rPr>
        <w:t>conclusion,</w:t>
      </w:r>
      <w:r w:rsidR="007B7640" w:rsidRPr="00CD59CC">
        <w:rPr>
          <w:rFonts w:ascii="Arial" w:hAnsi="Arial" w:cs="Arial"/>
        </w:rPr>
        <w:t xml:space="preserve"> </w:t>
      </w:r>
      <w:r w:rsidR="00A71F8C" w:rsidRPr="00CD59CC">
        <w:rPr>
          <w:rFonts w:ascii="Arial" w:hAnsi="Arial" w:cs="Arial"/>
        </w:rPr>
        <w:t>it</w:t>
      </w:r>
      <w:r w:rsidR="007B7640" w:rsidRPr="00CD59CC">
        <w:rPr>
          <w:rFonts w:ascii="Arial" w:hAnsi="Arial" w:cs="Arial"/>
        </w:rPr>
        <w:t xml:space="preserve"> </w:t>
      </w:r>
      <w:r w:rsidR="00A71F8C" w:rsidRPr="00CD59CC">
        <w:rPr>
          <w:rFonts w:ascii="Arial" w:hAnsi="Arial" w:cs="Arial"/>
        </w:rPr>
        <w:t>failed</w:t>
      </w:r>
      <w:r w:rsidR="007B7640" w:rsidRPr="00CD59CC">
        <w:rPr>
          <w:rFonts w:ascii="Arial" w:hAnsi="Arial" w:cs="Arial"/>
        </w:rPr>
        <w:t xml:space="preserve"> </w:t>
      </w:r>
      <w:r w:rsidR="00A71F8C" w:rsidRPr="00CD59CC">
        <w:rPr>
          <w:rFonts w:ascii="Arial" w:hAnsi="Arial" w:cs="Arial"/>
        </w:rPr>
        <w:t>to</w:t>
      </w:r>
      <w:r w:rsidR="007B7640" w:rsidRPr="00CD59CC">
        <w:rPr>
          <w:rFonts w:ascii="Arial" w:hAnsi="Arial" w:cs="Arial"/>
        </w:rPr>
        <w:t xml:space="preserve"> </w:t>
      </w:r>
      <w:r w:rsidR="00A71F8C" w:rsidRPr="00CD59CC">
        <w:rPr>
          <w:rFonts w:ascii="Arial" w:hAnsi="Arial" w:cs="Arial"/>
        </w:rPr>
        <w:t>take</w:t>
      </w:r>
      <w:r w:rsidR="007B7640" w:rsidRPr="00CD59CC">
        <w:rPr>
          <w:rFonts w:ascii="Arial" w:hAnsi="Arial" w:cs="Arial"/>
        </w:rPr>
        <w:t xml:space="preserve"> </w:t>
      </w:r>
      <w:r w:rsidR="00A71F8C" w:rsidRPr="00CD59CC">
        <w:rPr>
          <w:rFonts w:ascii="Arial" w:hAnsi="Arial" w:cs="Arial"/>
        </w:rPr>
        <w:t>into</w:t>
      </w:r>
      <w:r w:rsidR="007B7640" w:rsidRPr="00CD59CC">
        <w:rPr>
          <w:rFonts w:ascii="Arial" w:hAnsi="Arial" w:cs="Arial"/>
        </w:rPr>
        <w:t xml:space="preserve"> </w:t>
      </w:r>
      <w:r w:rsidR="00A71F8C" w:rsidRPr="00CD59CC">
        <w:rPr>
          <w:rFonts w:ascii="Arial" w:hAnsi="Arial" w:cs="Arial"/>
        </w:rPr>
        <w:t>consideration</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fact</w:t>
      </w:r>
      <w:r w:rsidR="007B7640" w:rsidRPr="00CD59CC">
        <w:rPr>
          <w:rFonts w:ascii="Arial" w:hAnsi="Arial" w:cs="Arial"/>
        </w:rPr>
        <w:t xml:space="preserve"> </w:t>
      </w:r>
      <w:r w:rsidR="00A71F8C" w:rsidRPr="00CD59CC">
        <w:rPr>
          <w:rFonts w:ascii="Arial" w:hAnsi="Arial" w:cs="Arial"/>
        </w:rPr>
        <w:t>that</w:t>
      </w:r>
      <w:r w:rsidR="007B7640" w:rsidRPr="00CD59CC">
        <w:rPr>
          <w:rFonts w:ascii="Arial" w:hAnsi="Arial" w:cs="Arial"/>
        </w:rPr>
        <w:t xml:space="preserve"> </w:t>
      </w:r>
      <w:r w:rsidR="00A71F8C" w:rsidRPr="00CD59CC">
        <w:rPr>
          <w:rFonts w:ascii="Arial" w:hAnsi="Arial" w:cs="Arial"/>
        </w:rPr>
        <w:t>during</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bus</w:t>
      </w:r>
      <w:r w:rsidR="007B7640" w:rsidRPr="00CD59CC">
        <w:rPr>
          <w:rFonts w:ascii="Arial" w:hAnsi="Arial" w:cs="Arial"/>
        </w:rPr>
        <w:t xml:space="preserve"> </w:t>
      </w:r>
      <w:r w:rsidR="00A71F8C" w:rsidRPr="00CD59CC">
        <w:rPr>
          <w:rFonts w:ascii="Arial" w:hAnsi="Arial" w:cs="Arial"/>
        </w:rPr>
        <w:t>terminal’s</w:t>
      </w:r>
      <w:r w:rsidR="007B7640" w:rsidRPr="00CD59CC">
        <w:rPr>
          <w:rFonts w:ascii="Arial" w:hAnsi="Arial" w:cs="Arial"/>
        </w:rPr>
        <w:t xml:space="preserve"> </w:t>
      </w:r>
      <w:r w:rsidR="00A71F8C" w:rsidRPr="00CD59CC">
        <w:rPr>
          <w:rFonts w:ascii="Arial" w:hAnsi="Arial" w:cs="Arial"/>
        </w:rPr>
        <w:t>reconstruction</w:t>
      </w:r>
      <w:r w:rsidR="007B7640" w:rsidRPr="00CD59CC">
        <w:rPr>
          <w:rFonts w:ascii="Arial" w:hAnsi="Arial" w:cs="Arial"/>
        </w:rPr>
        <w:t xml:space="preserve"> </w:t>
      </w:r>
      <w:r w:rsidR="00A71F8C" w:rsidRPr="00CD59CC">
        <w:rPr>
          <w:rFonts w:ascii="Arial" w:hAnsi="Arial" w:cs="Arial"/>
        </w:rPr>
        <w:t>between</w:t>
      </w:r>
      <w:r w:rsidR="007B7640" w:rsidRPr="00CD59CC">
        <w:rPr>
          <w:rFonts w:ascii="Arial" w:hAnsi="Arial" w:cs="Arial"/>
        </w:rPr>
        <w:t xml:space="preserve"> </w:t>
      </w:r>
      <w:r w:rsidR="00A71F8C" w:rsidRPr="00CD59CC">
        <w:rPr>
          <w:rFonts w:ascii="Arial" w:hAnsi="Arial" w:cs="Arial"/>
        </w:rPr>
        <w:t>1999</w:t>
      </w:r>
      <w:r w:rsidR="007B7640" w:rsidRPr="00CD59CC">
        <w:rPr>
          <w:rFonts w:ascii="Arial" w:hAnsi="Arial" w:cs="Arial"/>
        </w:rPr>
        <w:t xml:space="preserve"> </w:t>
      </w:r>
      <w:r w:rsidR="00A71F8C" w:rsidRPr="00CD59CC">
        <w:rPr>
          <w:rFonts w:ascii="Arial" w:hAnsi="Arial" w:cs="Arial"/>
        </w:rPr>
        <w:t>and</w:t>
      </w:r>
      <w:r w:rsidR="007B7640" w:rsidRPr="00CD59CC">
        <w:rPr>
          <w:rFonts w:ascii="Arial" w:hAnsi="Arial" w:cs="Arial"/>
        </w:rPr>
        <w:t xml:space="preserve"> </w:t>
      </w:r>
      <w:r w:rsidR="00A71F8C" w:rsidRPr="00CD59CC">
        <w:rPr>
          <w:rFonts w:ascii="Arial" w:hAnsi="Arial" w:cs="Arial"/>
        </w:rPr>
        <w:t>2003</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defendant</w:t>
      </w:r>
      <w:r w:rsidR="007B7640" w:rsidRPr="00CD59CC">
        <w:rPr>
          <w:rFonts w:ascii="Arial" w:hAnsi="Arial" w:cs="Arial"/>
        </w:rPr>
        <w:t xml:space="preserve"> </w:t>
      </w:r>
      <w:r w:rsidR="00A71F8C" w:rsidRPr="00CD59CC">
        <w:rPr>
          <w:rFonts w:ascii="Arial" w:hAnsi="Arial" w:cs="Arial"/>
        </w:rPr>
        <w:t>company</w:t>
      </w:r>
      <w:r w:rsidR="007B7640" w:rsidRPr="00CD59CC">
        <w:rPr>
          <w:rFonts w:ascii="Arial" w:hAnsi="Arial" w:cs="Arial"/>
        </w:rPr>
        <w:t xml:space="preserve"> </w:t>
      </w:r>
      <w:r w:rsidR="00A71F8C" w:rsidRPr="00CD59CC">
        <w:rPr>
          <w:rFonts w:ascii="Arial" w:hAnsi="Arial" w:cs="Arial"/>
        </w:rPr>
        <w:t>would</w:t>
      </w:r>
      <w:r w:rsidR="007B7640" w:rsidRPr="00CD59CC">
        <w:rPr>
          <w:rFonts w:ascii="Arial" w:hAnsi="Arial" w:cs="Arial"/>
        </w:rPr>
        <w:t xml:space="preserve"> </w:t>
      </w:r>
      <w:r w:rsidR="00A71F8C" w:rsidRPr="00CD59CC">
        <w:rPr>
          <w:rFonts w:ascii="Arial" w:hAnsi="Arial" w:cs="Arial"/>
        </w:rPr>
        <w:t>have</w:t>
      </w:r>
      <w:r w:rsidR="007B7640" w:rsidRPr="00CD59CC">
        <w:rPr>
          <w:rFonts w:ascii="Arial" w:hAnsi="Arial" w:cs="Arial"/>
        </w:rPr>
        <w:t xml:space="preserve"> </w:t>
      </w:r>
      <w:r w:rsidR="00A71F8C" w:rsidRPr="00CD59CC">
        <w:rPr>
          <w:rFonts w:ascii="Arial" w:hAnsi="Arial" w:cs="Arial"/>
        </w:rPr>
        <w:t>had</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possibility</w:t>
      </w:r>
      <w:r w:rsidR="007B7640" w:rsidRPr="00CD59CC">
        <w:rPr>
          <w:rFonts w:ascii="Arial" w:hAnsi="Arial" w:cs="Arial"/>
        </w:rPr>
        <w:t xml:space="preserve"> </w:t>
      </w:r>
      <w:r w:rsidR="00A71F8C" w:rsidRPr="00CD59CC">
        <w:rPr>
          <w:rFonts w:ascii="Arial" w:hAnsi="Arial" w:cs="Arial"/>
        </w:rPr>
        <w:t>(and</w:t>
      </w:r>
      <w:r w:rsidR="007B7640" w:rsidRPr="00CD59CC">
        <w:rPr>
          <w:rFonts w:ascii="Arial" w:hAnsi="Arial" w:cs="Arial"/>
        </w:rPr>
        <w:t xml:space="preserve"> </w:t>
      </w:r>
      <w:r w:rsidR="00A71F8C" w:rsidRPr="00CD59CC">
        <w:rPr>
          <w:rFonts w:ascii="Arial" w:hAnsi="Arial" w:cs="Arial"/>
        </w:rPr>
        <w:t>obligation)</w:t>
      </w:r>
      <w:r w:rsidR="007B7640" w:rsidRPr="00CD59CC">
        <w:rPr>
          <w:rFonts w:ascii="Arial" w:hAnsi="Arial" w:cs="Arial"/>
        </w:rPr>
        <w:t xml:space="preserve"> </w:t>
      </w:r>
      <w:r w:rsidR="00A71F8C" w:rsidRPr="00CD59CC">
        <w:rPr>
          <w:rFonts w:ascii="Arial" w:hAnsi="Arial" w:cs="Arial"/>
        </w:rPr>
        <w:t>to</w:t>
      </w:r>
      <w:r w:rsidR="007B7640" w:rsidRPr="00CD59CC">
        <w:rPr>
          <w:rFonts w:ascii="Arial" w:hAnsi="Arial" w:cs="Arial"/>
        </w:rPr>
        <w:t xml:space="preserve"> </w:t>
      </w:r>
      <w:r w:rsidR="00A71F8C" w:rsidRPr="00CD59CC">
        <w:rPr>
          <w:rFonts w:ascii="Arial" w:hAnsi="Arial" w:cs="Arial"/>
        </w:rPr>
        <w:t>take</w:t>
      </w:r>
      <w:r w:rsidR="007B7640" w:rsidRPr="00CD59CC">
        <w:rPr>
          <w:rFonts w:ascii="Arial" w:hAnsi="Arial" w:cs="Arial"/>
        </w:rPr>
        <w:t xml:space="preserve"> </w:t>
      </w:r>
      <w:r w:rsidR="00A71F8C" w:rsidRPr="00CD59CC">
        <w:rPr>
          <w:rFonts w:ascii="Arial" w:hAnsi="Arial" w:cs="Arial"/>
        </w:rPr>
        <w:t>into</w:t>
      </w:r>
      <w:r w:rsidR="007B7640" w:rsidRPr="00CD59CC">
        <w:rPr>
          <w:rFonts w:ascii="Arial" w:hAnsi="Arial" w:cs="Arial"/>
        </w:rPr>
        <w:t xml:space="preserve"> </w:t>
      </w:r>
      <w:r w:rsidR="00A71F8C" w:rsidRPr="00CD59CC">
        <w:rPr>
          <w:rFonts w:ascii="Arial" w:hAnsi="Arial" w:cs="Arial"/>
        </w:rPr>
        <w:t>account</w:t>
      </w:r>
      <w:r w:rsidR="007B7640" w:rsidRPr="00CD59CC">
        <w:rPr>
          <w:rFonts w:ascii="Arial" w:hAnsi="Arial" w:cs="Arial"/>
        </w:rPr>
        <w:t xml:space="preserve"> </w:t>
      </w:r>
      <w:r w:rsidR="00A71F8C" w:rsidRPr="00CD59CC">
        <w:rPr>
          <w:rFonts w:ascii="Arial" w:hAnsi="Arial" w:cs="Arial"/>
        </w:rPr>
        <w:t>all</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specific</w:t>
      </w:r>
      <w:r w:rsidR="007B7640" w:rsidRPr="00CD59CC">
        <w:rPr>
          <w:rFonts w:ascii="Arial" w:hAnsi="Arial" w:cs="Arial"/>
        </w:rPr>
        <w:t xml:space="preserve"> </w:t>
      </w:r>
      <w:r w:rsidR="00A71F8C" w:rsidRPr="00CD59CC">
        <w:rPr>
          <w:rFonts w:ascii="Arial" w:hAnsi="Arial" w:cs="Arial"/>
        </w:rPr>
        <w:t>accessibility</w:t>
      </w:r>
      <w:r w:rsidR="007B7640" w:rsidRPr="00CD59CC">
        <w:rPr>
          <w:rFonts w:ascii="Arial" w:hAnsi="Arial" w:cs="Arial"/>
        </w:rPr>
        <w:t xml:space="preserve"> </w:t>
      </w:r>
      <w:r w:rsidR="00A71F8C" w:rsidRPr="00CD59CC">
        <w:rPr>
          <w:rFonts w:ascii="Arial" w:hAnsi="Arial" w:cs="Arial"/>
        </w:rPr>
        <w:t>needs</w:t>
      </w:r>
      <w:r w:rsidR="007B7640" w:rsidRPr="00CD59CC">
        <w:rPr>
          <w:rFonts w:ascii="Arial" w:hAnsi="Arial" w:cs="Arial"/>
        </w:rPr>
        <w:t xml:space="preserve"> </w:t>
      </w:r>
      <w:r w:rsidR="00A71F8C" w:rsidRPr="00CD59CC">
        <w:rPr>
          <w:rFonts w:ascii="Arial" w:hAnsi="Arial" w:cs="Arial"/>
        </w:rPr>
        <w:t>of</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different</w:t>
      </w:r>
      <w:r w:rsidR="007B7640" w:rsidRPr="00CD59CC">
        <w:rPr>
          <w:rFonts w:ascii="Arial" w:hAnsi="Arial" w:cs="Arial"/>
        </w:rPr>
        <w:t xml:space="preserve"> </w:t>
      </w:r>
      <w:r w:rsidR="00A71F8C" w:rsidRPr="00CD59CC">
        <w:rPr>
          <w:rFonts w:ascii="Arial" w:hAnsi="Arial" w:cs="Arial"/>
        </w:rPr>
        <w:t>groups</w:t>
      </w:r>
      <w:r w:rsidR="007B7640" w:rsidRPr="00CD59CC">
        <w:rPr>
          <w:rFonts w:ascii="Arial" w:hAnsi="Arial" w:cs="Arial"/>
        </w:rPr>
        <w:t xml:space="preserve"> </w:t>
      </w:r>
      <w:r w:rsidR="00A71F8C" w:rsidRPr="00CD59CC">
        <w:rPr>
          <w:rFonts w:ascii="Arial" w:hAnsi="Arial" w:cs="Arial"/>
        </w:rPr>
        <w:t>with</w:t>
      </w:r>
      <w:r w:rsidR="007B7640" w:rsidRPr="00CD59CC">
        <w:rPr>
          <w:rFonts w:ascii="Arial" w:hAnsi="Arial" w:cs="Arial"/>
        </w:rPr>
        <w:t xml:space="preserve"> </w:t>
      </w:r>
      <w:r w:rsidR="00A71F8C" w:rsidRPr="00CD59CC">
        <w:rPr>
          <w:rFonts w:ascii="Arial" w:hAnsi="Arial" w:cs="Arial"/>
        </w:rPr>
        <w:t>disabilities,</w:t>
      </w:r>
      <w:r w:rsidR="007B7640" w:rsidRPr="00CD59CC">
        <w:rPr>
          <w:rFonts w:ascii="Arial" w:hAnsi="Arial" w:cs="Arial"/>
        </w:rPr>
        <w:t xml:space="preserve"> </w:t>
      </w:r>
      <w:r w:rsidR="00A71F8C" w:rsidRPr="00CD59CC">
        <w:rPr>
          <w:rFonts w:ascii="Arial" w:hAnsi="Arial" w:cs="Arial"/>
        </w:rPr>
        <w:t>and</w:t>
      </w:r>
      <w:r w:rsidR="007B7640" w:rsidRPr="00CD59CC">
        <w:rPr>
          <w:rFonts w:ascii="Arial" w:hAnsi="Arial" w:cs="Arial"/>
        </w:rPr>
        <w:t xml:space="preserve"> </w:t>
      </w:r>
      <w:r w:rsidR="00A71F8C" w:rsidRPr="00CD59CC">
        <w:rPr>
          <w:rFonts w:ascii="Arial" w:hAnsi="Arial" w:cs="Arial"/>
        </w:rPr>
        <w:t>if</w:t>
      </w:r>
      <w:r w:rsidR="007B7640" w:rsidRPr="00CD59CC">
        <w:rPr>
          <w:rFonts w:ascii="Arial" w:hAnsi="Arial" w:cs="Arial"/>
        </w:rPr>
        <w:t xml:space="preserve"> </w:t>
      </w:r>
      <w:r w:rsidR="00A71F8C" w:rsidRPr="00CD59CC">
        <w:rPr>
          <w:rFonts w:ascii="Arial" w:hAnsi="Arial" w:cs="Arial"/>
        </w:rPr>
        <w:t>it</w:t>
      </w:r>
      <w:r w:rsidR="007B7640" w:rsidRPr="00CD59CC">
        <w:rPr>
          <w:rFonts w:ascii="Arial" w:hAnsi="Arial" w:cs="Arial"/>
        </w:rPr>
        <w:t xml:space="preserve"> </w:t>
      </w:r>
      <w:r w:rsidR="00A71F8C" w:rsidRPr="00CD59CC">
        <w:rPr>
          <w:rFonts w:ascii="Arial" w:hAnsi="Arial" w:cs="Arial"/>
        </w:rPr>
        <w:t>had</w:t>
      </w:r>
      <w:r w:rsidR="007B7640" w:rsidRPr="00CD59CC">
        <w:rPr>
          <w:rFonts w:ascii="Arial" w:hAnsi="Arial" w:cs="Arial"/>
        </w:rPr>
        <w:t xml:space="preserve"> </w:t>
      </w:r>
      <w:r w:rsidR="00A71F8C" w:rsidRPr="00CD59CC">
        <w:rPr>
          <w:rFonts w:ascii="Arial" w:hAnsi="Arial" w:cs="Arial"/>
        </w:rPr>
        <w:t>complied</w:t>
      </w:r>
      <w:r w:rsidR="007B7640" w:rsidRPr="00CD59CC">
        <w:rPr>
          <w:rFonts w:ascii="Arial" w:hAnsi="Arial" w:cs="Arial"/>
        </w:rPr>
        <w:t xml:space="preserve"> </w:t>
      </w:r>
      <w:r w:rsidR="00A71F8C" w:rsidRPr="00CD59CC">
        <w:rPr>
          <w:rFonts w:ascii="Arial" w:hAnsi="Arial" w:cs="Arial"/>
        </w:rPr>
        <w:t>with</w:t>
      </w:r>
      <w:r w:rsidR="007B7640" w:rsidRPr="00CD59CC">
        <w:rPr>
          <w:rFonts w:ascii="Arial" w:hAnsi="Arial" w:cs="Arial"/>
        </w:rPr>
        <w:t xml:space="preserve"> </w:t>
      </w:r>
      <w:r w:rsidR="00A71F8C" w:rsidRPr="00CD59CC">
        <w:rPr>
          <w:rFonts w:ascii="Arial" w:hAnsi="Arial" w:cs="Arial"/>
        </w:rPr>
        <w:t>this</w:t>
      </w:r>
      <w:r w:rsidR="007B7640" w:rsidRPr="00CD59CC">
        <w:rPr>
          <w:rFonts w:ascii="Arial" w:hAnsi="Arial" w:cs="Arial"/>
        </w:rPr>
        <w:t xml:space="preserve"> </w:t>
      </w:r>
      <w:r w:rsidR="00A71F8C" w:rsidRPr="00CD59CC">
        <w:rPr>
          <w:rFonts w:ascii="Arial" w:hAnsi="Arial" w:cs="Arial"/>
        </w:rPr>
        <w:t>obligation,</w:t>
      </w:r>
      <w:r w:rsidR="007B7640" w:rsidRPr="00CD59CC">
        <w:rPr>
          <w:rFonts w:ascii="Arial" w:hAnsi="Arial" w:cs="Arial"/>
        </w:rPr>
        <w:t xml:space="preserve"> </w:t>
      </w:r>
      <w:r w:rsidR="00A71F8C" w:rsidRPr="00CD59CC">
        <w:rPr>
          <w:rFonts w:ascii="Arial" w:hAnsi="Arial" w:cs="Arial"/>
        </w:rPr>
        <w:t>no</w:t>
      </w:r>
      <w:r w:rsidR="007B7640" w:rsidRPr="00CD59CC">
        <w:rPr>
          <w:rFonts w:ascii="Arial" w:hAnsi="Arial" w:cs="Arial"/>
        </w:rPr>
        <w:t xml:space="preserve"> </w:t>
      </w:r>
      <w:r w:rsidR="00A71F8C" w:rsidRPr="00CD59CC">
        <w:rPr>
          <w:rFonts w:ascii="Arial" w:hAnsi="Arial" w:cs="Arial"/>
        </w:rPr>
        <w:t>further</w:t>
      </w:r>
      <w:r w:rsidR="007B7640" w:rsidRPr="00CD59CC">
        <w:rPr>
          <w:rFonts w:ascii="Arial" w:hAnsi="Arial" w:cs="Arial"/>
        </w:rPr>
        <w:t xml:space="preserve"> </w:t>
      </w:r>
      <w:r w:rsidR="00A71F8C" w:rsidRPr="00CD59CC">
        <w:rPr>
          <w:rFonts w:ascii="Arial" w:hAnsi="Arial" w:cs="Arial"/>
        </w:rPr>
        <w:t>reconstructions</w:t>
      </w:r>
      <w:r w:rsidR="007B7640" w:rsidRPr="00CD59CC">
        <w:rPr>
          <w:rFonts w:ascii="Arial" w:hAnsi="Arial" w:cs="Arial"/>
        </w:rPr>
        <w:t xml:space="preserve"> </w:t>
      </w:r>
      <w:r w:rsidR="00A71F8C" w:rsidRPr="00CD59CC">
        <w:rPr>
          <w:rFonts w:ascii="Arial" w:hAnsi="Arial" w:cs="Arial"/>
        </w:rPr>
        <w:t>would</w:t>
      </w:r>
      <w:r w:rsidR="007B7640" w:rsidRPr="00CD59CC">
        <w:rPr>
          <w:rFonts w:ascii="Arial" w:hAnsi="Arial" w:cs="Arial"/>
        </w:rPr>
        <w:t xml:space="preserve"> </w:t>
      </w:r>
      <w:r w:rsidR="00A71F8C" w:rsidRPr="00CD59CC">
        <w:rPr>
          <w:rFonts w:ascii="Arial" w:hAnsi="Arial" w:cs="Arial"/>
        </w:rPr>
        <w:t>be</w:t>
      </w:r>
      <w:r w:rsidR="007B7640" w:rsidRPr="00CD59CC">
        <w:rPr>
          <w:rFonts w:ascii="Arial" w:hAnsi="Arial" w:cs="Arial"/>
        </w:rPr>
        <w:t xml:space="preserve"> </w:t>
      </w:r>
      <w:r w:rsidR="00A71F8C" w:rsidRPr="00CD59CC">
        <w:rPr>
          <w:rFonts w:ascii="Arial" w:hAnsi="Arial" w:cs="Arial"/>
        </w:rPr>
        <w:t>needed.</w:t>
      </w:r>
      <w:r w:rsidR="007B7640" w:rsidRPr="00CD59CC">
        <w:rPr>
          <w:rFonts w:ascii="Arial" w:hAnsi="Arial" w:cs="Arial"/>
        </w:rPr>
        <w:t xml:space="preserve"> </w:t>
      </w:r>
      <w:r w:rsidR="00A71F8C" w:rsidRPr="00CD59CC">
        <w:rPr>
          <w:rFonts w:ascii="Arial" w:hAnsi="Arial" w:cs="Arial"/>
        </w:rPr>
        <w:t>So</w:t>
      </w:r>
      <w:r w:rsidR="007B7640" w:rsidRPr="00CD59CC">
        <w:rPr>
          <w:rFonts w:ascii="Arial" w:hAnsi="Arial" w:cs="Arial"/>
        </w:rPr>
        <w:t xml:space="preserve"> </w:t>
      </w:r>
      <w:r w:rsidR="00A71F8C" w:rsidRPr="00CD59CC">
        <w:rPr>
          <w:rFonts w:ascii="Arial" w:hAnsi="Arial" w:cs="Arial"/>
        </w:rPr>
        <w:t>in</w:t>
      </w:r>
      <w:r w:rsidR="007B7640" w:rsidRPr="00CD59CC">
        <w:rPr>
          <w:rFonts w:ascii="Arial" w:hAnsi="Arial" w:cs="Arial"/>
        </w:rPr>
        <w:t xml:space="preserve"> </w:t>
      </w:r>
      <w:r w:rsidR="00A71F8C" w:rsidRPr="00CD59CC">
        <w:rPr>
          <w:rFonts w:ascii="Arial" w:hAnsi="Arial" w:cs="Arial"/>
        </w:rPr>
        <w:t>a</w:t>
      </w:r>
      <w:r w:rsidR="007B7640" w:rsidRPr="00CD59CC">
        <w:rPr>
          <w:rFonts w:ascii="Arial" w:hAnsi="Arial" w:cs="Arial"/>
        </w:rPr>
        <w:t xml:space="preserve"> </w:t>
      </w:r>
      <w:r w:rsidR="00A71F8C" w:rsidRPr="00CD59CC">
        <w:rPr>
          <w:rFonts w:ascii="Arial" w:hAnsi="Arial" w:cs="Arial"/>
        </w:rPr>
        <w:t>sense</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Curia</w:t>
      </w:r>
      <w:r w:rsidR="007B7640" w:rsidRPr="00CD59CC">
        <w:rPr>
          <w:rFonts w:ascii="Arial" w:hAnsi="Arial" w:cs="Arial"/>
        </w:rPr>
        <w:t xml:space="preserve"> </w:t>
      </w:r>
      <w:r w:rsidR="00A71F8C" w:rsidRPr="00CD59CC">
        <w:rPr>
          <w:rFonts w:ascii="Arial" w:hAnsi="Arial" w:cs="Arial"/>
        </w:rPr>
        <w:t>exempted</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defendant</w:t>
      </w:r>
      <w:r w:rsidR="007B7640" w:rsidRPr="00CD59CC">
        <w:rPr>
          <w:rFonts w:ascii="Arial" w:hAnsi="Arial" w:cs="Arial"/>
        </w:rPr>
        <w:t xml:space="preserve"> </w:t>
      </w:r>
      <w:r w:rsidR="00A71F8C" w:rsidRPr="00CD59CC">
        <w:rPr>
          <w:rFonts w:ascii="Arial" w:hAnsi="Arial" w:cs="Arial"/>
        </w:rPr>
        <w:t>on</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basis</w:t>
      </w:r>
      <w:r w:rsidR="007B7640" w:rsidRPr="00CD59CC">
        <w:rPr>
          <w:rFonts w:ascii="Arial" w:hAnsi="Arial" w:cs="Arial"/>
        </w:rPr>
        <w:t xml:space="preserve"> </w:t>
      </w:r>
      <w:r w:rsidR="00A71F8C" w:rsidRPr="00CD59CC">
        <w:rPr>
          <w:rFonts w:ascii="Arial" w:hAnsi="Arial" w:cs="Arial"/>
        </w:rPr>
        <w:t>of</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defendant’s</w:t>
      </w:r>
      <w:r w:rsidR="007B7640" w:rsidRPr="00CD59CC">
        <w:rPr>
          <w:rFonts w:ascii="Arial" w:hAnsi="Arial" w:cs="Arial"/>
        </w:rPr>
        <w:t xml:space="preserve"> </w:t>
      </w:r>
      <w:r w:rsidR="00A71F8C" w:rsidRPr="00CD59CC">
        <w:rPr>
          <w:rFonts w:ascii="Arial" w:hAnsi="Arial" w:cs="Arial"/>
        </w:rPr>
        <w:t>own</w:t>
      </w:r>
      <w:r w:rsidR="007B7640" w:rsidRPr="00CD59CC">
        <w:rPr>
          <w:rFonts w:ascii="Arial" w:hAnsi="Arial" w:cs="Arial"/>
        </w:rPr>
        <w:t xml:space="preserve"> </w:t>
      </w:r>
      <w:r w:rsidR="00A71F8C" w:rsidRPr="00CD59CC">
        <w:rPr>
          <w:rFonts w:ascii="Arial" w:hAnsi="Arial" w:cs="Arial"/>
        </w:rPr>
        <w:t>failure</w:t>
      </w:r>
      <w:r w:rsidR="007B7640" w:rsidRPr="00CD59CC">
        <w:rPr>
          <w:rFonts w:ascii="Arial" w:hAnsi="Arial" w:cs="Arial"/>
        </w:rPr>
        <w:t xml:space="preserve"> </w:t>
      </w:r>
      <w:r w:rsidR="00A71F8C" w:rsidRPr="00CD59CC">
        <w:rPr>
          <w:rFonts w:ascii="Arial" w:hAnsi="Arial" w:cs="Arial"/>
        </w:rPr>
        <w:t>to</w:t>
      </w:r>
      <w:r w:rsidR="007B7640" w:rsidRPr="00CD59CC">
        <w:rPr>
          <w:rFonts w:ascii="Arial" w:hAnsi="Arial" w:cs="Arial"/>
        </w:rPr>
        <w:t xml:space="preserve"> </w:t>
      </w:r>
      <w:r w:rsidR="00A71F8C" w:rsidRPr="00CD59CC">
        <w:rPr>
          <w:rFonts w:ascii="Arial" w:hAnsi="Arial" w:cs="Arial"/>
        </w:rPr>
        <w:t>abide</w:t>
      </w:r>
      <w:r w:rsidR="007B7640" w:rsidRPr="00CD59CC">
        <w:rPr>
          <w:rFonts w:ascii="Arial" w:hAnsi="Arial" w:cs="Arial"/>
        </w:rPr>
        <w:t xml:space="preserve"> </w:t>
      </w:r>
      <w:r w:rsidR="00A71F8C" w:rsidRPr="00CD59CC">
        <w:rPr>
          <w:rFonts w:ascii="Arial" w:hAnsi="Arial" w:cs="Arial"/>
        </w:rPr>
        <w:t>by</w:t>
      </w:r>
      <w:r w:rsidR="007B7640" w:rsidRPr="00CD59CC">
        <w:rPr>
          <w:rFonts w:ascii="Arial" w:hAnsi="Arial" w:cs="Arial"/>
        </w:rPr>
        <w:t xml:space="preserve"> </w:t>
      </w:r>
      <w:r w:rsidR="00A71F8C" w:rsidRPr="00CD59CC">
        <w:rPr>
          <w:rFonts w:ascii="Arial" w:hAnsi="Arial" w:cs="Arial"/>
        </w:rPr>
        <w:t>the</w:t>
      </w:r>
      <w:r w:rsidR="007B7640" w:rsidRPr="00CD59CC">
        <w:rPr>
          <w:rFonts w:ascii="Arial" w:hAnsi="Arial" w:cs="Arial"/>
        </w:rPr>
        <w:t xml:space="preserve"> </w:t>
      </w:r>
      <w:r w:rsidR="00A71F8C" w:rsidRPr="00CD59CC">
        <w:rPr>
          <w:rFonts w:ascii="Arial" w:hAnsi="Arial" w:cs="Arial"/>
        </w:rPr>
        <w:t>pertaining</w:t>
      </w:r>
      <w:r w:rsidR="007B7640" w:rsidRPr="00CD59CC">
        <w:rPr>
          <w:rFonts w:ascii="Arial" w:hAnsi="Arial" w:cs="Arial"/>
        </w:rPr>
        <w:t xml:space="preserve"> </w:t>
      </w:r>
      <w:r w:rsidR="00A71F8C" w:rsidRPr="00CD59CC">
        <w:rPr>
          <w:rFonts w:ascii="Arial" w:hAnsi="Arial" w:cs="Arial"/>
        </w:rPr>
        <w:t>legal</w:t>
      </w:r>
      <w:r w:rsidR="007B7640" w:rsidRPr="00CD59CC">
        <w:rPr>
          <w:rFonts w:ascii="Arial" w:hAnsi="Arial" w:cs="Arial"/>
        </w:rPr>
        <w:t xml:space="preserve"> </w:t>
      </w:r>
      <w:r w:rsidR="00A71F8C" w:rsidRPr="00CD59CC">
        <w:rPr>
          <w:rFonts w:ascii="Arial" w:hAnsi="Arial" w:cs="Arial"/>
        </w:rPr>
        <w:t>norms.</w:t>
      </w:r>
      <w:r w:rsidR="007B7640" w:rsidRPr="00CD59CC">
        <w:rPr>
          <w:rFonts w:ascii="Arial" w:hAnsi="Arial" w:cs="Arial"/>
        </w:rPr>
        <w:t xml:space="preserve"> </w:t>
      </w:r>
    </w:p>
    <w:p w14:paraId="7D2355AE" w14:textId="77777777" w:rsidR="00C7608B" w:rsidRPr="00CD59CC" w:rsidRDefault="00C7608B" w:rsidP="00CD59CC">
      <w:pPr>
        <w:rPr>
          <w:rFonts w:ascii="Arial" w:hAnsi="Arial" w:cs="Arial"/>
        </w:rPr>
      </w:pPr>
    </w:p>
    <w:p w14:paraId="0059BE6B" w14:textId="65EAA621" w:rsidR="00FD3C9E" w:rsidRPr="00CD59CC" w:rsidRDefault="009F31F6"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transportation</w:t>
      </w:r>
      <w:r w:rsidR="007B7640" w:rsidRPr="00CD59CC">
        <w:rPr>
          <w:rFonts w:ascii="Arial" w:hAnsi="Arial" w:cs="Arial"/>
        </w:rPr>
        <w:t xml:space="preserve"> </w:t>
      </w:r>
      <w:r w:rsidRPr="00CD59CC">
        <w:rPr>
          <w:rFonts w:ascii="Arial" w:hAnsi="Arial" w:cs="Arial"/>
        </w:rPr>
        <w:t>matters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further</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pointed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w</w:t>
      </w:r>
      <w:r w:rsidR="006C29E1" w:rsidRPr="00CD59CC">
        <w:rPr>
          <w:rFonts w:ascii="Arial" w:hAnsi="Arial" w:cs="Arial"/>
        </w:rPr>
        <w:t>hile</w:t>
      </w:r>
      <w:r w:rsidR="007B7640" w:rsidRPr="00CD59CC">
        <w:rPr>
          <w:rFonts w:ascii="Arial" w:hAnsi="Arial" w:cs="Arial"/>
        </w:rPr>
        <w:t xml:space="preserve"> </w:t>
      </w:r>
      <w:r w:rsidR="006C29E1" w:rsidRPr="00CD59CC">
        <w:rPr>
          <w:rFonts w:ascii="Arial" w:hAnsi="Arial" w:cs="Arial"/>
        </w:rPr>
        <w:t>the</w:t>
      </w:r>
      <w:r w:rsidR="007B7640" w:rsidRPr="00CD59CC">
        <w:rPr>
          <w:rFonts w:ascii="Arial" w:hAnsi="Arial" w:cs="Arial"/>
        </w:rPr>
        <w:t xml:space="preserve"> </w:t>
      </w:r>
      <w:r w:rsidR="006C29E1" w:rsidRPr="00CD59CC">
        <w:rPr>
          <w:rFonts w:ascii="Arial" w:hAnsi="Arial" w:cs="Arial"/>
        </w:rPr>
        <w:t>latest</w:t>
      </w:r>
      <w:r w:rsidR="007B7640" w:rsidRPr="00CD59CC">
        <w:rPr>
          <w:rFonts w:ascii="Arial" w:hAnsi="Arial" w:cs="Arial"/>
        </w:rPr>
        <w:t xml:space="preserve"> </w:t>
      </w:r>
      <w:r w:rsidR="006C29E1" w:rsidRPr="00CD59CC">
        <w:rPr>
          <w:rFonts w:ascii="Arial" w:hAnsi="Arial" w:cs="Arial"/>
        </w:rPr>
        <w:t>amendment</w:t>
      </w:r>
      <w:r w:rsidR="007B7640" w:rsidRPr="00CD59CC">
        <w:rPr>
          <w:rFonts w:ascii="Arial" w:hAnsi="Arial" w:cs="Arial"/>
        </w:rPr>
        <w:t xml:space="preserve"> </w:t>
      </w:r>
      <w:r w:rsidR="006C29E1" w:rsidRPr="00CD59CC">
        <w:rPr>
          <w:rFonts w:ascii="Arial" w:hAnsi="Arial" w:cs="Arial"/>
        </w:rPr>
        <w:t>of</w:t>
      </w:r>
      <w:r w:rsidR="007B7640" w:rsidRPr="00CD59CC">
        <w:rPr>
          <w:rFonts w:ascii="Arial" w:hAnsi="Arial" w:cs="Arial"/>
        </w:rPr>
        <w:t xml:space="preserve"> </w:t>
      </w:r>
      <w:r w:rsidR="006C29E1" w:rsidRPr="00CD59CC">
        <w:rPr>
          <w:rFonts w:ascii="Arial" w:hAnsi="Arial" w:cs="Arial"/>
        </w:rPr>
        <w:t>the</w:t>
      </w:r>
      <w:r w:rsidR="007B7640" w:rsidRPr="00CD59CC">
        <w:rPr>
          <w:rFonts w:ascii="Arial" w:hAnsi="Arial" w:cs="Arial"/>
        </w:rPr>
        <w:t xml:space="preserve"> </w:t>
      </w:r>
      <w:r w:rsidR="006C29E1" w:rsidRPr="00CD59CC">
        <w:rPr>
          <w:rFonts w:ascii="Arial" w:hAnsi="Arial" w:cs="Arial"/>
        </w:rPr>
        <w:t>RPD</w:t>
      </w:r>
      <w:r w:rsidR="007B7640" w:rsidRPr="00CD59CC">
        <w:rPr>
          <w:rFonts w:ascii="Arial" w:hAnsi="Arial" w:cs="Arial"/>
        </w:rPr>
        <w:t xml:space="preserve"> </w:t>
      </w:r>
      <w:r w:rsidR="006C29E1" w:rsidRPr="00CD59CC">
        <w:rPr>
          <w:rFonts w:ascii="Arial" w:hAnsi="Arial" w:cs="Arial"/>
        </w:rPr>
        <w:t>Act</w:t>
      </w:r>
      <w:r w:rsidR="007B7640" w:rsidRPr="00CD59CC">
        <w:rPr>
          <w:rFonts w:ascii="Arial" w:hAnsi="Arial" w:cs="Arial"/>
        </w:rPr>
        <w:t xml:space="preserve"> </w:t>
      </w:r>
      <w:r w:rsidR="006C29E1" w:rsidRPr="00CD59CC">
        <w:rPr>
          <w:rFonts w:ascii="Arial" w:hAnsi="Arial" w:cs="Arial"/>
        </w:rPr>
        <w:t>seems</w:t>
      </w:r>
      <w:r w:rsidR="007B7640" w:rsidRPr="00CD59CC">
        <w:rPr>
          <w:rFonts w:ascii="Arial" w:hAnsi="Arial" w:cs="Arial"/>
        </w:rPr>
        <w:t xml:space="preserve"> </w:t>
      </w:r>
      <w:r w:rsidR="006C29E1" w:rsidRPr="00CD59CC">
        <w:rPr>
          <w:rFonts w:ascii="Arial" w:hAnsi="Arial" w:cs="Arial"/>
        </w:rPr>
        <w:t>to</w:t>
      </w:r>
      <w:r w:rsidR="007B7640" w:rsidRPr="00CD59CC">
        <w:rPr>
          <w:rFonts w:ascii="Arial" w:hAnsi="Arial" w:cs="Arial"/>
        </w:rPr>
        <w:t xml:space="preserve"> </w:t>
      </w:r>
      <w:r w:rsidR="006C29E1" w:rsidRPr="00CD59CC">
        <w:rPr>
          <w:rFonts w:ascii="Arial" w:hAnsi="Arial" w:cs="Arial"/>
        </w:rPr>
        <w:t>have</w:t>
      </w:r>
      <w:r w:rsidR="007B7640" w:rsidRPr="00CD59CC">
        <w:rPr>
          <w:rFonts w:ascii="Arial" w:hAnsi="Arial" w:cs="Arial"/>
        </w:rPr>
        <w:t xml:space="preserve"> </w:t>
      </w:r>
      <w:r w:rsidR="006C29E1" w:rsidRPr="00CD59CC">
        <w:rPr>
          <w:rFonts w:ascii="Arial" w:hAnsi="Arial" w:cs="Arial"/>
        </w:rPr>
        <w:t>put</w:t>
      </w:r>
      <w:r w:rsidR="007B7640" w:rsidRPr="00CD59CC">
        <w:rPr>
          <w:rFonts w:ascii="Arial" w:hAnsi="Arial" w:cs="Arial"/>
        </w:rPr>
        <w:t xml:space="preserve"> </w:t>
      </w:r>
      <w:r w:rsidR="006C29E1" w:rsidRPr="00CD59CC">
        <w:rPr>
          <w:rFonts w:ascii="Arial" w:hAnsi="Arial" w:cs="Arial"/>
        </w:rPr>
        <w:t>an</w:t>
      </w:r>
      <w:r w:rsidR="007B7640" w:rsidRPr="00CD59CC">
        <w:rPr>
          <w:rFonts w:ascii="Arial" w:hAnsi="Arial" w:cs="Arial"/>
        </w:rPr>
        <w:t xml:space="preserve"> </w:t>
      </w:r>
      <w:r w:rsidR="006C29E1" w:rsidRPr="00CD59CC">
        <w:rPr>
          <w:rFonts w:ascii="Arial" w:hAnsi="Arial" w:cs="Arial"/>
        </w:rPr>
        <w:t>end</w:t>
      </w:r>
      <w:r w:rsidR="007B7640" w:rsidRPr="00CD59CC">
        <w:rPr>
          <w:rFonts w:ascii="Arial" w:hAnsi="Arial" w:cs="Arial"/>
        </w:rPr>
        <w:t xml:space="preserve"> </w:t>
      </w:r>
      <w:r w:rsidR="006C29E1" w:rsidRPr="00CD59CC">
        <w:rPr>
          <w:rFonts w:ascii="Arial" w:hAnsi="Arial" w:cs="Arial"/>
        </w:rPr>
        <w:t>to</w:t>
      </w:r>
      <w:r w:rsidR="007B7640" w:rsidRPr="00CD59CC">
        <w:rPr>
          <w:rFonts w:ascii="Arial" w:hAnsi="Arial" w:cs="Arial"/>
        </w:rPr>
        <w:t xml:space="preserve"> </w:t>
      </w:r>
      <w:r w:rsidR="006C29E1" w:rsidRPr="00CD59CC">
        <w:rPr>
          <w:rFonts w:ascii="Arial" w:hAnsi="Arial" w:cs="Arial"/>
        </w:rPr>
        <w:t>the</w:t>
      </w:r>
      <w:r w:rsidR="007B7640" w:rsidRPr="00CD59CC">
        <w:rPr>
          <w:rFonts w:ascii="Arial" w:hAnsi="Arial" w:cs="Arial"/>
        </w:rPr>
        <w:t xml:space="preserve"> </w:t>
      </w:r>
      <w:r w:rsidR="006C29E1" w:rsidRPr="00CD59CC">
        <w:rPr>
          <w:rFonts w:ascii="Arial" w:hAnsi="Arial" w:cs="Arial"/>
        </w:rPr>
        <w:t>practice</w:t>
      </w:r>
      <w:r w:rsidR="007B7640" w:rsidRPr="00CD59CC">
        <w:rPr>
          <w:rFonts w:ascii="Arial" w:hAnsi="Arial" w:cs="Arial"/>
        </w:rPr>
        <w:t xml:space="preserve"> </w:t>
      </w:r>
      <w:r w:rsidR="006C29E1" w:rsidRPr="00CD59CC">
        <w:rPr>
          <w:rFonts w:ascii="Arial" w:hAnsi="Arial" w:cs="Arial"/>
        </w:rPr>
        <w:t>of</w:t>
      </w:r>
      <w:r w:rsidR="007B7640" w:rsidRPr="00CD59CC">
        <w:rPr>
          <w:rFonts w:ascii="Arial" w:hAnsi="Arial" w:cs="Arial"/>
        </w:rPr>
        <w:t xml:space="preserve"> </w:t>
      </w:r>
      <w:r w:rsidR="006C29E1" w:rsidRPr="00CD59CC">
        <w:rPr>
          <w:rFonts w:ascii="Arial" w:hAnsi="Arial" w:cs="Arial"/>
        </w:rPr>
        <w:t>modifying</w:t>
      </w:r>
      <w:r w:rsidR="007B7640" w:rsidRPr="00CD59CC">
        <w:rPr>
          <w:rFonts w:ascii="Arial" w:hAnsi="Arial" w:cs="Arial"/>
        </w:rPr>
        <w:t xml:space="preserve"> </w:t>
      </w:r>
      <w:r w:rsidR="006C29E1" w:rsidRPr="00CD59CC">
        <w:rPr>
          <w:rFonts w:ascii="Arial" w:hAnsi="Arial" w:cs="Arial"/>
        </w:rPr>
        <w:t>deadlines</w:t>
      </w:r>
      <w:r w:rsidR="007B7640" w:rsidRPr="00CD59CC">
        <w:rPr>
          <w:rFonts w:ascii="Arial" w:hAnsi="Arial" w:cs="Arial"/>
        </w:rPr>
        <w:t xml:space="preserve"> </w:t>
      </w:r>
      <w:r w:rsidR="006C29E1" w:rsidRPr="00CD59CC">
        <w:rPr>
          <w:rFonts w:ascii="Arial" w:hAnsi="Arial" w:cs="Arial"/>
        </w:rPr>
        <w:t>for</w:t>
      </w:r>
      <w:r w:rsidR="007B7640" w:rsidRPr="00CD59CC">
        <w:rPr>
          <w:rFonts w:ascii="Arial" w:hAnsi="Arial" w:cs="Arial"/>
        </w:rPr>
        <w:t xml:space="preserve"> </w:t>
      </w:r>
      <w:r w:rsidR="006C29E1" w:rsidRPr="00CD59CC">
        <w:rPr>
          <w:rFonts w:ascii="Arial" w:hAnsi="Arial" w:cs="Arial"/>
        </w:rPr>
        <w:t>the</w:t>
      </w:r>
      <w:r w:rsidR="007B7640" w:rsidRPr="00CD59CC">
        <w:rPr>
          <w:rFonts w:ascii="Arial" w:hAnsi="Arial" w:cs="Arial"/>
        </w:rPr>
        <w:t xml:space="preserve"> </w:t>
      </w:r>
      <w:r w:rsidR="006C29E1" w:rsidRPr="00CD59CC">
        <w:rPr>
          <w:rFonts w:ascii="Arial" w:hAnsi="Arial" w:cs="Arial"/>
        </w:rPr>
        <w:t>provision</w:t>
      </w:r>
      <w:r w:rsidR="007B7640" w:rsidRPr="00CD59CC">
        <w:rPr>
          <w:rFonts w:ascii="Arial" w:hAnsi="Arial" w:cs="Arial"/>
        </w:rPr>
        <w:t xml:space="preserve"> </w:t>
      </w:r>
      <w:r w:rsidR="006C29E1" w:rsidRPr="00CD59CC">
        <w:rPr>
          <w:rFonts w:ascii="Arial" w:hAnsi="Arial" w:cs="Arial"/>
        </w:rPr>
        <w:t>of</w:t>
      </w:r>
      <w:r w:rsidR="007B7640" w:rsidRPr="00CD59CC">
        <w:rPr>
          <w:rFonts w:ascii="Arial" w:hAnsi="Arial" w:cs="Arial"/>
        </w:rPr>
        <w:t xml:space="preserve"> </w:t>
      </w:r>
      <w:r w:rsidR="006C29E1" w:rsidRPr="00CD59CC">
        <w:rPr>
          <w:rFonts w:ascii="Arial" w:hAnsi="Arial" w:cs="Arial"/>
        </w:rPr>
        <w:t>accessibility</w:t>
      </w:r>
      <w:r w:rsidR="007B7640" w:rsidRPr="00CD59CC">
        <w:rPr>
          <w:rFonts w:ascii="Arial" w:hAnsi="Arial" w:cs="Arial"/>
        </w:rPr>
        <w:t xml:space="preserve"> </w:t>
      </w:r>
      <w:r w:rsidR="006C29E1" w:rsidRPr="00CD59CC">
        <w:rPr>
          <w:rFonts w:ascii="Arial" w:hAnsi="Arial" w:cs="Arial"/>
        </w:rPr>
        <w:t>when</w:t>
      </w:r>
      <w:r w:rsidR="007B7640" w:rsidRPr="00CD59CC">
        <w:rPr>
          <w:rFonts w:ascii="Arial" w:hAnsi="Arial" w:cs="Arial"/>
        </w:rPr>
        <w:t xml:space="preserve"> </w:t>
      </w:r>
      <w:r w:rsidR="006C29E1" w:rsidRPr="00CD59CC">
        <w:rPr>
          <w:rFonts w:ascii="Arial" w:hAnsi="Arial" w:cs="Arial"/>
        </w:rPr>
        <w:t>it</w:t>
      </w:r>
      <w:r w:rsidR="007B7640" w:rsidRPr="00CD59CC">
        <w:rPr>
          <w:rFonts w:ascii="Arial" w:hAnsi="Arial" w:cs="Arial"/>
        </w:rPr>
        <w:t xml:space="preserve"> </w:t>
      </w:r>
      <w:r w:rsidR="006C29E1" w:rsidRPr="00CD59CC">
        <w:rPr>
          <w:rFonts w:ascii="Arial" w:hAnsi="Arial" w:cs="Arial"/>
        </w:rPr>
        <w:t>becomes</w:t>
      </w:r>
      <w:r w:rsidR="007B7640" w:rsidRPr="00CD59CC">
        <w:rPr>
          <w:rFonts w:ascii="Arial" w:hAnsi="Arial" w:cs="Arial"/>
        </w:rPr>
        <w:t xml:space="preserve"> </w:t>
      </w:r>
      <w:r w:rsidR="006C29E1" w:rsidRPr="00CD59CC">
        <w:rPr>
          <w:rFonts w:ascii="Arial" w:hAnsi="Arial" w:cs="Arial"/>
        </w:rPr>
        <w:t>obvious</w:t>
      </w:r>
      <w:r w:rsidR="007B7640" w:rsidRPr="00CD59CC">
        <w:rPr>
          <w:rFonts w:ascii="Arial" w:hAnsi="Arial" w:cs="Arial"/>
        </w:rPr>
        <w:t xml:space="preserve"> </w:t>
      </w:r>
      <w:r w:rsidR="006C29E1" w:rsidRPr="00CD59CC">
        <w:rPr>
          <w:rFonts w:ascii="Arial" w:hAnsi="Arial" w:cs="Arial"/>
        </w:rPr>
        <w:t>that</w:t>
      </w:r>
      <w:r w:rsidR="007B7640" w:rsidRPr="00CD59CC">
        <w:rPr>
          <w:rFonts w:ascii="Arial" w:hAnsi="Arial" w:cs="Arial"/>
        </w:rPr>
        <w:t xml:space="preserve"> </w:t>
      </w:r>
      <w:r w:rsidR="006C29E1" w:rsidRPr="00CD59CC">
        <w:rPr>
          <w:rFonts w:ascii="Arial" w:hAnsi="Arial" w:cs="Arial"/>
        </w:rPr>
        <w:t>they</w:t>
      </w:r>
      <w:r w:rsidR="007B7640" w:rsidRPr="00CD59CC">
        <w:rPr>
          <w:rFonts w:ascii="Arial" w:hAnsi="Arial" w:cs="Arial"/>
        </w:rPr>
        <w:t xml:space="preserve"> </w:t>
      </w:r>
      <w:r w:rsidR="006C29E1" w:rsidRPr="00CD59CC">
        <w:rPr>
          <w:rFonts w:ascii="Arial" w:hAnsi="Arial" w:cs="Arial"/>
        </w:rPr>
        <w:t>cannot</w:t>
      </w:r>
      <w:r w:rsidR="007B7640" w:rsidRPr="00CD59CC">
        <w:rPr>
          <w:rFonts w:ascii="Arial" w:hAnsi="Arial" w:cs="Arial"/>
        </w:rPr>
        <w:t xml:space="preserve"> </w:t>
      </w:r>
      <w:r w:rsidR="006C29E1" w:rsidRPr="00CD59CC">
        <w:rPr>
          <w:rFonts w:ascii="Arial" w:hAnsi="Arial" w:cs="Arial"/>
        </w:rPr>
        <w:t>be</w:t>
      </w:r>
      <w:r w:rsidR="007B7640" w:rsidRPr="00CD59CC">
        <w:rPr>
          <w:rFonts w:ascii="Arial" w:hAnsi="Arial" w:cs="Arial"/>
        </w:rPr>
        <w:t xml:space="preserve"> </w:t>
      </w:r>
      <w:r w:rsidR="006C29E1" w:rsidRPr="00CD59CC">
        <w:rPr>
          <w:rFonts w:ascii="Arial" w:hAnsi="Arial" w:cs="Arial"/>
        </w:rPr>
        <w:t>complied</w:t>
      </w:r>
      <w:r w:rsidR="007B7640" w:rsidRPr="00CD59CC">
        <w:rPr>
          <w:rFonts w:ascii="Arial" w:hAnsi="Arial" w:cs="Arial"/>
        </w:rPr>
        <w:t xml:space="preserve"> </w:t>
      </w:r>
      <w:r w:rsidR="006C29E1" w:rsidRPr="00CD59CC">
        <w:rPr>
          <w:rFonts w:ascii="Arial" w:hAnsi="Arial" w:cs="Arial"/>
        </w:rPr>
        <w:t>with</w:t>
      </w:r>
      <w:r w:rsidR="008A36F7" w:rsidRPr="00CD59CC">
        <w:rPr>
          <w:rFonts w:ascii="Arial" w:hAnsi="Arial" w:cs="Arial"/>
        </w:rPr>
        <w: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area</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traffic</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transportation</w:t>
      </w:r>
      <w:r w:rsidR="007B7640" w:rsidRPr="00CD59CC">
        <w:rPr>
          <w:rFonts w:ascii="Arial" w:hAnsi="Arial" w:cs="Arial"/>
        </w:rPr>
        <w:t xml:space="preserve"> </w:t>
      </w:r>
      <w:r w:rsidR="008A36F7" w:rsidRPr="00CD59CC">
        <w:rPr>
          <w:rFonts w:ascii="Arial" w:hAnsi="Arial" w:cs="Arial"/>
        </w:rPr>
        <w:t>a</w:t>
      </w:r>
      <w:r w:rsidR="007B7640" w:rsidRPr="00CD59CC">
        <w:rPr>
          <w:rFonts w:ascii="Arial" w:hAnsi="Arial" w:cs="Arial"/>
        </w:rPr>
        <w:t xml:space="preserve"> </w:t>
      </w:r>
      <w:r w:rsidR="008A36F7" w:rsidRPr="00CD59CC">
        <w:rPr>
          <w:rFonts w:ascii="Arial" w:hAnsi="Arial" w:cs="Arial"/>
        </w:rPr>
        <w:t>different</w:t>
      </w:r>
      <w:r w:rsidR="007B7640" w:rsidRPr="00CD59CC">
        <w:rPr>
          <w:rFonts w:ascii="Arial" w:hAnsi="Arial" w:cs="Arial"/>
        </w:rPr>
        <w:t xml:space="preserve"> </w:t>
      </w:r>
      <w:r w:rsidR="008A36F7" w:rsidRPr="00CD59CC">
        <w:rPr>
          <w:rFonts w:ascii="Arial" w:hAnsi="Arial" w:cs="Arial"/>
        </w:rPr>
        <w:t>approach</w:t>
      </w:r>
      <w:r w:rsidR="007B7640" w:rsidRPr="00CD59CC">
        <w:rPr>
          <w:rFonts w:ascii="Arial" w:hAnsi="Arial" w:cs="Arial"/>
        </w:rPr>
        <w:t xml:space="preserve"> </w:t>
      </w:r>
      <w:r w:rsidR="008A36F7" w:rsidRPr="00CD59CC">
        <w:rPr>
          <w:rFonts w:ascii="Arial" w:hAnsi="Arial" w:cs="Arial"/>
        </w:rPr>
        <w:t>has</w:t>
      </w:r>
      <w:r w:rsidR="007B7640" w:rsidRPr="00CD59CC">
        <w:rPr>
          <w:rFonts w:ascii="Arial" w:hAnsi="Arial" w:cs="Arial"/>
        </w:rPr>
        <w:t xml:space="preserve"> </w:t>
      </w:r>
      <w:r w:rsidR="008A36F7" w:rsidRPr="00CD59CC">
        <w:rPr>
          <w:rFonts w:ascii="Arial" w:hAnsi="Arial" w:cs="Arial"/>
        </w:rPr>
        <w:t>been</w:t>
      </w:r>
      <w:r w:rsidR="007B7640" w:rsidRPr="00CD59CC">
        <w:rPr>
          <w:rFonts w:ascii="Arial" w:hAnsi="Arial" w:cs="Arial"/>
        </w:rPr>
        <w:t xml:space="preserve"> </w:t>
      </w:r>
      <w:r w:rsidR="008A36F7" w:rsidRPr="00CD59CC">
        <w:rPr>
          <w:rFonts w:ascii="Arial" w:hAnsi="Arial" w:cs="Arial"/>
        </w:rPr>
        <w:t>taken</w:t>
      </w:r>
      <w:r w:rsidR="007B7640" w:rsidRPr="00CD59CC">
        <w:rPr>
          <w:rFonts w:ascii="Arial" w:hAnsi="Arial" w:cs="Arial"/>
        </w:rPr>
        <w:t xml:space="preserve"> </w:t>
      </w:r>
      <w:r w:rsidR="008A36F7" w:rsidRPr="00CD59CC">
        <w:rPr>
          <w:rFonts w:ascii="Arial" w:hAnsi="Arial" w:cs="Arial"/>
        </w:rPr>
        <w:t>by</w:t>
      </w:r>
      <w:r w:rsidR="007B7640" w:rsidRPr="00CD59CC">
        <w:rPr>
          <w:rFonts w:ascii="Arial" w:hAnsi="Arial" w:cs="Arial"/>
        </w:rPr>
        <w:t xml:space="preserve"> </w:t>
      </w:r>
      <w:r w:rsidR="008A36F7" w:rsidRPr="00CD59CC">
        <w:rPr>
          <w:rFonts w:ascii="Arial" w:hAnsi="Arial" w:cs="Arial"/>
        </w:rPr>
        <w:t>the</w:t>
      </w:r>
      <w:r w:rsidR="007B7640" w:rsidRPr="00CD59CC">
        <w:rPr>
          <w:rFonts w:ascii="Arial" w:hAnsi="Arial" w:cs="Arial"/>
        </w:rPr>
        <w:t xml:space="preserve"> </w:t>
      </w:r>
      <w:r w:rsidR="008A36F7" w:rsidRPr="00CD59CC">
        <w:rPr>
          <w:rFonts w:ascii="Arial" w:hAnsi="Arial" w:cs="Arial"/>
        </w:rPr>
        <w:t>legislator</w:t>
      </w:r>
      <w:r w:rsidRPr="00CD59CC">
        <w:rPr>
          <w:rFonts w:ascii="Arial" w:hAnsi="Arial" w:cs="Arial"/>
        </w:rPr>
        <w:t>:</w:t>
      </w:r>
      <w:r w:rsidR="007B7640" w:rsidRPr="00CD59CC">
        <w:rPr>
          <w:rFonts w:ascii="Arial" w:hAnsi="Arial" w:cs="Arial"/>
        </w:rPr>
        <w:t xml:space="preserve"> </w:t>
      </w:r>
      <w:r w:rsidR="00FD3C9E" w:rsidRPr="00CD59CC">
        <w:rPr>
          <w:rFonts w:ascii="Arial" w:hAnsi="Arial" w:cs="Arial"/>
        </w:rPr>
        <w:t>Article</w:t>
      </w:r>
      <w:r w:rsidR="007B7640" w:rsidRPr="00CD59CC">
        <w:rPr>
          <w:rFonts w:ascii="Arial" w:hAnsi="Arial" w:cs="Arial"/>
        </w:rPr>
        <w:t xml:space="preserve"> </w:t>
      </w:r>
      <w:r w:rsidR="00FD3C9E" w:rsidRPr="00CD59CC">
        <w:rPr>
          <w:rFonts w:ascii="Arial" w:hAnsi="Arial" w:cs="Arial"/>
        </w:rPr>
        <w:t>51,</w:t>
      </w:r>
      <w:r w:rsidR="007B7640" w:rsidRPr="00CD59CC">
        <w:rPr>
          <w:rFonts w:ascii="Arial" w:hAnsi="Arial" w:cs="Arial"/>
        </w:rPr>
        <w:t xml:space="preserve"> </w:t>
      </w:r>
      <w:r w:rsidR="00FD3C9E" w:rsidRPr="00CD59CC">
        <w:rPr>
          <w:rFonts w:ascii="Arial" w:hAnsi="Arial" w:cs="Arial"/>
        </w:rPr>
        <w:t>Paragraph</w:t>
      </w:r>
      <w:r w:rsidR="007B7640" w:rsidRPr="00CD59CC">
        <w:rPr>
          <w:rFonts w:ascii="Arial" w:hAnsi="Arial" w:cs="Arial"/>
        </w:rPr>
        <w:t xml:space="preserve"> </w:t>
      </w:r>
      <w:r w:rsidR="00FD3C9E" w:rsidRPr="00CD59CC">
        <w:rPr>
          <w:rFonts w:ascii="Arial" w:hAnsi="Arial" w:cs="Arial"/>
        </w:rPr>
        <w:t>(4)</w:t>
      </w:r>
      <w:r w:rsidR="007B7640" w:rsidRPr="00CD59CC">
        <w:rPr>
          <w:rFonts w:ascii="Arial" w:hAnsi="Arial" w:cs="Arial"/>
        </w:rPr>
        <w:t xml:space="preserve"> </w:t>
      </w:r>
      <w:r w:rsidR="00FD3C9E" w:rsidRPr="00CD59CC">
        <w:rPr>
          <w:rFonts w:ascii="Arial" w:hAnsi="Arial" w:cs="Arial"/>
        </w:rPr>
        <w:t>of</w:t>
      </w:r>
      <w:r w:rsidR="007B7640" w:rsidRPr="00CD59CC">
        <w:rPr>
          <w:rFonts w:ascii="Arial" w:hAnsi="Arial" w:cs="Arial"/>
        </w:rPr>
        <w:t xml:space="preserve"> </w:t>
      </w:r>
      <w:r w:rsidR="00FD3C9E" w:rsidRPr="00CD59CC">
        <w:rPr>
          <w:rFonts w:ascii="Arial" w:hAnsi="Arial" w:cs="Arial"/>
        </w:rPr>
        <w:t>Act</w:t>
      </w:r>
      <w:r w:rsidR="007B7640" w:rsidRPr="00CD59CC">
        <w:rPr>
          <w:rFonts w:ascii="Arial" w:hAnsi="Arial" w:cs="Arial"/>
        </w:rPr>
        <w:t xml:space="preserve"> </w:t>
      </w:r>
      <w:r w:rsidR="00FD3C9E" w:rsidRPr="00CD59CC">
        <w:rPr>
          <w:rFonts w:ascii="Arial" w:hAnsi="Arial" w:cs="Arial"/>
        </w:rPr>
        <w:t>XLI</w:t>
      </w:r>
      <w:r w:rsidR="007B7640" w:rsidRPr="00CD59CC">
        <w:rPr>
          <w:rFonts w:ascii="Arial" w:hAnsi="Arial" w:cs="Arial"/>
        </w:rPr>
        <w:t xml:space="preserve"> </w:t>
      </w:r>
      <w:r w:rsidR="00FD3C9E" w:rsidRPr="00CD59CC">
        <w:rPr>
          <w:rFonts w:ascii="Arial" w:hAnsi="Arial" w:cs="Arial"/>
        </w:rPr>
        <w:t>of</w:t>
      </w:r>
      <w:r w:rsidR="007B7640" w:rsidRPr="00CD59CC">
        <w:rPr>
          <w:rFonts w:ascii="Arial" w:hAnsi="Arial" w:cs="Arial"/>
        </w:rPr>
        <w:t xml:space="preserve"> </w:t>
      </w:r>
      <w:r w:rsidR="00FD3C9E" w:rsidRPr="00CD59CC">
        <w:rPr>
          <w:rFonts w:ascii="Arial" w:hAnsi="Arial" w:cs="Arial"/>
        </w:rPr>
        <w:t>2012</w:t>
      </w:r>
      <w:r w:rsidR="007B7640" w:rsidRPr="00CD59CC">
        <w:rPr>
          <w:rFonts w:ascii="Arial" w:hAnsi="Arial" w:cs="Arial"/>
        </w:rPr>
        <w:t xml:space="preserve"> </w:t>
      </w:r>
      <w:r w:rsidR="00FD3C9E" w:rsidRPr="00CD59CC">
        <w:rPr>
          <w:rFonts w:ascii="Arial" w:hAnsi="Arial" w:cs="Arial"/>
        </w:rPr>
        <w:t>on</w:t>
      </w:r>
      <w:r w:rsidR="007B7640" w:rsidRPr="00CD59CC">
        <w:rPr>
          <w:rFonts w:ascii="Arial" w:hAnsi="Arial" w:cs="Arial"/>
        </w:rPr>
        <w:t xml:space="preserve"> </w:t>
      </w:r>
      <w:r w:rsidR="00FD3C9E" w:rsidRPr="00CD59CC">
        <w:rPr>
          <w:rFonts w:ascii="Arial" w:hAnsi="Arial" w:cs="Arial"/>
        </w:rPr>
        <w:t>Personal</w:t>
      </w:r>
      <w:r w:rsidR="007B7640" w:rsidRPr="00CD59CC">
        <w:rPr>
          <w:rFonts w:ascii="Arial" w:hAnsi="Arial" w:cs="Arial"/>
        </w:rPr>
        <w:t xml:space="preserve"> </w:t>
      </w:r>
      <w:r w:rsidR="00FD3C9E" w:rsidRPr="00CD59CC">
        <w:rPr>
          <w:rFonts w:ascii="Arial" w:hAnsi="Arial" w:cs="Arial"/>
        </w:rPr>
        <w:t>Transportation</w:t>
      </w:r>
      <w:r w:rsidR="007B7640" w:rsidRPr="00CD59CC">
        <w:rPr>
          <w:rFonts w:ascii="Arial" w:hAnsi="Arial" w:cs="Arial"/>
        </w:rPr>
        <w:t xml:space="preserve"> </w:t>
      </w:r>
      <w:r w:rsidR="00FD3C9E" w:rsidRPr="00CD59CC">
        <w:rPr>
          <w:rFonts w:ascii="Arial" w:hAnsi="Arial" w:cs="Arial"/>
        </w:rPr>
        <w:t>Services</w:t>
      </w:r>
      <w:r w:rsidR="007B7640" w:rsidRPr="00CD59CC">
        <w:rPr>
          <w:rFonts w:ascii="Arial" w:hAnsi="Arial" w:cs="Arial"/>
        </w:rPr>
        <w:t xml:space="preserve"> </w:t>
      </w:r>
      <w:r w:rsidR="00FD3C9E" w:rsidRPr="00CD59CC">
        <w:rPr>
          <w:rFonts w:ascii="Arial" w:hAnsi="Arial" w:cs="Arial"/>
        </w:rPr>
        <w:t>(hereinafter:</w:t>
      </w:r>
      <w:r w:rsidR="007B7640" w:rsidRPr="00CD59CC">
        <w:rPr>
          <w:rFonts w:ascii="Arial" w:hAnsi="Arial" w:cs="Arial"/>
        </w:rPr>
        <w:t xml:space="preserve"> </w:t>
      </w:r>
      <w:r w:rsidR="00FD3C9E" w:rsidRPr="00CD59CC">
        <w:rPr>
          <w:rFonts w:ascii="Arial" w:hAnsi="Arial" w:cs="Arial"/>
        </w:rPr>
        <w:t>PTS</w:t>
      </w:r>
      <w:r w:rsidR="007B7640" w:rsidRPr="00CD59CC">
        <w:rPr>
          <w:rFonts w:ascii="Arial" w:hAnsi="Arial" w:cs="Arial"/>
        </w:rPr>
        <w:t xml:space="preserve"> </w:t>
      </w:r>
      <w:r w:rsidR="00FD3C9E" w:rsidRPr="00CD59CC">
        <w:rPr>
          <w:rFonts w:ascii="Arial" w:hAnsi="Arial" w:cs="Arial"/>
        </w:rPr>
        <w:t>Act)</w:t>
      </w:r>
      <w:r w:rsidR="007B7640" w:rsidRPr="00CD59CC">
        <w:rPr>
          <w:rFonts w:ascii="Arial" w:hAnsi="Arial" w:cs="Arial"/>
        </w:rPr>
        <w:t xml:space="preserve"> </w:t>
      </w:r>
      <w:r w:rsidR="00FD3C9E" w:rsidRPr="00CD59CC">
        <w:rPr>
          <w:rFonts w:ascii="Arial" w:hAnsi="Arial" w:cs="Arial"/>
        </w:rPr>
        <w:t>stipulated</w:t>
      </w:r>
      <w:r w:rsidR="007B7640" w:rsidRPr="00CD59CC">
        <w:rPr>
          <w:rFonts w:ascii="Arial" w:hAnsi="Arial" w:cs="Arial"/>
        </w:rPr>
        <w:t xml:space="preserve"> </w:t>
      </w:r>
      <w:r w:rsidR="00FD3C9E" w:rsidRPr="00CD59CC">
        <w:rPr>
          <w:rFonts w:ascii="Arial" w:hAnsi="Arial" w:cs="Arial"/>
        </w:rPr>
        <w:t>until</w:t>
      </w:r>
      <w:r w:rsidR="007B7640" w:rsidRPr="00CD59CC">
        <w:rPr>
          <w:rFonts w:ascii="Arial" w:hAnsi="Arial" w:cs="Arial"/>
        </w:rPr>
        <w:t xml:space="preserve"> </w:t>
      </w:r>
      <w:r w:rsidR="00FD3C9E" w:rsidRPr="00CD59CC">
        <w:rPr>
          <w:rFonts w:ascii="Arial" w:hAnsi="Arial" w:cs="Arial"/>
        </w:rPr>
        <w:t>30</w:t>
      </w:r>
      <w:r w:rsidR="007B7640" w:rsidRPr="00CD59CC">
        <w:rPr>
          <w:rFonts w:ascii="Arial" w:hAnsi="Arial" w:cs="Arial"/>
        </w:rPr>
        <w:t xml:space="preserve"> </w:t>
      </w:r>
      <w:r w:rsidR="00FD3C9E" w:rsidRPr="00CD59CC">
        <w:rPr>
          <w:rFonts w:ascii="Arial" w:hAnsi="Arial" w:cs="Arial"/>
        </w:rPr>
        <w:t>December</w:t>
      </w:r>
      <w:r w:rsidR="007B7640" w:rsidRPr="00CD59CC">
        <w:rPr>
          <w:rFonts w:ascii="Arial" w:hAnsi="Arial" w:cs="Arial"/>
        </w:rPr>
        <w:t xml:space="preserve"> </w:t>
      </w:r>
      <w:r w:rsidR="00FD3C9E" w:rsidRPr="00CD59CC">
        <w:rPr>
          <w:rFonts w:ascii="Arial" w:hAnsi="Arial" w:cs="Arial"/>
        </w:rPr>
        <w:t>2012</w:t>
      </w:r>
      <w:r w:rsidR="007B7640" w:rsidRPr="00CD59CC">
        <w:rPr>
          <w:rFonts w:ascii="Arial" w:hAnsi="Arial" w:cs="Arial"/>
        </w:rPr>
        <w:t xml:space="preserve"> </w:t>
      </w:r>
      <w:r w:rsidR="00FD3C9E" w:rsidRPr="00CD59CC">
        <w:rPr>
          <w:rFonts w:ascii="Arial" w:hAnsi="Arial" w:cs="Arial"/>
        </w:rPr>
        <w:t>that</w:t>
      </w:r>
      <w:r w:rsidR="007B7640" w:rsidRPr="00CD59CC">
        <w:rPr>
          <w:rFonts w:ascii="Arial" w:hAnsi="Arial" w:cs="Arial"/>
        </w:rPr>
        <w:t xml:space="preserve"> </w:t>
      </w:r>
      <w:r w:rsidR="00FD3C9E" w:rsidRPr="00CD59CC">
        <w:rPr>
          <w:rFonts w:ascii="Arial" w:hAnsi="Arial" w:cs="Arial"/>
        </w:rPr>
        <w:t>the</w:t>
      </w:r>
      <w:r w:rsidR="007B7640" w:rsidRPr="00CD59CC">
        <w:rPr>
          <w:rFonts w:ascii="Arial" w:hAnsi="Arial" w:cs="Arial"/>
        </w:rPr>
        <w:t xml:space="preserve"> </w:t>
      </w:r>
      <w:r w:rsidR="00FD3C9E" w:rsidRPr="00CD59CC">
        <w:rPr>
          <w:rFonts w:ascii="Arial" w:hAnsi="Arial" w:cs="Arial"/>
        </w:rPr>
        <w:t>conditions</w:t>
      </w:r>
      <w:r w:rsidR="007B7640" w:rsidRPr="00CD59CC">
        <w:rPr>
          <w:rFonts w:ascii="Arial" w:hAnsi="Arial" w:cs="Arial"/>
        </w:rPr>
        <w:t xml:space="preserve"> </w:t>
      </w:r>
      <w:r w:rsidR="00FD3C9E" w:rsidRPr="00CD59CC">
        <w:rPr>
          <w:rFonts w:ascii="Arial" w:hAnsi="Arial" w:cs="Arial"/>
        </w:rPr>
        <w:t>of</w:t>
      </w:r>
      <w:r w:rsidR="007B7640" w:rsidRPr="00CD59CC">
        <w:rPr>
          <w:rFonts w:ascii="Arial" w:hAnsi="Arial" w:cs="Arial"/>
        </w:rPr>
        <w:t xml:space="preserve"> </w:t>
      </w:r>
      <w:r w:rsidR="00FD3C9E" w:rsidRPr="00CD59CC">
        <w:rPr>
          <w:rFonts w:ascii="Arial" w:hAnsi="Arial" w:cs="Arial"/>
        </w:rPr>
        <w:t>equal</w:t>
      </w:r>
      <w:r w:rsidR="007B7640" w:rsidRPr="00CD59CC">
        <w:rPr>
          <w:rFonts w:ascii="Arial" w:hAnsi="Arial" w:cs="Arial"/>
        </w:rPr>
        <w:t xml:space="preserve"> </w:t>
      </w:r>
      <w:r w:rsidR="00FD3C9E" w:rsidRPr="00CD59CC">
        <w:rPr>
          <w:rFonts w:ascii="Arial" w:hAnsi="Arial" w:cs="Arial"/>
        </w:rPr>
        <w:t>access</w:t>
      </w:r>
      <w:r w:rsidR="007B7640" w:rsidRPr="00CD59CC">
        <w:rPr>
          <w:rFonts w:ascii="Arial" w:hAnsi="Arial" w:cs="Arial"/>
        </w:rPr>
        <w:t xml:space="preserve"> </w:t>
      </w:r>
      <w:r w:rsidR="00FD3C9E" w:rsidRPr="00CD59CC">
        <w:rPr>
          <w:rFonts w:ascii="Arial" w:hAnsi="Arial" w:cs="Arial"/>
        </w:rPr>
        <w:t>on</w:t>
      </w:r>
      <w:r w:rsidR="007B7640" w:rsidRPr="00CD59CC">
        <w:rPr>
          <w:rFonts w:ascii="Arial" w:hAnsi="Arial" w:cs="Arial"/>
        </w:rPr>
        <w:t xml:space="preserve"> </w:t>
      </w:r>
      <w:r w:rsidR="00FD3C9E" w:rsidRPr="00CD59CC">
        <w:rPr>
          <w:rFonts w:ascii="Arial" w:hAnsi="Arial" w:cs="Arial"/>
        </w:rPr>
        <w:t>vehicles</w:t>
      </w:r>
      <w:r w:rsidR="007B7640" w:rsidRPr="00CD59CC">
        <w:rPr>
          <w:rFonts w:ascii="Arial" w:hAnsi="Arial" w:cs="Arial"/>
        </w:rPr>
        <w:t xml:space="preserve"> </w:t>
      </w:r>
      <w:r w:rsidR="00FD3C9E" w:rsidRPr="00CD59CC">
        <w:rPr>
          <w:rFonts w:ascii="Arial" w:hAnsi="Arial" w:cs="Arial"/>
        </w:rPr>
        <w:t>of</w:t>
      </w:r>
      <w:r w:rsidR="007B7640" w:rsidRPr="00CD59CC">
        <w:rPr>
          <w:rFonts w:ascii="Arial" w:hAnsi="Arial" w:cs="Arial"/>
        </w:rPr>
        <w:t xml:space="preserve"> </w:t>
      </w:r>
      <w:r w:rsidR="00FD3C9E" w:rsidRPr="00CD59CC">
        <w:rPr>
          <w:rFonts w:ascii="Arial" w:hAnsi="Arial" w:cs="Arial"/>
        </w:rPr>
        <w:t>personal</w:t>
      </w:r>
      <w:r w:rsidR="007B7640" w:rsidRPr="00CD59CC">
        <w:rPr>
          <w:rFonts w:ascii="Arial" w:hAnsi="Arial" w:cs="Arial"/>
        </w:rPr>
        <w:t xml:space="preserve"> </w:t>
      </w:r>
      <w:r w:rsidR="00FD3C9E" w:rsidRPr="00CD59CC">
        <w:rPr>
          <w:rFonts w:ascii="Arial" w:hAnsi="Arial" w:cs="Arial"/>
        </w:rPr>
        <w:t>transportation,</w:t>
      </w:r>
      <w:r w:rsidR="007B7640" w:rsidRPr="00CD59CC">
        <w:rPr>
          <w:rFonts w:ascii="Arial" w:hAnsi="Arial" w:cs="Arial"/>
        </w:rPr>
        <w:t xml:space="preserve"> </w:t>
      </w:r>
      <w:r w:rsidR="00FD3C9E" w:rsidRPr="00CD59CC">
        <w:rPr>
          <w:rFonts w:ascii="Arial" w:hAnsi="Arial" w:cs="Arial"/>
        </w:rPr>
        <w:t>as</w:t>
      </w:r>
      <w:r w:rsidR="007B7640" w:rsidRPr="00CD59CC">
        <w:rPr>
          <w:rFonts w:ascii="Arial" w:hAnsi="Arial" w:cs="Arial"/>
        </w:rPr>
        <w:t xml:space="preserve"> </w:t>
      </w:r>
      <w:r w:rsidR="00FD3C9E" w:rsidRPr="00CD59CC">
        <w:rPr>
          <w:rFonts w:ascii="Arial" w:hAnsi="Arial" w:cs="Arial"/>
        </w:rPr>
        <w:t>well</w:t>
      </w:r>
      <w:r w:rsidR="007B7640" w:rsidRPr="00CD59CC">
        <w:rPr>
          <w:rFonts w:ascii="Arial" w:hAnsi="Arial" w:cs="Arial"/>
        </w:rPr>
        <w:t xml:space="preserve"> </w:t>
      </w:r>
      <w:r w:rsidR="00FD3C9E" w:rsidRPr="00CD59CC">
        <w:rPr>
          <w:rFonts w:ascii="Arial" w:hAnsi="Arial" w:cs="Arial"/>
        </w:rPr>
        <w:t>as</w:t>
      </w:r>
      <w:r w:rsidR="007B7640" w:rsidRPr="00CD59CC">
        <w:rPr>
          <w:rFonts w:ascii="Arial" w:hAnsi="Arial" w:cs="Arial"/>
        </w:rPr>
        <w:t xml:space="preserve"> </w:t>
      </w:r>
      <w:r w:rsidR="00FD3C9E" w:rsidRPr="00CD59CC">
        <w:rPr>
          <w:rFonts w:ascii="Arial" w:hAnsi="Arial" w:cs="Arial"/>
        </w:rPr>
        <w:t>at</w:t>
      </w:r>
      <w:r w:rsidR="007B7640" w:rsidRPr="00CD59CC">
        <w:rPr>
          <w:rFonts w:ascii="Arial" w:hAnsi="Arial" w:cs="Arial"/>
        </w:rPr>
        <w:t xml:space="preserve"> </w:t>
      </w:r>
      <w:r w:rsidR="00FD3C9E" w:rsidRPr="00CD59CC">
        <w:rPr>
          <w:rFonts w:ascii="Arial" w:hAnsi="Arial" w:cs="Arial"/>
        </w:rPr>
        <w:t>railway</w:t>
      </w:r>
      <w:r w:rsidR="007B7640" w:rsidRPr="00CD59CC">
        <w:rPr>
          <w:rFonts w:ascii="Arial" w:hAnsi="Arial" w:cs="Arial"/>
        </w:rPr>
        <w:t xml:space="preserve"> </w:t>
      </w:r>
      <w:r w:rsidR="00FD3C9E" w:rsidRPr="00CD59CC">
        <w:rPr>
          <w:rFonts w:ascii="Arial" w:hAnsi="Arial" w:cs="Arial"/>
        </w:rPr>
        <w:t>stations,</w:t>
      </w:r>
      <w:r w:rsidR="007B7640" w:rsidRPr="00CD59CC">
        <w:rPr>
          <w:rFonts w:ascii="Arial" w:hAnsi="Arial" w:cs="Arial"/>
        </w:rPr>
        <w:t xml:space="preserve"> </w:t>
      </w:r>
      <w:r w:rsidR="00FD3C9E" w:rsidRPr="00CD59CC">
        <w:rPr>
          <w:rFonts w:ascii="Arial" w:hAnsi="Arial" w:cs="Arial"/>
        </w:rPr>
        <w:t>stations</w:t>
      </w:r>
      <w:r w:rsidR="007B7640" w:rsidRPr="00CD59CC">
        <w:rPr>
          <w:rFonts w:ascii="Arial" w:hAnsi="Arial" w:cs="Arial"/>
        </w:rPr>
        <w:t xml:space="preserve"> </w:t>
      </w:r>
      <w:r w:rsidR="00FD3C9E" w:rsidRPr="00CD59CC">
        <w:rPr>
          <w:rFonts w:ascii="Arial" w:hAnsi="Arial" w:cs="Arial"/>
        </w:rPr>
        <w:t>and</w:t>
      </w:r>
      <w:r w:rsidR="007B7640" w:rsidRPr="00CD59CC">
        <w:rPr>
          <w:rFonts w:ascii="Arial" w:hAnsi="Arial" w:cs="Arial"/>
        </w:rPr>
        <w:t xml:space="preserve"> </w:t>
      </w:r>
      <w:r w:rsidR="00FD3C9E" w:rsidRPr="00CD59CC">
        <w:rPr>
          <w:rFonts w:ascii="Arial" w:hAnsi="Arial" w:cs="Arial"/>
        </w:rPr>
        <w:t>stops</w:t>
      </w:r>
      <w:r w:rsidR="007B7640" w:rsidRPr="00CD59CC">
        <w:rPr>
          <w:rFonts w:ascii="Arial" w:hAnsi="Arial" w:cs="Arial"/>
        </w:rPr>
        <w:t xml:space="preserve"> </w:t>
      </w:r>
      <w:r w:rsidR="00FD3C9E" w:rsidRPr="00CD59CC">
        <w:rPr>
          <w:rFonts w:ascii="Arial" w:hAnsi="Arial" w:cs="Arial"/>
        </w:rPr>
        <w:t>serving</w:t>
      </w:r>
      <w:r w:rsidR="007B7640" w:rsidRPr="00CD59CC">
        <w:rPr>
          <w:rFonts w:ascii="Arial" w:hAnsi="Arial" w:cs="Arial"/>
        </w:rPr>
        <w:t xml:space="preserve"> </w:t>
      </w:r>
      <w:r w:rsidR="00FD3C9E" w:rsidRPr="00CD59CC">
        <w:rPr>
          <w:rFonts w:ascii="Arial" w:hAnsi="Arial" w:cs="Arial"/>
        </w:rPr>
        <w:t>the</w:t>
      </w:r>
      <w:r w:rsidR="007B7640" w:rsidRPr="00CD59CC">
        <w:rPr>
          <w:rFonts w:ascii="Arial" w:hAnsi="Arial" w:cs="Arial"/>
        </w:rPr>
        <w:t xml:space="preserve"> </w:t>
      </w:r>
      <w:r w:rsidR="00FD3C9E" w:rsidRPr="00CD59CC">
        <w:rPr>
          <w:rFonts w:ascii="Arial" w:hAnsi="Arial" w:cs="Arial"/>
        </w:rPr>
        <w:lastRenderedPageBreak/>
        <w:t>transportation</w:t>
      </w:r>
      <w:r w:rsidR="007B7640" w:rsidRPr="00CD59CC">
        <w:rPr>
          <w:rFonts w:ascii="Arial" w:hAnsi="Arial" w:cs="Arial"/>
        </w:rPr>
        <w:t xml:space="preserve"> </w:t>
      </w:r>
      <w:r w:rsidR="00FD3C9E" w:rsidRPr="00CD59CC">
        <w:rPr>
          <w:rFonts w:ascii="Arial" w:hAnsi="Arial" w:cs="Arial"/>
        </w:rPr>
        <w:t>of</w:t>
      </w:r>
      <w:r w:rsidR="007B7640" w:rsidRPr="00CD59CC">
        <w:rPr>
          <w:rFonts w:ascii="Arial" w:hAnsi="Arial" w:cs="Arial"/>
        </w:rPr>
        <w:t xml:space="preserve"> </w:t>
      </w:r>
      <w:r w:rsidR="00FD3C9E" w:rsidRPr="00CD59CC">
        <w:rPr>
          <w:rFonts w:ascii="Arial" w:hAnsi="Arial" w:cs="Arial"/>
        </w:rPr>
        <w:t>persons,</w:t>
      </w:r>
      <w:r w:rsidR="007B7640" w:rsidRPr="00CD59CC">
        <w:rPr>
          <w:rFonts w:ascii="Arial" w:hAnsi="Arial" w:cs="Arial"/>
        </w:rPr>
        <w:t xml:space="preserve"> </w:t>
      </w:r>
      <w:r w:rsidR="00FD3C9E" w:rsidRPr="00CD59CC">
        <w:rPr>
          <w:rFonts w:ascii="Arial" w:hAnsi="Arial" w:cs="Arial"/>
        </w:rPr>
        <w:t>shall</w:t>
      </w:r>
      <w:r w:rsidR="007B7640" w:rsidRPr="00CD59CC">
        <w:rPr>
          <w:rFonts w:ascii="Arial" w:hAnsi="Arial" w:cs="Arial"/>
        </w:rPr>
        <w:t xml:space="preserve"> </w:t>
      </w:r>
      <w:r w:rsidR="00FD3C9E" w:rsidRPr="00CD59CC">
        <w:rPr>
          <w:rFonts w:ascii="Arial" w:hAnsi="Arial" w:cs="Arial"/>
        </w:rPr>
        <w:t>be</w:t>
      </w:r>
      <w:r w:rsidR="007B7640" w:rsidRPr="00CD59CC">
        <w:rPr>
          <w:rFonts w:ascii="Arial" w:hAnsi="Arial" w:cs="Arial"/>
        </w:rPr>
        <w:t xml:space="preserve"> </w:t>
      </w:r>
      <w:r w:rsidR="00FD3C9E" w:rsidRPr="00CD59CC">
        <w:rPr>
          <w:rFonts w:ascii="Arial" w:hAnsi="Arial" w:cs="Arial"/>
        </w:rPr>
        <w:t>provided</w:t>
      </w:r>
      <w:r w:rsidR="007B7640" w:rsidRPr="00CD59CC">
        <w:rPr>
          <w:rFonts w:ascii="Arial" w:hAnsi="Arial" w:cs="Arial"/>
        </w:rPr>
        <w:t xml:space="preserve"> </w:t>
      </w:r>
      <w:r w:rsidR="00FD3C9E" w:rsidRPr="00CD59CC">
        <w:rPr>
          <w:rFonts w:ascii="Arial" w:hAnsi="Arial" w:cs="Arial"/>
        </w:rPr>
        <w:t>gradually,</w:t>
      </w:r>
      <w:r w:rsidR="007B7640" w:rsidRPr="00CD59CC">
        <w:rPr>
          <w:rFonts w:ascii="Arial" w:hAnsi="Arial" w:cs="Arial"/>
        </w:rPr>
        <w:t xml:space="preserve"> </w:t>
      </w:r>
      <w:r w:rsidR="00FD3C9E" w:rsidRPr="00CD59CC">
        <w:rPr>
          <w:rFonts w:ascii="Arial" w:hAnsi="Arial" w:cs="Arial"/>
        </w:rPr>
        <w:t>but</w:t>
      </w:r>
      <w:r w:rsidR="007B7640" w:rsidRPr="00CD59CC">
        <w:rPr>
          <w:rFonts w:ascii="Arial" w:hAnsi="Arial" w:cs="Arial"/>
        </w:rPr>
        <w:t xml:space="preserve"> </w:t>
      </w:r>
      <w:r w:rsidR="00FD3C9E" w:rsidRPr="00CD59CC">
        <w:rPr>
          <w:rFonts w:ascii="Arial" w:hAnsi="Arial" w:cs="Arial"/>
        </w:rPr>
        <w:t>until</w:t>
      </w:r>
      <w:r w:rsidR="007B7640" w:rsidRPr="00CD59CC">
        <w:rPr>
          <w:rFonts w:ascii="Arial" w:hAnsi="Arial" w:cs="Arial"/>
        </w:rPr>
        <w:t xml:space="preserve"> </w:t>
      </w:r>
      <w:r w:rsidR="00FD3C9E" w:rsidRPr="00CD59CC">
        <w:rPr>
          <w:rFonts w:ascii="Arial" w:hAnsi="Arial" w:cs="Arial"/>
        </w:rPr>
        <w:t>1</w:t>
      </w:r>
      <w:r w:rsidR="007B7640" w:rsidRPr="00CD59CC">
        <w:rPr>
          <w:rFonts w:ascii="Arial" w:hAnsi="Arial" w:cs="Arial"/>
        </w:rPr>
        <w:t xml:space="preserve"> </w:t>
      </w:r>
      <w:r w:rsidR="00FD3C9E" w:rsidRPr="00CD59CC">
        <w:rPr>
          <w:rFonts w:ascii="Arial" w:hAnsi="Arial" w:cs="Arial"/>
        </w:rPr>
        <w:t>January</w:t>
      </w:r>
      <w:r w:rsidR="007B7640" w:rsidRPr="00CD59CC">
        <w:rPr>
          <w:rFonts w:ascii="Arial" w:hAnsi="Arial" w:cs="Arial"/>
        </w:rPr>
        <w:t xml:space="preserve"> </w:t>
      </w:r>
      <w:r w:rsidR="00FD3C9E" w:rsidRPr="00CD59CC">
        <w:rPr>
          <w:rFonts w:ascii="Arial" w:hAnsi="Arial" w:cs="Arial"/>
        </w:rPr>
        <w:t>2013</w:t>
      </w:r>
      <w:r w:rsidR="007B7640" w:rsidRPr="00CD59CC">
        <w:rPr>
          <w:rFonts w:ascii="Arial" w:hAnsi="Arial" w:cs="Arial"/>
        </w:rPr>
        <w:t xml:space="preserve"> </w:t>
      </w:r>
      <w:r w:rsidR="00FD3C9E" w:rsidRPr="00CD59CC">
        <w:rPr>
          <w:rFonts w:ascii="Arial" w:hAnsi="Arial" w:cs="Arial"/>
        </w:rPr>
        <w:t>at</w:t>
      </w:r>
      <w:r w:rsidR="007B7640" w:rsidRPr="00CD59CC">
        <w:rPr>
          <w:rFonts w:ascii="Arial" w:hAnsi="Arial" w:cs="Arial"/>
        </w:rPr>
        <w:t xml:space="preserve"> </w:t>
      </w:r>
      <w:r w:rsidR="00FD3C9E" w:rsidRPr="00CD59CC">
        <w:rPr>
          <w:rFonts w:ascii="Arial" w:hAnsi="Arial" w:cs="Arial"/>
        </w:rPr>
        <w:t>the</w:t>
      </w:r>
      <w:r w:rsidR="007B7640" w:rsidRPr="00CD59CC">
        <w:rPr>
          <w:rFonts w:ascii="Arial" w:hAnsi="Arial" w:cs="Arial"/>
        </w:rPr>
        <w:t xml:space="preserve"> </w:t>
      </w:r>
      <w:r w:rsidR="00FD3C9E" w:rsidRPr="00CD59CC">
        <w:rPr>
          <w:rFonts w:ascii="Arial" w:hAnsi="Arial" w:cs="Arial"/>
        </w:rPr>
        <w:t>latest.</w:t>
      </w:r>
    </w:p>
    <w:p w14:paraId="0DEAB6E3" w14:textId="77777777" w:rsidR="00FD3C9E" w:rsidRPr="00CD59CC" w:rsidRDefault="00FD3C9E" w:rsidP="00CD59CC">
      <w:pPr>
        <w:rPr>
          <w:rFonts w:ascii="Arial" w:hAnsi="Arial" w:cs="Arial"/>
        </w:rPr>
      </w:pPr>
    </w:p>
    <w:p w14:paraId="0076D5CC" w14:textId="77777777" w:rsidR="00FD3C9E" w:rsidRPr="00CD59CC" w:rsidRDefault="00FD3C9E" w:rsidP="00CD59CC">
      <w:pPr>
        <w:rPr>
          <w:rFonts w:ascii="Arial" w:hAnsi="Arial" w:cs="Arial"/>
        </w:rPr>
      </w:pPr>
      <w:r w:rsidRPr="00CD59CC">
        <w:rPr>
          <w:rFonts w:ascii="Arial" w:hAnsi="Arial" w:cs="Arial"/>
        </w:rPr>
        <w:t>Just</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day</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expiry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deadline,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CCVIII</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2012</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Amendment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Substantiation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Budgetary</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Purposes</w:t>
      </w:r>
      <w:r w:rsidR="007B7640" w:rsidRPr="00CD59CC">
        <w:rPr>
          <w:rFonts w:ascii="Arial" w:hAnsi="Arial" w:cs="Arial"/>
        </w:rPr>
        <w:t xml:space="preserve"> </w:t>
      </w:r>
      <w:r w:rsidRPr="00CD59CC">
        <w:rPr>
          <w:rFonts w:ascii="Arial" w:hAnsi="Arial" w:cs="Arial"/>
        </w:rPr>
        <w:t>amended</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provision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PTS</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now</w:t>
      </w:r>
      <w:r w:rsidR="007B7640" w:rsidRPr="00CD59CC">
        <w:rPr>
          <w:rFonts w:ascii="Arial" w:hAnsi="Arial" w:cs="Arial"/>
        </w:rPr>
        <w:t xml:space="preserve"> </w:t>
      </w:r>
      <w:r w:rsidRPr="00CD59CC">
        <w:rPr>
          <w:rFonts w:ascii="Arial" w:hAnsi="Arial" w:cs="Arial"/>
        </w:rPr>
        <w:t>claims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conditions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gradually,</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investments,</w:t>
      </w:r>
      <w:r w:rsidR="007B7640" w:rsidRPr="00CD59CC">
        <w:rPr>
          <w:rFonts w:ascii="Arial" w:hAnsi="Arial" w:cs="Arial"/>
        </w:rPr>
        <w:t xml:space="preserve"> </w:t>
      </w:r>
      <w:r w:rsidRPr="00CD59CC">
        <w:rPr>
          <w:rFonts w:ascii="Arial" w:hAnsi="Arial" w:cs="Arial"/>
        </w:rPr>
        <w:t>developments,</w:t>
      </w:r>
      <w:r w:rsidR="007B7640" w:rsidRPr="00CD59CC">
        <w:rPr>
          <w:rFonts w:ascii="Arial" w:hAnsi="Arial" w:cs="Arial"/>
        </w:rPr>
        <w:t xml:space="preserve"> </w:t>
      </w:r>
      <w:r w:rsidRPr="00CD59CC">
        <w:rPr>
          <w:rFonts w:ascii="Arial" w:hAnsi="Arial" w:cs="Arial"/>
        </w:rPr>
        <w:t>acquisitions,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well</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far</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technologically</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reconstructions</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vehicles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establishments,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enforced.”</w:t>
      </w:r>
    </w:p>
    <w:p w14:paraId="69F49ED9" w14:textId="77777777" w:rsidR="00FD3C9E" w:rsidRPr="00CD59CC" w:rsidRDefault="00FD3C9E" w:rsidP="00CD59CC">
      <w:pPr>
        <w:rPr>
          <w:rFonts w:ascii="Arial" w:hAnsi="Arial" w:cs="Arial"/>
        </w:rPr>
      </w:pPr>
    </w:p>
    <w:p w14:paraId="687ECF84" w14:textId="77777777" w:rsidR="00FD3C9E" w:rsidRPr="00CD59CC" w:rsidRDefault="00FD3C9E" w:rsidP="00CD59CC">
      <w:pPr>
        <w:rPr>
          <w:rFonts w:ascii="Arial" w:hAnsi="Arial" w:cs="Arial"/>
        </w:rPr>
      </w:pPr>
      <w:r w:rsidRPr="00CD59CC">
        <w:rPr>
          <w:rFonts w:ascii="Arial" w:hAnsi="Arial" w:cs="Arial"/>
        </w:rPr>
        <w:t>Thus,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eliminated</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January</w:t>
      </w:r>
      <w:r w:rsidR="007B7640" w:rsidRPr="00CD59CC">
        <w:rPr>
          <w:rFonts w:ascii="Arial" w:hAnsi="Arial" w:cs="Arial"/>
        </w:rPr>
        <w:t xml:space="preserve"> </w:t>
      </w:r>
      <w:r w:rsidRPr="00CD59CC">
        <w:rPr>
          <w:rFonts w:ascii="Arial" w:hAnsi="Arial" w:cs="Arial"/>
        </w:rPr>
        <w:t>2013</w:t>
      </w:r>
      <w:r w:rsidR="007B7640" w:rsidRPr="00CD59CC">
        <w:rPr>
          <w:rFonts w:ascii="Arial" w:hAnsi="Arial" w:cs="Arial"/>
        </w:rPr>
        <w:t xml:space="preserve"> </w:t>
      </w:r>
      <w:r w:rsidRPr="00CD59CC">
        <w:rPr>
          <w:rFonts w:ascii="Arial" w:hAnsi="Arial" w:cs="Arial"/>
        </w:rPr>
        <w:t>deadline</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replaced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clearly</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deadline,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009F31F6" w:rsidRPr="00CD59CC">
        <w:rPr>
          <w:rFonts w:ascii="Arial" w:hAnsi="Arial" w:cs="Arial"/>
        </w:rPr>
        <w:t>(especially</w:t>
      </w:r>
      <w:r w:rsidR="007B7640" w:rsidRPr="00CD59CC">
        <w:rPr>
          <w:rFonts w:ascii="Arial" w:hAnsi="Arial" w:cs="Arial"/>
        </w:rPr>
        <w:t xml:space="preserve"> </w:t>
      </w:r>
      <w:r w:rsidR="009F31F6" w:rsidRPr="00CD59CC">
        <w:rPr>
          <w:rFonts w:ascii="Arial" w:hAnsi="Arial" w:cs="Arial"/>
        </w:rPr>
        <w:t>read</w:t>
      </w:r>
      <w:r w:rsidR="007B7640" w:rsidRPr="00CD59CC">
        <w:rPr>
          <w:rFonts w:ascii="Arial" w:hAnsi="Arial" w:cs="Arial"/>
        </w:rPr>
        <w:t xml:space="preserve"> </w:t>
      </w:r>
      <w:r w:rsidR="009F31F6" w:rsidRPr="00CD59CC">
        <w:rPr>
          <w:rFonts w:ascii="Arial" w:hAnsi="Arial" w:cs="Arial"/>
        </w:rPr>
        <w:t>in</w:t>
      </w:r>
      <w:r w:rsidR="007B7640" w:rsidRPr="00CD59CC">
        <w:rPr>
          <w:rFonts w:ascii="Arial" w:hAnsi="Arial" w:cs="Arial"/>
        </w:rPr>
        <w:t xml:space="preserve"> </w:t>
      </w:r>
      <w:r w:rsidR="009F31F6" w:rsidRPr="00CD59CC">
        <w:rPr>
          <w:rFonts w:ascii="Arial" w:hAnsi="Arial" w:cs="Arial"/>
        </w:rPr>
        <w:t>conjunction</w:t>
      </w:r>
      <w:r w:rsidR="007B7640" w:rsidRPr="00CD59CC">
        <w:rPr>
          <w:rFonts w:ascii="Arial" w:hAnsi="Arial" w:cs="Arial"/>
        </w:rPr>
        <w:t xml:space="preserve"> </w:t>
      </w:r>
      <w:r w:rsidR="009F31F6" w:rsidRPr="00CD59CC">
        <w:rPr>
          <w:rFonts w:ascii="Arial" w:hAnsi="Arial" w:cs="Arial"/>
        </w:rPr>
        <w:t>with</w:t>
      </w:r>
      <w:r w:rsidR="007B7640" w:rsidRPr="00CD59CC">
        <w:rPr>
          <w:rFonts w:ascii="Arial" w:hAnsi="Arial" w:cs="Arial"/>
        </w:rPr>
        <w:t xml:space="preserve"> </w:t>
      </w:r>
      <w:r w:rsidR="009F31F6" w:rsidRPr="00CD59CC">
        <w:rPr>
          <w:rFonts w:ascii="Arial" w:hAnsi="Arial" w:cs="Arial"/>
        </w:rPr>
        <w:t>the</w:t>
      </w:r>
      <w:r w:rsidR="007B7640" w:rsidRPr="00CD59CC">
        <w:rPr>
          <w:rFonts w:ascii="Arial" w:hAnsi="Arial" w:cs="Arial"/>
        </w:rPr>
        <w:t xml:space="preserve"> </w:t>
      </w:r>
      <w:r w:rsidR="009F31F6" w:rsidRPr="00CD59CC">
        <w:rPr>
          <w:rFonts w:ascii="Arial" w:hAnsi="Arial" w:cs="Arial"/>
        </w:rPr>
        <w:t>above</w:t>
      </w:r>
      <w:r w:rsidR="007B7640" w:rsidRPr="00CD59CC">
        <w:rPr>
          <w:rFonts w:ascii="Arial" w:hAnsi="Arial" w:cs="Arial"/>
        </w:rPr>
        <w:t xml:space="preserve"> </w:t>
      </w:r>
      <w:r w:rsidR="009F31F6" w:rsidRPr="00CD59CC">
        <w:rPr>
          <w:rFonts w:ascii="Arial" w:hAnsi="Arial" w:cs="Arial"/>
        </w:rPr>
        <w:t>Curia</w:t>
      </w:r>
      <w:r w:rsidR="007B7640" w:rsidRPr="00CD59CC">
        <w:rPr>
          <w:rFonts w:ascii="Arial" w:hAnsi="Arial" w:cs="Arial"/>
        </w:rPr>
        <w:t xml:space="preserve"> </w:t>
      </w:r>
      <w:r w:rsidR="009F31F6" w:rsidRPr="00CD59CC">
        <w:rPr>
          <w:rFonts w:ascii="Arial" w:hAnsi="Arial" w:cs="Arial"/>
        </w:rPr>
        <w:t>decision)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now</w:t>
      </w:r>
      <w:r w:rsidR="007B7640" w:rsidRPr="00CD59CC">
        <w:rPr>
          <w:rFonts w:ascii="Arial" w:hAnsi="Arial" w:cs="Arial"/>
        </w:rPr>
        <w:t xml:space="preserve"> </w:t>
      </w:r>
      <w:r w:rsidRPr="00CD59CC">
        <w:rPr>
          <w:rFonts w:ascii="Arial" w:hAnsi="Arial" w:cs="Arial"/>
        </w:rPr>
        <w:t>provides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loophole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making</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refer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technological</w:t>
      </w:r>
      <w:r w:rsidR="007B7640" w:rsidRPr="00CD59CC">
        <w:rPr>
          <w:rFonts w:ascii="Arial" w:hAnsi="Arial" w:cs="Arial"/>
        </w:rPr>
        <w:t xml:space="preserve"> </w:t>
      </w:r>
      <w:r w:rsidRPr="00CD59CC">
        <w:rPr>
          <w:rFonts w:ascii="Arial" w:hAnsi="Arial" w:cs="Arial"/>
        </w:rPr>
        <w:t>problems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excuse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providing</w:t>
      </w:r>
      <w:r w:rsidR="007B7640" w:rsidRPr="00CD59CC">
        <w:rPr>
          <w:rFonts w:ascii="Arial" w:hAnsi="Arial" w:cs="Arial"/>
        </w:rPr>
        <w:t xml:space="preserve"> </w:t>
      </w:r>
      <w:r w:rsidRPr="00CD59CC">
        <w:rPr>
          <w:rFonts w:ascii="Arial" w:hAnsi="Arial" w:cs="Arial"/>
        </w:rPr>
        <w:t>accessibility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reconstructions,</w:t>
      </w:r>
      <w:r w:rsidR="007B7640" w:rsidRPr="00CD59CC">
        <w:rPr>
          <w:rFonts w:ascii="Arial" w:hAnsi="Arial" w:cs="Arial"/>
        </w:rPr>
        <w:t xml:space="preserve"> </w:t>
      </w:r>
      <w:r w:rsidRPr="00CD59CC">
        <w:rPr>
          <w:rFonts w:ascii="Arial" w:hAnsi="Arial" w:cs="Arial"/>
        </w:rPr>
        <w:t>although</w:t>
      </w:r>
      <w:r w:rsidR="007B7640" w:rsidRPr="00CD59CC">
        <w:rPr>
          <w:rFonts w:ascii="Arial" w:hAnsi="Arial" w:cs="Arial"/>
        </w:rPr>
        <w:t xml:space="preserve"> </w:t>
      </w:r>
      <w:r w:rsidRPr="00CD59CC">
        <w:rPr>
          <w:rFonts w:ascii="Arial" w:hAnsi="Arial" w:cs="Arial"/>
        </w:rPr>
        <w:t>accessibility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transport</w:t>
      </w:r>
      <w:r w:rsidR="007B7640" w:rsidRPr="00CD59CC">
        <w:rPr>
          <w:rFonts w:ascii="Arial" w:hAnsi="Arial" w:cs="Arial"/>
        </w:rPr>
        <w:t xml:space="preserve"> </w:t>
      </w:r>
      <w:r w:rsidRPr="00CD59CC">
        <w:rPr>
          <w:rFonts w:ascii="Arial" w:hAnsi="Arial" w:cs="Arial"/>
        </w:rPr>
        <w:t>systems</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key</w:t>
      </w:r>
      <w:r w:rsidR="007B7640" w:rsidRPr="00CD59CC">
        <w:rPr>
          <w:rFonts w:ascii="Arial" w:hAnsi="Arial" w:cs="Arial"/>
        </w:rPr>
        <w:t xml:space="preserve"> </w:t>
      </w:r>
      <w:r w:rsidRPr="00CD59CC">
        <w:rPr>
          <w:rFonts w:ascii="Arial" w:hAnsi="Arial" w:cs="Arial"/>
        </w:rPr>
        <w:t>condition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participation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spheres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life,</w:t>
      </w:r>
      <w:r w:rsidR="007B7640" w:rsidRPr="00CD59CC">
        <w:rPr>
          <w:rFonts w:ascii="Arial" w:hAnsi="Arial" w:cs="Arial"/>
        </w:rPr>
        <w:t xml:space="preserve"> </w:t>
      </w:r>
      <w:r w:rsidRPr="00CD59CC">
        <w:rPr>
          <w:rFonts w:ascii="Arial" w:hAnsi="Arial" w:cs="Arial"/>
        </w:rPr>
        <w:t>including</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work,</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healthcare,</w:t>
      </w:r>
      <w:r w:rsidR="007B7640" w:rsidRPr="00CD59CC">
        <w:rPr>
          <w:rFonts w:ascii="Arial" w:hAnsi="Arial" w:cs="Arial"/>
        </w:rPr>
        <w:t xml:space="preserve"> </w:t>
      </w:r>
      <w:r w:rsidRPr="00CD59CC">
        <w:rPr>
          <w:rFonts w:ascii="Arial" w:hAnsi="Arial" w:cs="Arial"/>
        </w:rPr>
        <w:t>exercising</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political</w:t>
      </w:r>
      <w:r w:rsidR="007B7640" w:rsidRPr="00CD59CC">
        <w:rPr>
          <w:rFonts w:ascii="Arial" w:hAnsi="Arial" w:cs="Arial"/>
        </w:rPr>
        <w:t xml:space="preserve"> </w:t>
      </w:r>
      <w:r w:rsidRPr="00CD59CC">
        <w:rPr>
          <w:rFonts w:ascii="Arial" w:hAnsi="Arial" w:cs="Arial"/>
        </w:rPr>
        <w:t>rights.</w:t>
      </w:r>
    </w:p>
    <w:p w14:paraId="63EBECEB" w14:textId="77777777" w:rsidR="00FD3C9E" w:rsidRPr="00CD59CC" w:rsidRDefault="00FD3C9E" w:rsidP="00CD59CC">
      <w:pPr>
        <w:ind w:left="567" w:hanging="567"/>
        <w:rPr>
          <w:rFonts w:ascii="Arial" w:hAnsi="Arial" w:cs="Arial"/>
        </w:rPr>
      </w:pPr>
    </w:p>
    <w:p w14:paraId="6CECD7C6" w14:textId="75F42450" w:rsidR="002B5BCD" w:rsidRPr="00CD59CC" w:rsidRDefault="002B5BCD" w:rsidP="002803A1">
      <w:pPr>
        <w:numPr>
          <w:ilvl w:val="0"/>
          <w:numId w:val="9"/>
        </w:numPr>
        <w:ind w:left="567" w:hanging="567"/>
        <w:rPr>
          <w:rFonts w:ascii="Arial" w:hAnsi="Arial" w:cs="Arial"/>
          <w:i/>
        </w:rPr>
      </w:pP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contain</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general</w:t>
      </w:r>
      <w:r w:rsidR="007B7640" w:rsidRPr="00CD59CC">
        <w:rPr>
          <w:rFonts w:ascii="Arial" w:hAnsi="Arial" w:cs="Arial"/>
          <w:i/>
        </w:rPr>
        <w:t xml:space="preserve"> </w:t>
      </w:r>
      <w:r w:rsidRPr="00CD59CC">
        <w:rPr>
          <w:rFonts w:ascii="Arial" w:hAnsi="Arial" w:cs="Arial"/>
          <w:i/>
        </w:rPr>
        <w:t>duty</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provide</w:t>
      </w:r>
      <w:r w:rsidR="007B7640" w:rsidRPr="00CD59CC">
        <w:rPr>
          <w:rFonts w:ascii="Arial" w:hAnsi="Arial" w:cs="Arial"/>
          <w:i/>
        </w:rPr>
        <w:t xml:space="preserve"> </w:t>
      </w:r>
      <w:r w:rsidRPr="00CD59CC">
        <w:rPr>
          <w:rFonts w:ascii="Arial" w:hAnsi="Arial" w:cs="Arial"/>
          <w:i/>
        </w:rPr>
        <w:t>accessibility</w:t>
      </w:r>
      <w:r w:rsidR="007B7640" w:rsidRPr="00CD59CC">
        <w:rPr>
          <w:rFonts w:ascii="Arial" w:hAnsi="Arial" w:cs="Arial"/>
          <w:i/>
        </w:rPr>
        <w:t xml:space="preserve"> </w:t>
      </w:r>
      <w:r w:rsidR="007B1BAA" w:rsidRPr="00CD59CC">
        <w:rPr>
          <w:rFonts w:ascii="Arial" w:hAnsi="Arial" w:cs="Arial"/>
          <w:i/>
        </w:rPr>
        <w:t>by</w:t>
      </w:r>
      <w:r w:rsidR="007B7640" w:rsidRPr="00CD59CC">
        <w:rPr>
          <w:rFonts w:ascii="Arial" w:hAnsi="Arial" w:cs="Arial"/>
          <w:i/>
        </w:rPr>
        <w:t xml:space="preserve"> </w:t>
      </w:r>
      <w:r w:rsidR="007B1BAA" w:rsidRPr="00CD59CC">
        <w:rPr>
          <w:rFonts w:ascii="Arial" w:hAnsi="Arial" w:cs="Arial"/>
          <w:i/>
        </w:rPr>
        <w:t>anticipation</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people</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disabilities?</w:t>
      </w:r>
      <w:r w:rsidR="007B7640" w:rsidRPr="00CD59CC">
        <w:rPr>
          <w:rFonts w:ascii="Arial" w:hAnsi="Arial" w:cs="Arial"/>
          <w:i/>
        </w:rPr>
        <w:t xml:space="preserve"> </w:t>
      </w:r>
      <w:r w:rsidRPr="00CD59CC">
        <w:rPr>
          <w:rFonts w:ascii="Arial" w:hAnsi="Arial" w:cs="Arial"/>
          <w:i/>
        </w:rPr>
        <w:t>If</w:t>
      </w:r>
      <w:r w:rsidR="007B7640" w:rsidRPr="00CD59CC">
        <w:rPr>
          <w:rFonts w:ascii="Arial" w:hAnsi="Arial" w:cs="Arial"/>
          <w:i/>
        </w:rPr>
        <w:t xml:space="preserve"> </w:t>
      </w:r>
      <w:r w:rsidRPr="00CD59CC">
        <w:rPr>
          <w:rFonts w:ascii="Arial" w:hAnsi="Arial" w:cs="Arial"/>
          <w:i/>
        </w:rPr>
        <w:t>so,</w:t>
      </w:r>
      <w:r w:rsidR="007B7640" w:rsidRPr="00CD59CC">
        <w:rPr>
          <w:rFonts w:ascii="Arial" w:hAnsi="Arial" w:cs="Arial"/>
          <w:i/>
        </w:rPr>
        <w:t xml:space="preserve"> </w:t>
      </w:r>
      <w:r w:rsidRPr="00CD59CC">
        <w:rPr>
          <w:rFonts w:ascii="Arial" w:hAnsi="Arial" w:cs="Arial"/>
          <w:i/>
        </w:rPr>
        <w:t>how</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accessibility</w:t>
      </w:r>
      <w:r w:rsidR="007B7640" w:rsidRPr="00CD59CC">
        <w:rPr>
          <w:rFonts w:ascii="Arial" w:hAnsi="Arial" w:cs="Arial"/>
          <w:i/>
        </w:rPr>
        <w:t xml:space="preserve"> </w:t>
      </w:r>
      <w:r w:rsidRPr="00CD59CC">
        <w:rPr>
          <w:rFonts w:ascii="Arial" w:hAnsi="Arial" w:cs="Arial"/>
          <w:i/>
        </w:rPr>
        <w:t>defined,</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what</w:t>
      </w:r>
      <w:r w:rsidR="007B7640" w:rsidRPr="00CD59CC">
        <w:rPr>
          <w:rFonts w:ascii="Arial" w:hAnsi="Arial" w:cs="Arial"/>
          <w:i/>
        </w:rPr>
        <w:t xml:space="preserve"> </w:t>
      </w:r>
      <w:r w:rsidRPr="00CD59CC">
        <w:rPr>
          <w:rFonts w:ascii="Arial" w:hAnsi="Arial" w:cs="Arial"/>
          <w:i/>
        </w:rPr>
        <w:t>fields</w:t>
      </w:r>
      <w:r w:rsidR="007B7640" w:rsidRPr="00CD59CC">
        <w:rPr>
          <w:rFonts w:ascii="Arial" w:hAnsi="Arial" w:cs="Arial"/>
          <w:i/>
        </w:rPr>
        <w:t xml:space="preserve"> </w:t>
      </w:r>
      <w:r w:rsidRPr="00CD59CC">
        <w:rPr>
          <w:rFonts w:ascii="Arial" w:hAnsi="Arial" w:cs="Arial"/>
          <w:i/>
        </w:rPr>
        <w:t>(employment,</w:t>
      </w:r>
      <w:r w:rsidR="007B7640" w:rsidRPr="00CD59CC">
        <w:rPr>
          <w:rFonts w:ascii="Arial" w:hAnsi="Arial" w:cs="Arial"/>
          <w:i/>
        </w:rPr>
        <w:t xml:space="preserve"> </w:t>
      </w:r>
      <w:r w:rsidRPr="00CD59CC">
        <w:rPr>
          <w:rFonts w:ascii="Arial" w:hAnsi="Arial" w:cs="Arial"/>
          <w:i/>
        </w:rPr>
        <w:t>social</w:t>
      </w:r>
      <w:r w:rsidR="007B7640" w:rsidRPr="00CD59CC">
        <w:rPr>
          <w:rFonts w:ascii="Arial" w:hAnsi="Arial" w:cs="Arial"/>
          <w:i/>
        </w:rPr>
        <w:t xml:space="preserve"> </w:t>
      </w:r>
      <w:r w:rsidRPr="00CD59CC">
        <w:rPr>
          <w:rFonts w:ascii="Arial" w:hAnsi="Arial" w:cs="Arial"/>
          <w:i/>
        </w:rPr>
        <w:t>protection,</w:t>
      </w:r>
      <w:r w:rsidR="007B7640" w:rsidRPr="00CD59CC">
        <w:rPr>
          <w:rFonts w:ascii="Arial" w:hAnsi="Arial" w:cs="Arial"/>
          <w:i/>
        </w:rPr>
        <w:t xml:space="preserve"> </w:t>
      </w:r>
      <w:r w:rsidRPr="00CD59CC">
        <w:rPr>
          <w:rFonts w:ascii="Arial" w:hAnsi="Arial" w:cs="Arial"/>
          <w:i/>
        </w:rPr>
        <w:t>goods</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services,</w:t>
      </w:r>
      <w:r w:rsidR="007B7640" w:rsidRPr="00CD59CC">
        <w:rPr>
          <w:rFonts w:ascii="Arial" w:hAnsi="Arial" w:cs="Arial"/>
          <w:i/>
        </w:rPr>
        <w:t xml:space="preserve"> </w:t>
      </w:r>
      <w:r w:rsidRPr="00CD59CC">
        <w:rPr>
          <w:rFonts w:ascii="Arial" w:hAnsi="Arial" w:cs="Arial"/>
          <w:i/>
        </w:rPr>
        <w:t>transport,</w:t>
      </w:r>
      <w:r w:rsidR="007B7640" w:rsidRPr="00CD59CC">
        <w:rPr>
          <w:rFonts w:ascii="Arial" w:hAnsi="Arial" w:cs="Arial"/>
          <w:i/>
        </w:rPr>
        <w:t xml:space="preserve"> </w:t>
      </w:r>
      <w:r w:rsidRPr="00CD59CC">
        <w:rPr>
          <w:rFonts w:ascii="Arial" w:hAnsi="Arial" w:cs="Arial"/>
          <w:i/>
        </w:rPr>
        <w:t>housing,</w:t>
      </w:r>
      <w:r w:rsidR="007B7640" w:rsidRPr="00CD59CC">
        <w:rPr>
          <w:rFonts w:ascii="Arial" w:hAnsi="Arial" w:cs="Arial"/>
          <w:i/>
        </w:rPr>
        <w:t xml:space="preserve"> </w:t>
      </w:r>
      <w:r w:rsidRPr="00CD59CC">
        <w:rPr>
          <w:rFonts w:ascii="Arial" w:hAnsi="Arial" w:cs="Arial"/>
          <w:i/>
        </w:rPr>
        <w:t>education,</w:t>
      </w:r>
      <w:r w:rsidR="007B7640" w:rsidRPr="00CD59CC">
        <w:rPr>
          <w:rFonts w:ascii="Arial" w:hAnsi="Arial" w:cs="Arial"/>
          <w:i/>
        </w:rPr>
        <w:t xml:space="preserve"> </w:t>
      </w:r>
      <w:r w:rsidRPr="00CD59CC">
        <w:rPr>
          <w:rFonts w:ascii="Arial" w:hAnsi="Arial" w:cs="Arial"/>
          <w:i/>
        </w:rPr>
        <w:t>etc.)</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who</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covered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this</w:t>
      </w:r>
      <w:r w:rsidR="007B7640" w:rsidRPr="00CD59CC">
        <w:rPr>
          <w:rFonts w:ascii="Arial" w:hAnsi="Arial" w:cs="Arial"/>
          <w:i/>
        </w:rPr>
        <w:t xml:space="preserve"> </w:t>
      </w:r>
      <w:r w:rsidRPr="00CD59CC">
        <w:rPr>
          <w:rFonts w:ascii="Arial" w:hAnsi="Arial" w:cs="Arial"/>
          <w:i/>
        </w:rPr>
        <w:t>obligation?</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what</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can</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failure</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provide</w:t>
      </w:r>
      <w:r w:rsidR="007B7640" w:rsidRPr="00CD59CC">
        <w:rPr>
          <w:rFonts w:ascii="Arial" w:hAnsi="Arial" w:cs="Arial"/>
          <w:i/>
        </w:rPr>
        <w:t xml:space="preserve"> </w:t>
      </w:r>
      <w:r w:rsidRPr="00CD59CC">
        <w:rPr>
          <w:rFonts w:ascii="Arial" w:hAnsi="Arial" w:cs="Arial"/>
          <w:i/>
        </w:rPr>
        <w:t>accessibility</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justified?</w:t>
      </w:r>
    </w:p>
    <w:p w14:paraId="551EB00E" w14:textId="77777777" w:rsidR="00AA4EAB" w:rsidRPr="00BB4E9F" w:rsidRDefault="00AA4EAB" w:rsidP="00BB4E9F">
      <w:pPr>
        <w:pStyle w:val="ListParagraph"/>
        <w:rPr>
          <w:rFonts w:ascii="Arial" w:hAnsi="Arial"/>
          <w:i/>
        </w:rPr>
      </w:pPr>
    </w:p>
    <w:p w14:paraId="1554DCEF" w14:textId="77777777" w:rsidR="00D212C0" w:rsidRPr="00CD59CC" w:rsidRDefault="00D212C0" w:rsidP="00CD59CC">
      <w:pPr>
        <w:ind w:hanging="27"/>
        <w:rPr>
          <w:rFonts w:ascii="Arial" w:hAnsi="Arial" w:cs="Arial"/>
        </w:rPr>
      </w:pPr>
      <w:r w:rsidRPr="00CD59CC">
        <w:rPr>
          <w:rFonts w:ascii="Arial" w:hAnsi="Arial" w:cs="Arial"/>
        </w:rPr>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could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seen</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what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said</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anticipation.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fields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entities</w:t>
      </w:r>
      <w:r w:rsidR="007B7640" w:rsidRPr="00CD59CC">
        <w:rPr>
          <w:rFonts w:ascii="Arial" w:hAnsi="Arial" w:cs="Arial"/>
        </w:rPr>
        <w:t xml:space="preserve"> </w:t>
      </w:r>
      <w:r w:rsidRPr="00CD59CC">
        <w:rPr>
          <w:rFonts w:ascii="Arial" w:hAnsi="Arial" w:cs="Arial"/>
        </w:rPr>
        <w:t>obliged</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detailed</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(i).</w:t>
      </w:r>
    </w:p>
    <w:p w14:paraId="73AC7A1D" w14:textId="77777777" w:rsidR="006C29E1" w:rsidRPr="00BB4E9F" w:rsidRDefault="006C29E1" w:rsidP="00BB4E9F">
      <w:pPr>
        <w:pStyle w:val="ListParagraph"/>
        <w:rPr>
          <w:rFonts w:ascii="Arial" w:hAnsi="Arial"/>
          <w:i/>
        </w:rPr>
      </w:pPr>
    </w:p>
    <w:p w14:paraId="3AD59AB4" w14:textId="77777777" w:rsidR="00AA4EAB" w:rsidRPr="00CD59CC" w:rsidRDefault="00AA4EAB" w:rsidP="002803A1">
      <w:pPr>
        <w:numPr>
          <w:ilvl w:val="0"/>
          <w:numId w:val="9"/>
        </w:numPr>
        <w:ind w:left="567" w:hanging="567"/>
        <w:rPr>
          <w:rFonts w:ascii="Arial" w:hAnsi="Arial" w:cs="Arial"/>
          <w:i/>
        </w:rPr>
      </w:pP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require</w:t>
      </w:r>
      <w:r w:rsidR="007B7640" w:rsidRPr="00CD59CC">
        <w:rPr>
          <w:rFonts w:ascii="Arial" w:hAnsi="Arial" w:cs="Arial"/>
          <w:i/>
        </w:rPr>
        <w:t xml:space="preserve"> </w:t>
      </w:r>
      <w:r w:rsidRPr="00CD59CC">
        <w:rPr>
          <w:rFonts w:ascii="Arial" w:hAnsi="Arial" w:cs="Arial"/>
          <w:i/>
        </w:rPr>
        <w:t>public</w:t>
      </w:r>
      <w:r w:rsidR="007B7640" w:rsidRPr="00CD59CC">
        <w:rPr>
          <w:rFonts w:ascii="Arial" w:hAnsi="Arial" w:cs="Arial"/>
          <w:i/>
        </w:rPr>
        <w:t xml:space="preserve"> </w:t>
      </w:r>
      <w:r w:rsidRPr="00CD59CC">
        <w:rPr>
          <w:rFonts w:ascii="Arial" w:hAnsi="Arial" w:cs="Arial"/>
          <w:i/>
        </w:rPr>
        <w:t>services</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also</w:t>
      </w:r>
      <w:r w:rsidR="007B7640" w:rsidRPr="00CD59CC">
        <w:rPr>
          <w:rFonts w:ascii="Arial" w:hAnsi="Arial" w:cs="Arial"/>
          <w:i/>
        </w:rPr>
        <w:t xml:space="preserve"> </w:t>
      </w:r>
      <w:r w:rsidRPr="00CD59CC">
        <w:rPr>
          <w:rFonts w:ascii="Arial" w:hAnsi="Arial" w:cs="Arial"/>
          <w:i/>
        </w:rPr>
        <w:t>translate</w:t>
      </w:r>
      <w:r w:rsidR="007B7640" w:rsidRPr="00CD59CC">
        <w:rPr>
          <w:rFonts w:ascii="Arial" w:hAnsi="Arial" w:cs="Arial"/>
          <w:i/>
        </w:rPr>
        <w:t xml:space="preserve"> </w:t>
      </w:r>
      <w:r w:rsidRPr="00CD59CC">
        <w:rPr>
          <w:rFonts w:ascii="Arial" w:hAnsi="Arial" w:cs="Arial"/>
          <w:i/>
        </w:rPr>
        <w:t>some</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all</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their</w:t>
      </w:r>
      <w:r w:rsidR="007B7640" w:rsidRPr="00CD59CC">
        <w:rPr>
          <w:rFonts w:ascii="Arial" w:hAnsi="Arial" w:cs="Arial"/>
          <w:i/>
        </w:rPr>
        <w:t xml:space="preserve"> </w:t>
      </w:r>
      <w:r w:rsidRPr="00CD59CC">
        <w:rPr>
          <w:rFonts w:ascii="Arial" w:hAnsi="Arial" w:cs="Arial"/>
          <w:i/>
        </w:rPr>
        <w:t>documents</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Braille?</w:t>
      </w:r>
      <w:r w:rsidR="007B7640" w:rsidRPr="00CD59CC">
        <w:rPr>
          <w:rFonts w:ascii="Arial" w:hAnsi="Arial" w:cs="Arial"/>
          <w:i/>
        </w:rPr>
        <w:t xml:space="preserve"> </w:t>
      </w:r>
      <w:r w:rsidRPr="00CD59CC">
        <w:rPr>
          <w:rFonts w:ascii="Arial" w:hAnsi="Arial" w:cs="Arial"/>
          <w:i/>
        </w:rPr>
        <w:t>(i</w:t>
      </w:r>
      <w:r w:rsidR="006E65B5" w:rsidRPr="00CD59CC">
        <w:rPr>
          <w:rFonts w:ascii="Arial" w:hAnsi="Arial" w:cs="Arial"/>
          <w:i/>
        </w:rPr>
        <w:t>.</w:t>
      </w:r>
      <w:r w:rsidRPr="00CD59CC">
        <w:rPr>
          <w:rFonts w:ascii="Arial" w:hAnsi="Arial" w:cs="Arial"/>
          <w:i/>
        </w:rPr>
        <w:t>e.</w:t>
      </w:r>
      <w:r w:rsidR="007B7640" w:rsidRPr="00CD59CC">
        <w:rPr>
          <w:rFonts w:ascii="Arial" w:hAnsi="Arial" w:cs="Arial"/>
          <w:i/>
        </w:rPr>
        <w:t xml:space="preserve"> </w:t>
      </w:r>
      <w:r w:rsidRPr="00CD59CC">
        <w:rPr>
          <w:rFonts w:ascii="Arial" w:hAnsi="Arial" w:cs="Arial"/>
          <w:i/>
        </w:rPr>
        <w:t>Tax</w:t>
      </w:r>
      <w:r w:rsidR="007B7640" w:rsidRPr="00CD59CC">
        <w:rPr>
          <w:rFonts w:ascii="Arial" w:hAnsi="Arial" w:cs="Arial"/>
          <w:i/>
        </w:rPr>
        <w:t xml:space="preserve"> </w:t>
      </w:r>
      <w:r w:rsidRPr="00CD59CC">
        <w:rPr>
          <w:rFonts w:ascii="Arial" w:hAnsi="Arial" w:cs="Arial"/>
          <w:i/>
        </w:rPr>
        <w:t>declarations,</w:t>
      </w:r>
      <w:r w:rsidR="007B7640" w:rsidRPr="00CD59CC">
        <w:rPr>
          <w:rFonts w:ascii="Arial" w:hAnsi="Arial" w:cs="Arial"/>
          <w:i/>
        </w:rPr>
        <w:t xml:space="preserve"> </w:t>
      </w:r>
      <w:r w:rsidRPr="00CD59CC">
        <w:rPr>
          <w:rFonts w:ascii="Arial" w:hAnsi="Arial" w:cs="Arial"/>
          <w:i/>
        </w:rPr>
        <w:t>general</w:t>
      </w:r>
      <w:r w:rsidR="007B7640" w:rsidRPr="00CD59CC">
        <w:rPr>
          <w:rFonts w:ascii="Arial" w:hAnsi="Arial" w:cs="Arial"/>
          <w:i/>
        </w:rPr>
        <w:t xml:space="preserve"> </w:t>
      </w:r>
      <w:r w:rsidRPr="00CD59CC">
        <w:rPr>
          <w:rFonts w:ascii="Arial" w:hAnsi="Arial" w:cs="Arial"/>
          <w:i/>
        </w:rPr>
        <w:t>information)</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translation</w:t>
      </w:r>
      <w:r w:rsidR="007B7640" w:rsidRPr="00CD59CC">
        <w:rPr>
          <w:rFonts w:ascii="Arial" w:hAnsi="Arial" w:cs="Arial"/>
          <w:i/>
        </w:rPr>
        <w:t xml:space="preserve"> </w:t>
      </w:r>
      <w:r w:rsidRPr="00CD59CC">
        <w:rPr>
          <w:rFonts w:ascii="Arial" w:hAnsi="Arial" w:cs="Arial"/>
          <w:i/>
        </w:rPr>
        <w:t>i</w:t>
      </w:r>
      <w:r w:rsidR="006E65B5" w:rsidRPr="00CD59CC">
        <w:rPr>
          <w:rFonts w:ascii="Arial" w:hAnsi="Arial" w:cs="Arial"/>
          <w:i/>
        </w:rPr>
        <w:t>n</w:t>
      </w:r>
      <w:r w:rsidR="007B7640" w:rsidRPr="00CD59CC">
        <w:rPr>
          <w:rFonts w:ascii="Arial" w:hAnsi="Arial" w:cs="Arial"/>
          <w:i/>
        </w:rPr>
        <w:t xml:space="preserve"> </w:t>
      </w:r>
      <w:r w:rsidRPr="00CD59CC">
        <w:rPr>
          <w:rFonts w:ascii="Arial" w:hAnsi="Arial" w:cs="Arial"/>
          <w:i/>
        </w:rPr>
        <w:t>sign</w:t>
      </w:r>
      <w:r w:rsidR="007B7640" w:rsidRPr="00CD59CC">
        <w:rPr>
          <w:rFonts w:ascii="Arial" w:hAnsi="Arial" w:cs="Arial"/>
          <w:i/>
        </w:rPr>
        <w:t xml:space="preserve"> </w:t>
      </w:r>
      <w:r w:rsidRPr="00CD59CC">
        <w:rPr>
          <w:rFonts w:ascii="Arial" w:hAnsi="Arial" w:cs="Arial"/>
          <w:i/>
        </w:rPr>
        <w:t>languages</w:t>
      </w:r>
      <w:r w:rsidR="007B7640" w:rsidRPr="00CD59CC">
        <w:rPr>
          <w:rFonts w:ascii="Arial" w:hAnsi="Arial" w:cs="Arial"/>
          <w:i/>
        </w:rPr>
        <w:t xml:space="preserve"> </w:t>
      </w:r>
      <w:r w:rsidRPr="00CD59CC">
        <w:rPr>
          <w:rFonts w:ascii="Arial" w:hAnsi="Arial" w:cs="Arial"/>
          <w:i/>
        </w:rPr>
        <w:t>provided</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some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public</w:t>
      </w:r>
      <w:r w:rsidR="007B7640" w:rsidRPr="00CD59CC">
        <w:rPr>
          <w:rFonts w:ascii="Arial" w:hAnsi="Arial" w:cs="Arial"/>
          <w:i/>
        </w:rPr>
        <w:t xml:space="preserve"> </w:t>
      </w:r>
      <w:r w:rsidRPr="00CD59CC">
        <w:rPr>
          <w:rFonts w:ascii="Arial" w:hAnsi="Arial" w:cs="Arial"/>
          <w:i/>
        </w:rPr>
        <w:t>services</w:t>
      </w:r>
      <w:r w:rsidR="007B7640" w:rsidRPr="00CD59CC">
        <w:rPr>
          <w:rFonts w:ascii="Arial" w:hAnsi="Arial" w:cs="Arial"/>
          <w:i/>
        </w:rPr>
        <w:t xml:space="preserve"> </w:t>
      </w:r>
      <w:r w:rsidRPr="00CD59CC">
        <w:rPr>
          <w:rFonts w:ascii="Arial" w:hAnsi="Arial" w:cs="Arial"/>
          <w:i/>
        </w:rPr>
        <w:t>where</w:t>
      </w:r>
      <w:r w:rsidR="007B7640" w:rsidRPr="00CD59CC">
        <w:rPr>
          <w:rFonts w:ascii="Arial" w:hAnsi="Arial" w:cs="Arial"/>
          <w:i/>
        </w:rPr>
        <w:t xml:space="preserve"> </w:t>
      </w:r>
      <w:r w:rsidRPr="00CD59CC">
        <w:rPr>
          <w:rFonts w:ascii="Arial" w:hAnsi="Arial" w:cs="Arial"/>
          <w:i/>
        </w:rPr>
        <w:t>needed?</w:t>
      </w:r>
      <w:r w:rsidR="007B7640" w:rsidRPr="00CD59CC">
        <w:rPr>
          <w:rFonts w:ascii="Arial" w:hAnsi="Arial" w:cs="Arial"/>
          <w:i/>
        </w:rPr>
        <w:t xml:space="preserve"> </w:t>
      </w:r>
      <w:r w:rsidRPr="00CD59CC">
        <w:rPr>
          <w:rFonts w:ascii="Arial" w:hAnsi="Arial" w:cs="Arial"/>
          <w:i/>
        </w:rPr>
        <w:t>What</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practice?</w:t>
      </w:r>
    </w:p>
    <w:p w14:paraId="2F9CC216" w14:textId="77777777" w:rsidR="002B5BCD" w:rsidRPr="00CD59CC" w:rsidRDefault="002B5BCD" w:rsidP="00CD59CC">
      <w:pPr>
        <w:ind w:left="567" w:hanging="567"/>
        <w:rPr>
          <w:rFonts w:ascii="Arial" w:hAnsi="Arial" w:cs="Arial"/>
        </w:rPr>
      </w:pPr>
    </w:p>
    <w:p w14:paraId="2BCE7F8A" w14:textId="77777777" w:rsidR="009A2EFA" w:rsidRPr="00CD59CC" w:rsidRDefault="009A2EFA" w:rsidP="00CD59CC">
      <w:pPr>
        <w:rPr>
          <w:rFonts w:ascii="Arial" w:hAnsi="Arial" w:cs="Arial"/>
        </w:rPr>
      </w:pPr>
      <w:r w:rsidRPr="00CD59CC">
        <w:rPr>
          <w:rFonts w:ascii="Arial" w:hAnsi="Arial" w:cs="Arial"/>
        </w:rPr>
        <w:t>There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obligation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translate</w:t>
      </w:r>
      <w:r w:rsidR="007B7640" w:rsidRPr="00CD59CC">
        <w:rPr>
          <w:rFonts w:ascii="Arial" w:hAnsi="Arial" w:cs="Arial"/>
        </w:rPr>
        <w:t xml:space="preserve"> </w:t>
      </w:r>
      <w:r w:rsidRPr="00CD59CC">
        <w:rPr>
          <w:rFonts w:ascii="Arial" w:hAnsi="Arial" w:cs="Arial"/>
        </w:rPr>
        <w:t>documents</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Braille,</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prescribes</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obligation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some</w:t>
      </w:r>
      <w:r w:rsidR="007B7640" w:rsidRPr="00CD59CC">
        <w:rPr>
          <w:rFonts w:ascii="Arial" w:hAnsi="Arial" w:cs="Arial"/>
        </w:rPr>
        <w:t xml:space="preserve"> </w:t>
      </w:r>
      <w:r w:rsidRPr="00CD59CC">
        <w:rPr>
          <w:rFonts w:ascii="Arial" w:hAnsi="Arial" w:cs="Arial"/>
        </w:rPr>
        <w:t>documents.</w:t>
      </w:r>
      <w:r w:rsidR="007B7640" w:rsidRPr="00CD59CC">
        <w:rPr>
          <w:rFonts w:ascii="Arial" w:hAnsi="Arial" w:cs="Arial"/>
        </w:rPr>
        <w:t xml:space="preserve"> </w:t>
      </w:r>
    </w:p>
    <w:p w14:paraId="2BFF97CB" w14:textId="77777777" w:rsidR="009A2EFA" w:rsidRPr="00CD59CC" w:rsidRDefault="009A2EFA" w:rsidP="00CD59CC">
      <w:pPr>
        <w:rPr>
          <w:rFonts w:ascii="Arial" w:hAnsi="Arial" w:cs="Arial"/>
        </w:rPr>
      </w:pPr>
    </w:p>
    <w:p w14:paraId="076F053D" w14:textId="77777777" w:rsidR="00DF461A" w:rsidRPr="00CD59CC" w:rsidRDefault="009A2EFA" w:rsidP="00CD59CC">
      <w:pPr>
        <w:rPr>
          <w:rFonts w:ascii="Arial" w:hAnsi="Arial" w:cs="Arial"/>
        </w:rPr>
      </w:pPr>
      <w:r w:rsidRPr="00CD59CC">
        <w:rPr>
          <w:rFonts w:ascii="Arial" w:hAnsi="Arial" w:cs="Arial"/>
        </w:rPr>
        <w:t>For</w:t>
      </w:r>
      <w:r w:rsidR="007B7640" w:rsidRPr="00CD59CC">
        <w:rPr>
          <w:rFonts w:ascii="Arial" w:hAnsi="Arial" w:cs="Arial"/>
        </w:rPr>
        <w:t xml:space="preserve"> </w:t>
      </w:r>
      <w:r w:rsidRPr="00CD59CC">
        <w:rPr>
          <w:rFonts w:ascii="Arial" w:hAnsi="Arial" w:cs="Arial"/>
        </w:rPr>
        <w:t>example,</w:t>
      </w:r>
      <w:r w:rsidR="007B7640" w:rsidRPr="00CD59CC">
        <w:rPr>
          <w:rFonts w:ascii="Arial" w:hAnsi="Arial" w:cs="Arial"/>
        </w:rPr>
        <w:t xml:space="preserve"> </w:t>
      </w:r>
      <w:r w:rsidR="00DF461A" w:rsidRPr="00CD59CC">
        <w:rPr>
          <w:rFonts w:ascii="Arial" w:hAnsi="Arial" w:cs="Arial"/>
        </w:rPr>
        <w:t>under</w:t>
      </w:r>
      <w:r w:rsidR="007B7640" w:rsidRPr="00CD59CC">
        <w:rPr>
          <w:rFonts w:ascii="Arial" w:hAnsi="Arial" w:cs="Arial"/>
        </w:rPr>
        <w:t xml:space="preserve"> </w:t>
      </w:r>
      <w:r w:rsidR="00DF461A" w:rsidRPr="00CD59CC">
        <w:rPr>
          <w:rFonts w:ascii="Arial" w:hAnsi="Arial" w:cs="Arial"/>
        </w:rPr>
        <w:t>Article</w:t>
      </w:r>
      <w:r w:rsidR="007B7640" w:rsidRPr="00CD59CC">
        <w:rPr>
          <w:rFonts w:ascii="Arial" w:hAnsi="Arial" w:cs="Arial"/>
        </w:rPr>
        <w:t xml:space="preserve"> </w:t>
      </w:r>
      <w:r w:rsidR="00DF461A" w:rsidRPr="00CD59CC">
        <w:rPr>
          <w:rFonts w:ascii="Arial" w:hAnsi="Arial" w:cs="Arial"/>
        </w:rPr>
        <w:t>16</w:t>
      </w:r>
      <w:r w:rsidR="007B7640" w:rsidRPr="00CD59CC">
        <w:rPr>
          <w:rFonts w:ascii="Arial" w:hAnsi="Arial" w:cs="Arial"/>
        </w:rPr>
        <w:t xml:space="preserve"> </w:t>
      </w:r>
      <w:r w:rsidR="00DF461A" w:rsidRPr="00CD59CC">
        <w:rPr>
          <w:rFonts w:ascii="Arial" w:hAnsi="Arial" w:cs="Arial"/>
        </w:rPr>
        <w:t>Paragraph</w:t>
      </w:r>
      <w:r w:rsidR="007B7640" w:rsidRPr="00CD59CC">
        <w:rPr>
          <w:rFonts w:ascii="Arial" w:hAnsi="Arial" w:cs="Arial"/>
        </w:rPr>
        <w:t xml:space="preserve"> </w:t>
      </w:r>
      <w:r w:rsidR="00DF461A" w:rsidRPr="00CD59CC">
        <w:rPr>
          <w:rFonts w:ascii="Arial" w:hAnsi="Arial" w:cs="Arial"/>
        </w:rPr>
        <w:t>(2)</w:t>
      </w:r>
      <w:r w:rsidR="007B7640" w:rsidRPr="00CD59CC">
        <w:rPr>
          <w:rFonts w:ascii="Arial" w:hAnsi="Arial" w:cs="Arial"/>
        </w:rPr>
        <w:t xml:space="preserve"> </w:t>
      </w:r>
      <w:r w:rsidR="00DF461A" w:rsidRPr="00CD59CC">
        <w:rPr>
          <w:rFonts w:ascii="Arial" w:hAnsi="Arial" w:cs="Arial"/>
        </w:rPr>
        <w:t>of</w:t>
      </w:r>
      <w:r w:rsidR="007B7640" w:rsidRPr="00CD59CC">
        <w:rPr>
          <w:rFonts w:ascii="Arial" w:hAnsi="Arial" w:cs="Arial"/>
        </w:rPr>
        <w:t xml:space="preserve"> </w:t>
      </w:r>
      <w:r w:rsidR="00DF461A" w:rsidRPr="00CD59CC">
        <w:rPr>
          <w:rFonts w:ascii="Arial" w:hAnsi="Arial" w:cs="Arial"/>
        </w:rPr>
        <w:t>the</w:t>
      </w:r>
      <w:r w:rsidR="007B7640" w:rsidRPr="00CD59CC">
        <w:rPr>
          <w:rFonts w:ascii="Arial" w:hAnsi="Arial" w:cs="Arial"/>
        </w:rPr>
        <w:t xml:space="preserve"> </w:t>
      </w:r>
      <w:r w:rsidR="00DF461A" w:rsidRPr="00CD59CC">
        <w:rPr>
          <w:rFonts w:ascii="Arial" w:hAnsi="Arial" w:cs="Arial"/>
        </w:rPr>
        <w:t>ETA,</w:t>
      </w:r>
      <w:r w:rsidR="007B7640" w:rsidRPr="00CD59CC">
        <w:rPr>
          <w:rFonts w:ascii="Arial" w:hAnsi="Arial" w:cs="Arial"/>
        </w:rPr>
        <w:t xml:space="preserve"> </w:t>
      </w:r>
      <w:r w:rsidR="00DF461A" w:rsidRPr="00CD59CC">
        <w:rPr>
          <w:rFonts w:ascii="Arial" w:hAnsi="Arial" w:cs="Arial"/>
        </w:rPr>
        <w:t>the</w:t>
      </w:r>
      <w:r w:rsidR="007B7640" w:rsidRPr="00CD59CC">
        <w:rPr>
          <w:rFonts w:ascii="Arial" w:hAnsi="Arial" w:cs="Arial"/>
        </w:rPr>
        <w:t xml:space="preserve"> </w:t>
      </w:r>
      <w:r w:rsidR="00DF461A" w:rsidRPr="00CD59CC">
        <w:rPr>
          <w:rFonts w:ascii="Arial" w:hAnsi="Arial" w:cs="Arial"/>
        </w:rPr>
        <w:t>records</w:t>
      </w:r>
      <w:r w:rsidR="007B7640" w:rsidRPr="00CD59CC">
        <w:rPr>
          <w:rFonts w:ascii="Arial" w:hAnsi="Arial" w:cs="Arial"/>
        </w:rPr>
        <w:t xml:space="preserve"> </w:t>
      </w:r>
      <w:r w:rsidR="00DF461A" w:rsidRPr="00CD59CC">
        <w:rPr>
          <w:rFonts w:ascii="Arial" w:hAnsi="Arial" w:cs="Arial"/>
        </w:rPr>
        <w:t>of</w:t>
      </w:r>
      <w:r w:rsidR="007B7640" w:rsidRPr="00CD59CC">
        <w:rPr>
          <w:rFonts w:ascii="Arial" w:hAnsi="Arial" w:cs="Arial"/>
        </w:rPr>
        <w:t xml:space="preserve"> </w:t>
      </w:r>
      <w:r w:rsidR="00DF461A" w:rsidRPr="00CD59CC">
        <w:rPr>
          <w:rFonts w:ascii="Arial" w:hAnsi="Arial" w:cs="Arial"/>
        </w:rPr>
        <w:t>the</w:t>
      </w:r>
      <w:r w:rsidR="007B7640" w:rsidRPr="00CD59CC">
        <w:rPr>
          <w:rFonts w:ascii="Arial" w:hAnsi="Arial" w:cs="Arial"/>
        </w:rPr>
        <w:t xml:space="preserve"> </w:t>
      </w:r>
      <w:r w:rsidR="00DF461A" w:rsidRPr="00CD59CC">
        <w:rPr>
          <w:rFonts w:ascii="Arial" w:hAnsi="Arial" w:cs="Arial"/>
        </w:rPr>
        <w:t>Equal</w:t>
      </w:r>
      <w:r w:rsidR="007B7640" w:rsidRPr="00CD59CC">
        <w:rPr>
          <w:rFonts w:ascii="Arial" w:hAnsi="Arial" w:cs="Arial"/>
        </w:rPr>
        <w:t xml:space="preserve"> </w:t>
      </w:r>
      <w:r w:rsidR="00DF461A" w:rsidRPr="00CD59CC">
        <w:rPr>
          <w:rFonts w:ascii="Arial" w:hAnsi="Arial" w:cs="Arial"/>
        </w:rPr>
        <w:t>Treatment</w:t>
      </w:r>
      <w:r w:rsidR="007B7640" w:rsidRPr="00CD59CC">
        <w:rPr>
          <w:rFonts w:ascii="Arial" w:hAnsi="Arial" w:cs="Arial"/>
        </w:rPr>
        <w:t xml:space="preserve"> </w:t>
      </w:r>
      <w:r w:rsidR="00DF461A" w:rsidRPr="00CD59CC">
        <w:rPr>
          <w:rFonts w:ascii="Arial" w:hAnsi="Arial" w:cs="Arial"/>
        </w:rPr>
        <w:t>Authority’s</w:t>
      </w:r>
      <w:r w:rsidR="007B7640" w:rsidRPr="00CD59CC">
        <w:rPr>
          <w:rFonts w:ascii="Arial" w:hAnsi="Arial" w:cs="Arial"/>
        </w:rPr>
        <w:t xml:space="preserve"> </w:t>
      </w:r>
      <w:r w:rsidR="00DF461A" w:rsidRPr="00CD59CC">
        <w:rPr>
          <w:rFonts w:ascii="Arial" w:hAnsi="Arial" w:cs="Arial"/>
        </w:rPr>
        <w:t>hearing</w:t>
      </w:r>
      <w:r w:rsidR="007B7640" w:rsidRPr="00CD59CC">
        <w:rPr>
          <w:rFonts w:ascii="Arial" w:hAnsi="Arial" w:cs="Arial"/>
        </w:rPr>
        <w:t xml:space="preserve"> </w:t>
      </w:r>
      <w:r w:rsidR="00DF461A" w:rsidRPr="00CD59CC">
        <w:rPr>
          <w:rFonts w:ascii="Arial" w:hAnsi="Arial" w:cs="Arial"/>
        </w:rPr>
        <w:t>shall</w:t>
      </w:r>
      <w:r w:rsidR="007B7640" w:rsidRPr="00CD59CC">
        <w:rPr>
          <w:rFonts w:ascii="Arial" w:hAnsi="Arial" w:cs="Arial"/>
        </w:rPr>
        <w:t xml:space="preserve"> </w:t>
      </w:r>
      <w:r w:rsidR="00DF461A" w:rsidRPr="00CD59CC">
        <w:rPr>
          <w:rFonts w:ascii="Arial" w:hAnsi="Arial" w:cs="Arial"/>
        </w:rPr>
        <w:t>–</w:t>
      </w:r>
      <w:r w:rsidR="007B7640" w:rsidRPr="00CD59CC">
        <w:rPr>
          <w:rFonts w:ascii="Arial" w:hAnsi="Arial" w:cs="Arial"/>
        </w:rPr>
        <w:t xml:space="preserve"> </w:t>
      </w:r>
      <w:r w:rsidR="00DF461A" w:rsidRPr="00CD59CC">
        <w:rPr>
          <w:rFonts w:ascii="Arial" w:hAnsi="Arial" w:cs="Arial"/>
        </w:rPr>
        <w:t>upon</w:t>
      </w:r>
      <w:r w:rsidR="007B7640" w:rsidRPr="00CD59CC">
        <w:rPr>
          <w:rFonts w:ascii="Arial" w:hAnsi="Arial" w:cs="Arial"/>
        </w:rPr>
        <w:t xml:space="preserve"> </w:t>
      </w:r>
      <w:r w:rsidR="00DF461A" w:rsidRPr="00CD59CC">
        <w:rPr>
          <w:rFonts w:ascii="Arial" w:hAnsi="Arial" w:cs="Arial"/>
        </w:rPr>
        <w:t>the</w:t>
      </w:r>
      <w:r w:rsidR="007B7640" w:rsidRPr="00CD59CC">
        <w:rPr>
          <w:rFonts w:ascii="Arial" w:hAnsi="Arial" w:cs="Arial"/>
        </w:rPr>
        <w:t xml:space="preserve"> </w:t>
      </w:r>
      <w:r w:rsidR="00DF461A" w:rsidRPr="00CD59CC">
        <w:rPr>
          <w:rFonts w:ascii="Arial" w:hAnsi="Arial" w:cs="Arial"/>
        </w:rPr>
        <w:t>visually</w:t>
      </w:r>
      <w:r w:rsidR="007B7640" w:rsidRPr="00CD59CC">
        <w:rPr>
          <w:rFonts w:ascii="Arial" w:hAnsi="Arial" w:cs="Arial"/>
        </w:rPr>
        <w:t xml:space="preserve"> </w:t>
      </w:r>
      <w:r w:rsidR="00DF461A" w:rsidRPr="00CD59CC">
        <w:rPr>
          <w:rFonts w:ascii="Arial" w:hAnsi="Arial" w:cs="Arial"/>
        </w:rPr>
        <w:t>impaired</w:t>
      </w:r>
      <w:r w:rsidR="007B7640" w:rsidRPr="00CD59CC">
        <w:rPr>
          <w:rFonts w:ascii="Arial" w:hAnsi="Arial" w:cs="Arial"/>
        </w:rPr>
        <w:t xml:space="preserve"> </w:t>
      </w:r>
      <w:r w:rsidR="00DF461A" w:rsidRPr="00CD59CC">
        <w:rPr>
          <w:rFonts w:ascii="Arial" w:hAnsi="Arial" w:cs="Arial"/>
        </w:rPr>
        <w:t>party’s</w:t>
      </w:r>
      <w:r w:rsidR="007B7640" w:rsidRPr="00CD59CC">
        <w:rPr>
          <w:rFonts w:ascii="Arial" w:hAnsi="Arial" w:cs="Arial"/>
        </w:rPr>
        <w:t xml:space="preserve"> </w:t>
      </w:r>
      <w:r w:rsidR="00DF461A" w:rsidRPr="00CD59CC">
        <w:rPr>
          <w:rFonts w:ascii="Arial" w:hAnsi="Arial" w:cs="Arial"/>
        </w:rPr>
        <w:t>request</w:t>
      </w:r>
      <w:r w:rsidR="007B7640" w:rsidRPr="00CD59CC">
        <w:rPr>
          <w:rFonts w:ascii="Arial" w:hAnsi="Arial" w:cs="Arial"/>
        </w:rPr>
        <w:t xml:space="preserve"> </w:t>
      </w:r>
      <w:r w:rsidR="00DF461A" w:rsidRPr="00CD59CC">
        <w:rPr>
          <w:rFonts w:ascii="Arial" w:hAnsi="Arial" w:cs="Arial"/>
        </w:rPr>
        <w:t>–</w:t>
      </w:r>
      <w:r w:rsidR="007B7640" w:rsidRPr="00CD59CC">
        <w:rPr>
          <w:rFonts w:ascii="Arial" w:hAnsi="Arial" w:cs="Arial"/>
        </w:rPr>
        <w:t xml:space="preserve"> </w:t>
      </w:r>
      <w:r w:rsidR="00DF461A" w:rsidRPr="00CD59CC">
        <w:rPr>
          <w:rFonts w:ascii="Arial" w:hAnsi="Arial" w:cs="Arial"/>
        </w:rPr>
        <w:t>be</w:t>
      </w:r>
      <w:r w:rsidR="007B7640" w:rsidRPr="00CD59CC">
        <w:rPr>
          <w:rFonts w:ascii="Arial" w:hAnsi="Arial" w:cs="Arial"/>
        </w:rPr>
        <w:t xml:space="preserve"> </w:t>
      </w:r>
      <w:r w:rsidR="00DF461A" w:rsidRPr="00CD59CC">
        <w:rPr>
          <w:rFonts w:ascii="Arial" w:hAnsi="Arial" w:cs="Arial"/>
        </w:rPr>
        <w:t>translated</w:t>
      </w:r>
      <w:r w:rsidR="007B7640" w:rsidRPr="00CD59CC">
        <w:rPr>
          <w:rFonts w:ascii="Arial" w:hAnsi="Arial" w:cs="Arial"/>
        </w:rPr>
        <w:t xml:space="preserve"> </w:t>
      </w:r>
      <w:r w:rsidR="00DF461A" w:rsidRPr="00CD59CC">
        <w:rPr>
          <w:rFonts w:ascii="Arial" w:hAnsi="Arial" w:cs="Arial"/>
        </w:rPr>
        <w:t>into</w:t>
      </w:r>
      <w:r w:rsidR="007B7640" w:rsidRPr="00CD59CC">
        <w:rPr>
          <w:rFonts w:ascii="Arial" w:hAnsi="Arial" w:cs="Arial"/>
        </w:rPr>
        <w:t xml:space="preserve"> </w:t>
      </w:r>
      <w:r w:rsidR="00DF461A" w:rsidRPr="00CD59CC">
        <w:rPr>
          <w:rFonts w:ascii="Arial" w:hAnsi="Arial" w:cs="Arial"/>
        </w:rPr>
        <w:t>Braille,</w:t>
      </w:r>
      <w:r w:rsidR="007B7640" w:rsidRPr="00CD59CC">
        <w:rPr>
          <w:rFonts w:ascii="Arial" w:hAnsi="Arial" w:cs="Arial"/>
        </w:rPr>
        <w:t xml:space="preserve"> </w:t>
      </w:r>
      <w:r w:rsidR="00DF461A" w:rsidRPr="00CD59CC">
        <w:rPr>
          <w:rFonts w:ascii="Arial" w:hAnsi="Arial" w:cs="Arial"/>
        </w:rPr>
        <w:t>and</w:t>
      </w:r>
      <w:r w:rsidR="007B7640" w:rsidRPr="00CD59CC">
        <w:rPr>
          <w:rFonts w:ascii="Arial" w:hAnsi="Arial" w:cs="Arial"/>
        </w:rPr>
        <w:t xml:space="preserve"> </w:t>
      </w:r>
      <w:r w:rsidR="00DF2DD2" w:rsidRPr="00CD59CC">
        <w:rPr>
          <w:rFonts w:ascii="Arial" w:hAnsi="Arial" w:cs="Arial"/>
        </w:rPr>
        <w:t>–</w:t>
      </w:r>
      <w:r w:rsidR="007B7640" w:rsidRPr="00CD59CC">
        <w:rPr>
          <w:rFonts w:ascii="Arial" w:hAnsi="Arial" w:cs="Arial"/>
        </w:rPr>
        <w:t xml:space="preserve"> </w:t>
      </w:r>
      <w:r w:rsidR="00DF2DD2" w:rsidRPr="00CD59CC">
        <w:rPr>
          <w:rFonts w:ascii="Arial" w:hAnsi="Arial" w:cs="Arial"/>
        </w:rPr>
        <w:t>also</w:t>
      </w:r>
      <w:r w:rsidR="007B7640" w:rsidRPr="00CD59CC">
        <w:rPr>
          <w:rFonts w:ascii="Arial" w:hAnsi="Arial" w:cs="Arial"/>
        </w:rPr>
        <w:t xml:space="preserve"> </w:t>
      </w:r>
      <w:r w:rsidR="00DF2DD2" w:rsidRPr="00CD59CC">
        <w:rPr>
          <w:rFonts w:ascii="Arial" w:hAnsi="Arial" w:cs="Arial"/>
        </w:rPr>
        <w:t>upon</w:t>
      </w:r>
      <w:r w:rsidR="007B7640" w:rsidRPr="00CD59CC">
        <w:rPr>
          <w:rFonts w:ascii="Arial" w:hAnsi="Arial" w:cs="Arial"/>
        </w:rPr>
        <w:t xml:space="preserve"> </w:t>
      </w:r>
      <w:r w:rsidR="00DF2DD2" w:rsidRPr="00CD59CC">
        <w:rPr>
          <w:rFonts w:ascii="Arial" w:hAnsi="Arial" w:cs="Arial"/>
        </w:rPr>
        <w:t>request</w:t>
      </w:r>
      <w:r w:rsidR="007B7640" w:rsidRPr="00CD59CC">
        <w:rPr>
          <w:rFonts w:ascii="Arial" w:hAnsi="Arial" w:cs="Arial"/>
        </w:rPr>
        <w:t xml:space="preserve"> </w:t>
      </w:r>
      <w:r w:rsidR="00DF2DD2" w:rsidRPr="00CD59CC">
        <w:rPr>
          <w:rFonts w:ascii="Arial" w:hAnsi="Arial" w:cs="Arial"/>
        </w:rPr>
        <w:t>–</w:t>
      </w:r>
      <w:r w:rsidR="007B7640" w:rsidRPr="00CD59CC">
        <w:rPr>
          <w:rFonts w:ascii="Arial" w:hAnsi="Arial" w:cs="Arial"/>
        </w:rPr>
        <w:t xml:space="preserve"> </w:t>
      </w:r>
      <w:r w:rsidR="00DF461A" w:rsidRPr="00CD59CC">
        <w:rPr>
          <w:rFonts w:ascii="Arial" w:hAnsi="Arial" w:cs="Arial"/>
        </w:rPr>
        <w:t>the</w:t>
      </w:r>
      <w:r w:rsidR="007B7640" w:rsidRPr="00CD59CC">
        <w:rPr>
          <w:rFonts w:ascii="Arial" w:hAnsi="Arial" w:cs="Arial"/>
        </w:rPr>
        <w:t xml:space="preserve"> </w:t>
      </w:r>
      <w:r w:rsidR="00DF461A" w:rsidRPr="00CD59CC">
        <w:rPr>
          <w:rFonts w:ascii="Arial" w:hAnsi="Arial" w:cs="Arial"/>
        </w:rPr>
        <w:t>final</w:t>
      </w:r>
      <w:r w:rsidR="007B7640" w:rsidRPr="00CD59CC">
        <w:rPr>
          <w:rFonts w:ascii="Arial" w:hAnsi="Arial" w:cs="Arial"/>
        </w:rPr>
        <w:t xml:space="preserve"> </w:t>
      </w:r>
      <w:r w:rsidR="00DF461A" w:rsidRPr="00CD59CC">
        <w:rPr>
          <w:rFonts w:ascii="Arial" w:hAnsi="Arial" w:cs="Arial"/>
        </w:rPr>
        <w:t>decision</w:t>
      </w:r>
      <w:r w:rsidR="007B7640" w:rsidRPr="00CD59CC">
        <w:rPr>
          <w:rFonts w:ascii="Arial" w:hAnsi="Arial" w:cs="Arial"/>
        </w:rPr>
        <w:t xml:space="preserve"> </w:t>
      </w:r>
      <w:r w:rsidR="00DF461A" w:rsidRPr="00CD59CC">
        <w:rPr>
          <w:rFonts w:ascii="Arial" w:hAnsi="Arial" w:cs="Arial"/>
        </w:rPr>
        <w:t>shall</w:t>
      </w:r>
      <w:r w:rsidR="007B7640" w:rsidRPr="00CD59CC">
        <w:rPr>
          <w:rFonts w:ascii="Arial" w:hAnsi="Arial" w:cs="Arial"/>
        </w:rPr>
        <w:t xml:space="preserve"> </w:t>
      </w:r>
      <w:r w:rsidR="00DF461A" w:rsidRPr="00CD59CC">
        <w:rPr>
          <w:rFonts w:ascii="Arial" w:hAnsi="Arial" w:cs="Arial"/>
        </w:rPr>
        <w:t>also</w:t>
      </w:r>
      <w:r w:rsidR="007B7640" w:rsidRPr="00CD59CC">
        <w:rPr>
          <w:rFonts w:ascii="Arial" w:hAnsi="Arial" w:cs="Arial"/>
        </w:rPr>
        <w:t xml:space="preserve"> </w:t>
      </w:r>
      <w:r w:rsidR="00DF461A" w:rsidRPr="00CD59CC">
        <w:rPr>
          <w:rFonts w:ascii="Arial" w:hAnsi="Arial" w:cs="Arial"/>
        </w:rPr>
        <w:t>be</w:t>
      </w:r>
      <w:r w:rsidR="007B7640" w:rsidRPr="00CD59CC">
        <w:rPr>
          <w:rFonts w:ascii="Arial" w:hAnsi="Arial" w:cs="Arial"/>
        </w:rPr>
        <w:t xml:space="preserve"> </w:t>
      </w:r>
      <w:r w:rsidR="00DF461A" w:rsidRPr="00CD59CC">
        <w:rPr>
          <w:rFonts w:ascii="Arial" w:hAnsi="Arial" w:cs="Arial"/>
        </w:rPr>
        <w:t>provided</w:t>
      </w:r>
      <w:r w:rsidR="007B7640" w:rsidRPr="00CD59CC">
        <w:rPr>
          <w:rFonts w:ascii="Arial" w:hAnsi="Arial" w:cs="Arial"/>
        </w:rPr>
        <w:t xml:space="preserve"> </w:t>
      </w:r>
      <w:r w:rsidR="00DF461A" w:rsidRPr="00CD59CC">
        <w:rPr>
          <w:rFonts w:ascii="Arial" w:hAnsi="Arial" w:cs="Arial"/>
        </w:rPr>
        <w:t>in</w:t>
      </w:r>
      <w:r w:rsidR="007B7640" w:rsidRPr="00CD59CC">
        <w:rPr>
          <w:rFonts w:ascii="Arial" w:hAnsi="Arial" w:cs="Arial"/>
        </w:rPr>
        <w:t xml:space="preserve"> </w:t>
      </w:r>
      <w:r w:rsidR="00DF461A" w:rsidRPr="00CD59CC">
        <w:rPr>
          <w:rFonts w:ascii="Arial" w:hAnsi="Arial" w:cs="Arial"/>
        </w:rPr>
        <w:t>Braille.</w:t>
      </w:r>
      <w:r w:rsidR="007B7640" w:rsidRPr="00CD59CC">
        <w:rPr>
          <w:rFonts w:ascii="Arial" w:hAnsi="Arial" w:cs="Arial"/>
        </w:rPr>
        <w:t xml:space="preserve"> </w:t>
      </w:r>
    </w:p>
    <w:p w14:paraId="4928BB5E" w14:textId="77777777" w:rsidR="00DF461A" w:rsidRPr="00CD59CC" w:rsidRDefault="00DF461A" w:rsidP="00CD59CC">
      <w:pPr>
        <w:rPr>
          <w:rFonts w:ascii="Arial" w:hAnsi="Arial" w:cs="Arial"/>
        </w:rPr>
      </w:pPr>
    </w:p>
    <w:p w14:paraId="3AA8E68E" w14:textId="77777777" w:rsidR="00DF461A" w:rsidRPr="00CD59CC" w:rsidRDefault="00DF461A"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009A2EFA" w:rsidRPr="00CD59CC">
        <w:rPr>
          <w:rFonts w:ascii="Arial" w:hAnsi="Arial" w:cs="Arial"/>
        </w:rPr>
        <w:t>Article</w:t>
      </w:r>
      <w:r w:rsidR="007B7640" w:rsidRPr="00CD59CC">
        <w:rPr>
          <w:rFonts w:ascii="Arial" w:hAnsi="Arial" w:cs="Arial"/>
        </w:rPr>
        <w:t xml:space="preserve"> </w:t>
      </w:r>
      <w:r w:rsidR="009A2EFA" w:rsidRPr="00CD59CC">
        <w:rPr>
          <w:rFonts w:ascii="Arial" w:hAnsi="Arial" w:cs="Arial"/>
        </w:rPr>
        <w:t>88</w:t>
      </w:r>
      <w:r w:rsidR="007B7640" w:rsidRPr="00CD59CC">
        <w:rPr>
          <w:rFonts w:ascii="Arial" w:hAnsi="Arial" w:cs="Arial"/>
        </w:rPr>
        <w:t xml:space="preserve"> </w:t>
      </w:r>
      <w:r w:rsidR="009A2EFA" w:rsidRPr="00CD59CC">
        <w:rPr>
          <w:rFonts w:ascii="Arial" w:hAnsi="Arial" w:cs="Arial"/>
        </w:rPr>
        <w:t>of</w:t>
      </w:r>
      <w:r w:rsidR="007B7640" w:rsidRPr="00CD59CC">
        <w:rPr>
          <w:rFonts w:ascii="Arial" w:hAnsi="Arial" w:cs="Arial"/>
        </w:rPr>
        <w:t xml:space="preserve"> </w:t>
      </w:r>
      <w:r w:rsidR="009A2EFA" w:rsidRPr="00CD59CC">
        <w:rPr>
          <w:rFonts w:ascii="Arial" w:hAnsi="Arial" w:cs="Arial"/>
        </w:rPr>
        <w:t>the</w:t>
      </w:r>
      <w:r w:rsidR="007B7640" w:rsidRPr="00CD59CC">
        <w:rPr>
          <w:rFonts w:ascii="Arial" w:hAnsi="Arial" w:cs="Arial"/>
        </w:rPr>
        <w:t xml:space="preserve"> </w:t>
      </w:r>
      <w:r w:rsidR="009A2EFA" w:rsidRPr="00CD59CC">
        <w:rPr>
          <w:rFonts w:ascii="Arial" w:hAnsi="Arial" w:cs="Arial"/>
        </w:rPr>
        <w:t>Election</w:t>
      </w:r>
      <w:r w:rsidR="007B7640" w:rsidRPr="00CD59CC">
        <w:rPr>
          <w:rFonts w:ascii="Arial" w:hAnsi="Arial" w:cs="Arial"/>
        </w:rPr>
        <w:t xml:space="preserve"> </w:t>
      </w:r>
      <w:r w:rsidR="009A2EFA" w:rsidRPr="00CD59CC">
        <w:rPr>
          <w:rFonts w:ascii="Arial" w:hAnsi="Arial" w:cs="Arial"/>
        </w:rPr>
        <w:t>Procedure</w:t>
      </w:r>
      <w:r w:rsidR="007B7640" w:rsidRPr="00CD59CC">
        <w:rPr>
          <w:rFonts w:ascii="Arial" w:hAnsi="Arial" w:cs="Arial"/>
        </w:rPr>
        <w:t xml:space="preserve"> </w:t>
      </w:r>
      <w:r w:rsidR="009A2EFA" w:rsidRPr="00CD59CC">
        <w:rPr>
          <w:rFonts w:ascii="Arial" w:hAnsi="Arial" w:cs="Arial"/>
        </w:rPr>
        <w:t>Act,</w:t>
      </w:r>
      <w:r w:rsidR="007B7640" w:rsidRPr="00CD59CC">
        <w:rPr>
          <w:rFonts w:ascii="Arial" w:hAnsi="Arial" w:cs="Arial"/>
        </w:rPr>
        <w:t xml:space="preserve"> </w:t>
      </w:r>
      <w:r w:rsidR="009A2EFA" w:rsidRPr="00CD59CC">
        <w:rPr>
          <w:rFonts w:ascii="Arial" w:hAnsi="Arial" w:cs="Arial"/>
        </w:rPr>
        <w:t>upon</w:t>
      </w:r>
      <w:r w:rsidR="007B7640" w:rsidRPr="00CD59CC">
        <w:rPr>
          <w:rFonts w:ascii="Arial" w:hAnsi="Arial" w:cs="Arial"/>
        </w:rPr>
        <w:t xml:space="preserve"> </w:t>
      </w:r>
      <w:r w:rsidR="009A2EFA" w:rsidRPr="00CD59CC">
        <w:rPr>
          <w:rFonts w:ascii="Arial" w:hAnsi="Arial" w:cs="Arial"/>
        </w:rPr>
        <w:t>request,</w:t>
      </w:r>
      <w:r w:rsidR="007B7640" w:rsidRPr="00CD59CC">
        <w:rPr>
          <w:rFonts w:ascii="Arial" w:hAnsi="Arial" w:cs="Arial"/>
        </w:rPr>
        <w:t xml:space="preserve"> </w:t>
      </w:r>
      <w:r w:rsidR="009A2EFA" w:rsidRPr="00CD59CC">
        <w:rPr>
          <w:rFonts w:ascii="Arial" w:hAnsi="Arial" w:cs="Arial"/>
        </w:rPr>
        <w:t>the</w:t>
      </w:r>
      <w:r w:rsidR="007B7640" w:rsidRPr="00CD59CC">
        <w:rPr>
          <w:rFonts w:ascii="Arial" w:hAnsi="Arial" w:cs="Arial"/>
        </w:rPr>
        <w:t xml:space="preserve"> </w:t>
      </w:r>
      <w:r w:rsidR="009A2EFA" w:rsidRPr="00CD59CC">
        <w:rPr>
          <w:rFonts w:ascii="Arial" w:hAnsi="Arial" w:cs="Arial"/>
        </w:rPr>
        <w:t>election</w:t>
      </w:r>
      <w:r w:rsidR="007B7640" w:rsidRPr="00CD59CC">
        <w:rPr>
          <w:rFonts w:ascii="Arial" w:hAnsi="Arial" w:cs="Arial"/>
        </w:rPr>
        <w:t xml:space="preserve"> </w:t>
      </w:r>
      <w:r w:rsidR="009A2EFA" w:rsidRPr="00CD59CC">
        <w:rPr>
          <w:rFonts w:ascii="Arial" w:hAnsi="Arial" w:cs="Arial"/>
        </w:rPr>
        <w:t>office</w:t>
      </w:r>
      <w:r w:rsidR="007B7640" w:rsidRPr="00CD59CC">
        <w:rPr>
          <w:rFonts w:ascii="Arial" w:hAnsi="Arial" w:cs="Arial"/>
        </w:rPr>
        <w:t xml:space="preserve"> </w:t>
      </w:r>
      <w:r w:rsidR="009A2EFA" w:rsidRPr="00CD59CC">
        <w:rPr>
          <w:rFonts w:ascii="Arial" w:hAnsi="Arial" w:cs="Arial"/>
        </w:rPr>
        <w:t>shall</w:t>
      </w:r>
      <w:r w:rsidR="007B7640" w:rsidRPr="00CD59CC">
        <w:rPr>
          <w:rFonts w:ascii="Arial" w:hAnsi="Arial" w:cs="Arial"/>
        </w:rPr>
        <w:t xml:space="preserve"> </w:t>
      </w:r>
      <w:r w:rsidR="009A2EFA" w:rsidRPr="00CD59CC">
        <w:rPr>
          <w:rFonts w:ascii="Arial" w:hAnsi="Arial" w:cs="Arial"/>
        </w:rPr>
        <w:t>support</w:t>
      </w:r>
      <w:r w:rsidR="007B7640" w:rsidRPr="00CD59CC">
        <w:rPr>
          <w:rFonts w:ascii="Arial" w:hAnsi="Arial" w:cs="Arial"/>
        </w:rPr>
        <w:t xml:space="preserve"> </w:t>
      </w:r>
      <w:r w:rsidR="009A2EFA" w:rsidRPr="00CD59CC">
        <w:rPr>
          <w:rFonts w:ascii="Arial" w:hAnsi="Arial" w:cs="Arial"/>
        </w:rPr>
        <w:t>the</w:t>
      </w:r>
      <w:r w:rsidR="007B7640" w:rsidRPr="00CD59CC">
        <w:rPr>
          <w:rFonts w:ascii="Arial" w:hAnsi="Arial" w:cs="Arial"/>
        </w:rPr>
        <w:t xml:space="preserve"> </w:t>
      </w:r>
      <w:r w:rsidR="009A2EFA" w:rsidRPr="00CD59CC">
        <w:rPr>
          <w:rFonts w:ascii="Arial" w:hAnsi="Arial" w:cs="Arial"/>
        </w:rPr>
        <w:t>participation</w:t>
      </w:r>
      <w:r w:rsidR="007B7640" w:rsidRPr="00CD59CC">
        <w:rPr>
          <w:rFonts w:ascii="Arial" w:hAnsi="Arial" w:cs="Arial"/>
        </w:rPr>
        <w:t xml:space="preserve"> </w:t>
      </w:r>
      <w:r w:rsidR="009A2EFA" w:rsidRPr="00CD59CC">
        <w:rPr>
          <w:rFonts w:ascii="Arial" w:hAnsi="Arial" w:cs="Arial"/>
        </w:rPr>
        <w:t>of</w:t>
      </w:r>
      <w:r w:rsidR="007B7640" w:rsidRPr="00CD59CC">
        <w:rPr>
          <w:rFonts w:ascii="Arial" w:hAnsi="Arial" w:cs="Arial"/>
        </w:rPr>
        <w:t xml:space="preserve"> </w:t>
      </w:r>
      <w:r w:rsidR="009A2EFA" w:rsidRPr="00CD59CC">
        <w:rPr>
          <w:rFonts w:ascii="Arial" w:hAnsi="Arial" w:cs="Arial"/>
        </w:rPr>
        <w:t>voters</w:t>
      </w:r>
      <w:r w:rsidR="007B7640" w:rsidRPr="00CD59CC">
        <w:rPr>
          <w:rFonts w:ascii="Arial" w:hAnsi="Arial" w:cs="Arial"/>
        </w:rPr>
        <w:t xml:space="preserve"> </w:t>
      </w:r>
      <w:r w:rsidR="009A2EFA" w:rsidRPr="00CD59CC">
        <w:rPr>
          <w:rFonts w:ascii="Arial" w:hAnsi="Arial" w:cs="Arial"/>
        </w:rPr>
        <w:t>with</w:t>
      </w:r>
      <w:r w:rsidR="007B7640" w:rsidRPr="00CD59CC">
        <w:rPr>
          <w:rFonts w:ascii="Arial" w:hAnsi="Arial" w:cs="Arial"/>
        </w:rPr>
        <w:t xml:space="preserve"> </w:t>
      </w:r>
      <w:r w:rsidR="009A2EFA" w:rsidRPr="00CD59CC">
        <w:rPr>
          <w:rFonts w:ascii="Arial" w:hAnsi="Arial" w:cs="Arial"/>
        </w:rPr>
        <w:t>disabilities</w:t>
      </w:r>
      <w:r w:rsidR="007B7640" w:rsidRPr="00CD59CC">
        <w:rPr>
          <w:rFonts w:ascii="Arial" w:hAnsi="Arial" w:cs="Arial"/>
        </w:rPr>
        <w:t xml:space="preserve"> </w:t>
      </w:r>
      <w:r w:rsidR="009A2EFA" w:rsidRPr="00CD59CC">
        <w:rPr>
          <w:rFonts w:ascii="Arial" w:hAnsi="Arial" w:cs="Arial"/>
        </w:rPr>
        <w:t>by</w:t>
      </w:r>
      <w:r w:rsidR="007B7640" w:rsidRPr="00CD59CC">
        <w:rPr>
          <w:rFonts w:ascii="Arial" w:hAnsi="Arial" w:cs="Arial"/>
        </w:rPr>
        <w:t xml:space="preserve"> </w:t>
      </w:r>
      <w:r w:rsidR="009A2EFA" w:rsidRPr="00CD59CC">
        <w:rPr>
          <w:rFonts w:ascii="Arial" w:hAnsi="Arial" w:cs="Arial"/>
        </w:rPr>
        <w:t>sending</w:t>
      </w:r>
      <w:r w:rsidR="007B7640" w:rsidRPr="00CD59CC">
        <w:rPr>
          <w:rFonts w:ascii="Arial" w:hAnsi="Arial" w:cs="Arial"/>
        </w:rPr>
        <w:t xml:space="preserve"> </w:t>
      </w:r>
      <w:r w:rsidR="009A2EFA" w:rsidRPr="00CD59CC">
        <w:rPr>
          <w:rFonts w:ascii="Arial" w:hAnsi="Arial" w:cs="Arial"/>
        </w:rPr>
        <w:t>them</w:t>
      </w:r>
      <w:r w:rsidR="007B7640" w:rsidRPr="00CD59CC">
        <w:rPr>
          <w:rFonts w:ascii="Arial" w:hAnsi="Arial" w:cs="Arial"/>
        </w:rPr>
        <w:t xml:space="preserve"> </w:t>
      </w:r>
      <w:r w:rsidR="009A2EFA" w:rsidRPr="00CD59CC">
        <w:rPr>
          <w:rFonts w:ascii="Arial" w:hAnsi="Arial" w:cs="Arial"/>
        </w:rPr>
        <w:t>a</w:t>
      </w:r>
      <w:r w:rsidR="007B7640" w:rsidRPr="00CD59CC">
        <w:rPr>
          <w:rFonts w:ascii="Arial" w:hAnsi="Arial" w:cs="Arial"/>
        </w:rPr>
        <w:t xml:space="preserve"> </w:t>
      </w:r>
      <w:r w:rsidR="009A2EFA" w:rsidRPr="00CD59CC">
        <w:rPr>
          <w:rFonts w:ascii="Arial" w:hAnsi="Arial" w:cs="Arial"/>
        </w:rPr>
        <w:t>notification</w:t>
      </w:r>
      <w:r w:rsidR="007B7640" w:rsidRPr="00CD59CC">
        <w:rPr>
          <w:rFonts w:ascii="Arial" w:hAnsi="Arial" w:cs="Arial"/>
        </w:rPr>
        <w:t xml:space="preserve"> </w:t>
      </w:r>
      <w:r w:rsidR="009A2EFA" w:rsidRPr="00CD59CC">
        <w:rPr>
          <w:rFonts w:ascii="Arial" w:hAnsi="Arial" w:cs="Arial"/>
        </w:rPr>
        <w:t>about</w:t>
      </w:r>
      <w:r w:rsidR="007B7640" w:rsidRPr="00CD59CC">
        <w:rPr>
          <w:rFonts w:ascii="Arial" w:hAnsi="Arial" w:cs="Arial"/>
        </w:rPr>
        <w:t xml:space="preserve"> </w:t>
      </w:r>
      <w:r w:rsidR="009A2EFA" w:rsidRPr="00CD59CC">
        <w:rPr>
          <w:rFonts w:ascii="Arial" w:hAnsi="Arial" w:cs="Arial"/>
        </w:rPr>
        <w:t>the</w:t>
      </w:r>
      <w:r w:rsidR="007B7640" w:rsidRPr="00CD59CC">
        <w:rPr>
          <w:rFonts w:ascii="Arial" w:hAnsi="Arial" w:cs="Arial"/>
        </w:rPr>
        <w:t xml:space="preserve"> </w:t>
      </w:r>
      <w:r w:rsidR="009A2EFA" w:rsidRPr="00CD59CC">
        <w:rPr>
          <w:rFonts w:ascii="Arial" w:hAnsi="Arial" w:cs="Arial"/>
        </w:rPr>
        <w:t>voting</w:t>
      </w:r>
      <w:r w:rsidR="007B7640" w:rsidRPr="00CD59CC">
        <w:rPr>
          <w:rFonts w:ascii="Arial" w:hAnsi="Arial" w:cs="Arial"/>
        </w:rPr>
        <w:t xml:space="preserve"> </w:t>
      </w:r>
      <w:r w:rsidR="009A2EFA" w:rsidRPr="00CD59CC">
        <w:rPr>
          <w:rFonts w:ascii="Arial" w:hAnsi="Arial" w:cs="Arial"/>
        </w:rPr>
        <w:t>in</w:t>
      </w:r>
      <w:r w:rsidR="007B7640" w:rsidRPr="00CD59CC">
        <w:rPr>
          <w:rFonts w:ascii="Arial" w:hAnsi="Arial" w:cs="Arial"/>
        </w:rPr>
        <w:t xml:space="preserve"> </w:t>
      </w:r>
      <w:r w:rsidR="009A2EFA" w:rsidRPr="00CD59CC">
        <w:rPr>
          <w:rFonts w:ascii="Arial" w:hAnsi="Arial" w:cs="Arial"/>
        </w:rPr>
        <w:t>Braille</w:t>
      </w:r>
      <w:r w:rsidR="007B7640" w:rsidRPr="00CD59CC">
        <w:rPr>
          <w:rFonts w:ascii="Arial" w:hAnsi="Arial" w:cs="Arial"/>
        </w:rPr>
        <w:t xml:space="preserve"> </w:t>
      </w:r>
      <w:r w:rsidR="009A2EFA" w:rsidRPr="00CD59CC">
        <w:rPr>
          <w:rFonts w:ascii="Arial" w:hAnsi="Arial" w:cs="Arial"/>
        </w:rPr>
        <w:t>and</w:t>
      </w:r>
      <w:r w:rsidRPr="00CD59CC">
        <w:rPr>
          <w:rFonts w:ascii="Arial" w:hAnsi="Arial" w:cs="Arial"/>
        </w:rPr>
        <w:t>/or</w:t>
      </w:r>
      <w:r w:rsidR="007B7640" w:rsidRPr="00CD59CC">
        <w:rPr>
          <w:rFonts w:ascii="Arial" w:hAnsi="Arial" w:cs="Arial"/>
        </w:rPr>
        <w:t xml:space="preserve"> </w:t>
      </w:r>
      <w:r w:rsidR="009A2EFA" w:rsidRPr="00CD59CC">
        <w:rPr>
          <w:rFonts w:ascii="Arial" w:hAnsi="Arial" w:cs="Arial"/>
        </w:rPr>
        <w:t>by</w:t>
      </w:r>
      <w:r w:rsidR="007B7640" w:rsidRPr="00CD59CC">
        <w:rPr>
          <w:rFonts w:ascii="Arial" w:hAnsi="Arial" w:cs="Arial"/>
        </w:rPr>
        <w:t xml:space="preserve"> </w:t>
      </w:r>
      <w:r w:rsidR="009A2EFA" w:rsidRPr="00CD59CC">
        <w:rPr>
          <w:rFonts w:ascii="Arial" w:hAnsi="Arial" w:cs="Arial"/>
        </w:rPr>
        <w:t>providing</w:t>
      </w:r>
      <w:r w:rsidR="007B7640" w:rsidRPr="00CD59CC">
        <w:rPr>
          <w:rFonts w:ascii="Arial" w:hAnsi="Arial" w:cs="Arial"/>
        </w:rPr>
        <w:t xml:space="preserve"> </w:t>
      </w:r>
      <w:r w:rsidR="009A2EFA" w:rsidRPr="00CD59CC">
        <w:rPr>
          <w:rFonts w:ascii="Arial" w:hAnsi="Arial" w:cs="Arial"/>
        </w:rPr>
        <w:t>them</w:t>
      </w:r>
      <w:r w:rsidR="007B7640" w:rsidRPr="00CD59CC">
        <w:rPr>
          <w:rFonts w:ascii="Arial" w:hAnsi="Arial" w:cs="Arial"/>
        </w:rPr>
        <w:t xml:space="preserve"> </w:t>
      </w:r>
      <w:r w:rsidR="009A2EFA" w:rsidRPr="00CD59CC">
        <w:rPr>
          <w:rFonts w:ascii="Arial" w:hAnsi="Arial" w:cs="Arial"/>
        </w:rPr>
        <w:t>with</w:t>
      </w:r>
      <w:r w:rsidR="007B7640" w:rsidRPr="00CD59CC">
        <w:rPr>
          <w:rFonts w:ascii="Arial" w:hAnsi="Arial" w:cs="Arial"/>
        </w:rPr>
        <w:t xml:space="preserve"> </w:t>
      </w:r>
      <w:r w:rsidR="009A2EFA" w:rsidRPr="00CD59CC">
        <w:rPr>
          <w:rFonts w:ascii="Arial" w:hAnsi="Arial" w:cs="Arial"/>
        </w:rPr>
        <w:t>a</w:t>
      </w:r>
      <w:r w:rsidR="007B7640" w:rsidRPr="00CD59CC">
        <w:rPr>
          <w:rFonts w:ascii="Arial" w:hAnsi="Arial" w:cs="Arial"/>
        </w:rPr>
        <w:t xml:space="preserve"> </w:t>
      </w:r>
      <w:r w:rsidR="009A2EFA" w:rsidRPr="00CD59CC">
        <w:rPr>
          <w:rFonts w:ascii="Arial" w:hAnsi="Arial" w:cs="Arial"/>
        </w:rPr>
        <w:t>so-called</w:t>
      </w:r>
      <w:r w:rsidR="007B7640" w:rsidRPr="00CD59CC">
        <w:rPr>
          <w:rFonts w:ascii="Arial" w:hAnsi="Arial" w:cs="Arial"/>
        </w:rPr>
        <w:t xml:space="preserve"> </w:t>
      </w:r>
      <w:r w:rsidR="009A2EFA" w:rsidRPr="00CD59CC">
        <w:rPr>
          <w:rFonts w:ascii="Arial" w:hAnsi="Arial" w:cs="Arial"/>
        </w:rPr>
        <w:t>voting</w:t>
      </w:r>
      <w:r w:rsidR="007B7640" w:rsidRPr="00CD59CC">
        <w:rPr>
          <w:rFonts w:ascii="Arial" w:hAnsi="Arial" w:cs="Arial"/>
        </w:rPr>
        <w:t xml:space="preserve"> </w:t>
      </w:r>
      <w:r w:rsidR="009A2EFA" w:rsidRPr="00CD59CC">
        <w:rPr>
          <w:rFonts w:ascii="Arial" w:hAnsi="Arial" w:cs="Arial"/>
        </w:rPr>
        <w:t>sample,</w:t>
      </w:r>
      <w:r w:rsidR="007B7640" w:rsidRPr="00CD59CC">
        <w:rPr>
          <w:rFonts w:ascii="Arial" w:hAnsi="Arial" w:cs="Arial"/>
        </w:rPr>
        <w:t xml:space="preserve"> </w:t>
      </w:r>
      <w:r w:rsidR="009A2EFA" w:rsidRPr="00CD59CC">
        <w:rPr>
          <w:rFonts w:ascii="Arial" w:hAnsi="Arial" w:cs="Arial"/>
        </w:rPr>
        <w:lastRenderedPageBreak/>
        <w:t>i.e.</w:t>
      </w:r>
      <w:r w:rsidR="007B7640" w:rsidRPr="00CD59CC">
        <w:rPr>
          <w:rFonts w:ascii="Arial" w:hAnsi="Arial" w:cs="Arial"/>
        </w:rPr>
        <w:t xml:space="preserve"> </w:t>
      </w:r>
      <w:r w:rsidR="009A2EFA" w:rsidRPr="00CD59CC">
        <w:rPr>
          <w:rFonts w:ascii="Arial" w:hAnsi="Arial" w:cs="Arial"/>
        </w:rPr>
        <w:t>a</w:t>
      </w:r>
      <w:r w:rsidR="007B7640" w:rsidRPr="00CD59CC">
        <w:rPr>
          <w:rFonts w:ascii="Arial" w:hAnsi="Arial" w:cs="Arial"/>
        </w:rPr>
        <w:t xml:space="preserve"> </w:t>
      </w:r>
      <w:r w:rsidR="009A2EFA" w:rsidRPr="00CD59CC">
        <w:rPr>
          <w:rFonts w:ascii="Arial" w:hAnsi="Arial" w:cs="Arial"/>
        </w:rPr>
        <w:t>Braille-written</w:t>
      </w:r>
      <w:r w:rsidR="007B7640" w:rsidRPr="00CD59CC">
        <w:rPr>
          <w:rFonts w:ascii="Arial" w:hAnsi="Arial" w:cs="Arial"/>
        </w:rPr>
        <w:t xml:space="preserve"> </w:t>
      </w:r>
      <w:r w:rsidR="009A2EFA" w:rsidRPr="00CD59CC">
        <w:rPr>
          <w:rFonts w:ascii="Arial" w:hAnsi="Arial" w:cs="Arial"/>
        </w:rPr>
        <w:t>sample</w:t>
      </w:r>
      <w:r w:rsidR="007B7640" w:rsidRPr="00CD59CC">
        <w:rPr>
          <w:rFonts w:ascii="Arial" w:hAnsi="Arial" w:cs="Arial"/>
        </w:rPr>
        <w:t xml:space="preserve"> </w:t>
      </w:r>
      <w:r w:rsidR="009A2EFA" w:rsidRPr="00CD59CC">
        <w:rPr>
          <w:rFonts w:ascii="Arial" w:hAnsi="Arial" w:cs="Arial"/>
        </w:rPr>
        <w:t>into</w:t>
      </w:r>
      <w:r w:rsidR="007B7640" w:rsidRPr="00CD59CC">
        <w:rPr>
          <w:rFonts w:ascii="Arial" w:hAnsi="Arial" w:cs="Arial"/>
        </w:rPr>
        <w:t xml:space="preserve"> </w:t>
      </w:r>
      <w:r w:rsidR="009A2EFA" w:rsidRPr="00CD59CC">
        <w:rPr>
          <w:rFonts w:ascii="Arial" w:hAnsi="Arial" w:cs="Arial"/>
        </w:rPr>
        <w:t>which</w:t>
      </w:r>
      <w:r w:rsidR="007B7640" w:rsidRPr="00CD59CC">
        <w:rPr>
          <w:rFonts w:ascii="Arial" w:hAnsi="Arial" w:cs="Arial"/>
        </w:rPr>
        <w:t xml:space="preserve"> </w:t>
      </w:r>
      <w:r w:rsidR="009A2EFA" w:rsidRPr="00CD59CC">
        <w:rPr>
          <w:rFonts w:ascii="Arial" w:hAnsi="Arial" w:cs="Arial"/>
        </w:rPr>
        <w:t>the</w:t>
      </w:r>
      <w:r w:rsidR="007B7640" w:rsidRPr="00CD59CC">
        <w:rPr>
          <w:rFonts w:ascii="Arial" w:hAnsi="Arial" w:cs="Arial"/>
        </w:rPr>
        <w:t xml:space="preserve"> </w:t>
      </w:r>
      <w:r w:rsidR="009A2EFA" w:rsidRPr="00CD59CC">
        <w:rPr>
          <w:rFonts w:ascii="Arial" w:hAnsi="Arial" w:cs="Arial"/>
        </w:rPr>
        <w:t>ballot</w:t>
      </w:r>
      <w:r w:rsidR="007B7640" w:rsidRPr="00CD59CC">
        <w:rPr>
          <w:rFonts w:ascii="Arial" w:hAnsi="Arial" w:cs="Arial"/>
        </w:rPr>
        <w:t xml:space="preserve"> </w:t>
      </w:r>
      <w:r w:rsidR="009A2EFA" w:rsidRPr="00CD59CC">
        <w:rPr>
          <w:rFonts w:ascii="Arial" w:hAnsi="Arial" w:cs="Arial"/>
        </w:rPr>
        <w:t>sheet</w:t>
      </w:r>
      <w:r w:rsidR="007B7640" w:rsidRPr="00CD59CC">
        <w:rPr>
          <w:rFonts w:ascii="Arial" w:hAnsi="Arial" w:cs="Arial"/>
        </w:rPr>
        <w:t xml:space="preserve"> </w:t>
      </w:r>
      <w:r w:rsidR="009A2EFA" w:rsidRPr="00CD59CC">
        <w:rPr>
          <w:rFonts w:ascii="Arial" w:hAnsi="Arial" w:cs="Arial"/>
        </w:rPr>
        <w:t>can</w:t>
      </w:r>
      <w:r w:rsidR="007B7640" w:rsidRPr="00CD59CC">
        <w:rPr>
          <w:rFonts w:ascii="Arial" w:hAnsi="Arial" w:cs="Arial"/>
        </w:rPr>
        <w:t xml:space="preserve"> </w:t>
      </w:r>
      <w:r w:rsidR="009A2EFA" w:rsidRPr="00CD59CC">
        <w:rPr>
          <w:rFonts w:ascii="Arial" w:hAnsi="Arial" w:cs="Arial"/>
        </w:rPr>
        <w:t>be</w:t>
      </w:r>
      <w:r w:rsidR="007B7640" w:rsidRPr="00CD59CC">
        <w:rPr>
          <w:rFonts w:ascii="Arial" w:hAnsi="Arial" w:cs="Arial"/>
        </w:rPr>
        <w:t xml:space="preserve"> </w:t>
      </w:r>
      <w:r w:rsidR="009A2EFA" w:rsidRPr="00CD59CC">
        <w:rPr>
          <w:rFonts w:ascii="Arial" w:hAnsi="Arial" w:cs="Arial"/>
        </w:rPr>
        <w:t>placed</w:t>
      </w:r>
      <w:r w:rsidR="007B7640" w:rsidRPr="00CD59CC">
        <w:rPr>
          <w:rFonts w:ascii="Arial" w:hAnsi="Arial" w:cs="Arial"/>
        </w:rPr>
        <w:t xml:space="preserve"> </w:t>
      </w:r>
      <w:r w:rsidR="009A2EFA" w:rsidRPr="00CD59CC">
        <w:rPr>
          <w:rFonts w:ascii="Arial" w:hAnsi="Arial" w:cs="Arial"/>
        </w:rPr>
        <w:t>so</w:t>
      </w:r>
      <w:r w:rsidR="007B7640" w:rsidRPr="00CD59CC">
        <w:rPr>
          <w:rFonts w:ascii="Arial" w:hAnsi="Arial" w:cs="Arial"/>
        </w:rPr>
        <w:t xml:space="preserve"> </w:t>
      </w:r>
      <w:r w:rsidR="009A2EFA" w:rsidRPr="00CD59CC">
        <w:rPr>
          <w:rFonts w:ascii="Arial" w:hAnsi="Arial" w:cs="Arial"/>
        </w:rPr>
        <w:t>that</w:t>
      </w:r>
      <w:r w:rsidR="007B7640" w:rsidRPr="00CD59CC">
        <w:rPr>
          <w:rFonts w:ascii="Arial" w:hAnsi="Arial" w:cs="Arial"/>
        </w:rPr>
        <w:t xml:space="preserve"> </w:t>
      </w:r>
      <w:r w:rsidR="009A2EFA" w:rsidRPr="00CD59CC">
        <w:rPr>
          <w:rFonts w:ascii="Arial" w:hAnsi="Arial" w:cs="Arial"/>
        </w:rPr>
        <w:t>the</w:t>
      </w:r>
      <w:r w:rsidR="007B7640" w:rsidRPr="00CD59CC">
        <w:rPr>
          <w:rFonts w:ascii="Arial" w:hAnsi="Arial" w:cs="Arial"/>
        </w:rPr>
        <w:t xml:space="preserve"> </w:t>
      </w:r>
      <w:r w:rsidR="009A2EFA" w:rsidRPr="00CD59CC">
        <w:rPr>
          <w:rFonts w:ascii="Arial" w:hAnsi="Arial" w:cs="Arial"/>
        </w:rPr>
        <w:t>voter</w:t>
      </w:r>
      <w:r w:rsidR="007B7640" w:rsidRPr="00CD59CC">
        <w:rPr>
          <w:rFonts w:ascii="Arial" w:hAnsi="Arial" w:cs="Arial"/>
        </w:rPr>
        <w:t xml:space="preserve"> </w:t>
      </w:r>
      <w:r w:rsidR="009A2EFA" w:rsidRPr="00CD59CC">
        <w:rPr>
          <w:rFonts w:ascii="Arial" w:hAnsi="Arial" w:cs="Arial"/>
        </w:rPr>
        <w:t>can</w:t>
      </w:r>
      <w:r w:rsidR="007B7640" w:rsidRPr="00CD59CC">
        <w:rPr>
          <w:rFonts w:ascii="Arial" w:hAnsi="Arial" w:cs="Arial"/>
        </w:rPr>
        <w:t xml:space="preserve"> </w:t>
      </w:r>
      <w:r w:rsidR="009A2EFA" w:rsidRPr="00CD59CC">
        <w:rPr>
          <w:rFonts w:ascii="Arial" w:hAnsi="Arial" w:cs="Arial"/>
        </w:rPr>
        <w:t>cast</w:t>
      </w:r>
      <w:r w:rsidR="007B7640" w:rsidRPr="00CD59CC">
        <w:rPr>
          <w:rFonts w:ascii="Arial" w:hAnsi="Arial" w:cs="Arial"/>
        </w:rPr>
        <w:t xml:space="preserve"> </w:t>
      </w:r>
      <w:r w:rsidR="009A2EFA" w:rsidRPr="00CD59CC">
        <w:rPr>
          <w:rFonts w:ascii="Arial" w:hAnsi="Arial" w:cs="Arial"/>
        </w:rPr>
        <w:t>his/her</w:t>
      </w:r>
      <w:r w:rsidR="007B7640" w:rsidRPr="00CD59CC">
        <w:rPr>
          <w:rFonts w:ascii="Arial" w:hAnsi="Arial" w:cs="Arial"/>
        </w:rPr>
        <w:t xml:space="preserve"> </w:t>
      </w:r>
      <w:r w:rsidR="009A2EFA" w:rsidRPr="00CD59CC">
        <w:rPr>
          <w:rFonts w:ascii="Arial" w:hAnsi="Arial" w:cs="Arial"/>
        </w:rPr>
        <w:t>vote</w:t>
      </w:r>
      <w:r w:rsidR="007B7640" w:rsidRPr="00CD59CC">
        <w:rPr>
          <w:rFonts w:ascii="Arial" w:hAnsi="Arial" w:cs="Arial"/>
        </w:rPr>
        <w:t xml:space="preserve"> </w:t>
      </w:r>
      <w:r w:rsidR="009A2EFA" w:rsidRPr="00CD59CC">
        <w:rPr>
          <w:rFonts w:ascii="Arial" w:hAnsi="Arial" w:cs="Arial"/>
        </w:rPr>
        <w:t>without</w:t>
      </w:r>
      <w:r w:rsidR="007B7640" w:rsidRPr="00CD59CC">
        <w:rPr>
          <w:rFonts w:ascii="Arial" w:hAnsi="Arial" w:cs="Arial"/>
        </w:rPr>
        <w:t xml:space="preserve"> </w:t>
      </w:r>
      <w:r w:rsidR="009A2EFA" w:rsidRPr="00CD59CC">
        <w:rPr>
          <w:rFonts w:ascii="Arial" w:hAnsi="Arial" w:cs="Arial"/>
        </w:rPr>
        <w:t>assistance.</w:t>
      </w:r>
      <w:r w:rsidR="007B7640" w:rsidRPr="00CD59CC">
        <w:rPr>
          <w:rFonts w:ascii="Arial" w:hAnsi="Arial" w:cs="Arial"/>
        </w:rPr>
        <w:t xml:space="preserve"> </w:t>
      </w:r>
    </w:p>
    <w:p w14:paraId="7CA1B484" w14:textId="77777777" w:rsidR="00DF461A" w:rsidRPr="00CD59CC" w:rsidRDefault="00DF461A" w:rsidP="00CD59CC">
      <w:pPr>
        <w:rPr>
          <w:rFonts w:ascii="Arial" w:hAnsi="Arial" w:cs="Arial"/>
        </w:rPr>
      </w:pPr>
    </w:p>
    <w:p w14:paraId="62973179" w14:textId="77777777" w:rsidR="00DF461A" w:rsidRPr="00CD59CC" w:rsidRDefault="00DF461A" w:rsidP="00CD59CC">
      <w:pPr>
        <w:rPr>
          <w:rFonts w:ascii="Arial" w:hAnsi="Arial" w:cs="Arial"/>
        </w:rPr>
      </w:pP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Decree</w:t>
      </w:r>
      <w:r w:rsidR="007B7640" w:rsidRPr="00CD59CC">
        <w:rPr>
          <w:rFonts w:ascii="Arial" w:hAnsi="Arial" w:cs="Arial"/>
        </w:rPr>
        <w:t xml:space="preserve"> </w:t>
      </w:r>
      <w:r w:rsidRPr="00CD59CC">
        <w:rPr>
          <w:rFonts w:ascii="Arial" w:hAnsi="Arial" w:cs="Arial"/>
        </w:rPr>
        <w:t>30/2005</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Ministry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information</w:t>
      </w:r>
      <w:r w:rsidR="007B7640" w:rsidRPr="00CD59CC">
        <w:rPr>
          <w:rFonts w:ascii="Arial" w:hAnsi="Arial" w:cs="Arial"/>
        </w:rPr>
        <w:t xml:space="preserve"> </w:t>
      </w:r>
      <w:r w:rsidRPr="00CD59CC">
        <w:rPr>
          <w:rFonts w:ascii="Arial" w:hAnsi="Arial" w:cs="Arial"/>
        </w:rPr>
        <w:t>sheets</w:t>
      </w:r>
      <w:r w:rsidR="007B7640" w:rsidRPr="00CD59CC">
        <w:rPr>
          <w:rFonts w:ascii="Arial" w:hAnsi="Arial" w:cs="Arial"/>
        </w:rPr>
        <w:t xml:space="preserve"> </w:t>
      </w:r>
      <w:r w:rsidRPr="00CD59CC">
        <w:rPr>
          <w:rFonts w:ascii="Arial" w:hAnsi="Arial" w:cs="Arial"/>
        </w:rPr>
        <w:t>attached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medicines,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name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versions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medicine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far</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strength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effective</w:t>
      </w:r>
      <w:r w:rsidR="007B7640" w:rsidRPr="00CD59CC">
        <w:rPr>
          <w:rFonts w:ascii="Arial" w:hAnsi="Arial" w:cs="Arial"/>
        </w:rPr>
        <w:t xml:space="preserve"> </w:t>
      </w:r>
      <w:r w:rsidRPr="00CD59CC">
        <w:rPr>
          <w:rFonts w:ascii="Arial" w:hAnsi="Arial" w:cs="Arial"/>
        </w:rPr>
        <w:t>agent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concerned)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strength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effective</w:t>
      </w:r>
      <w:r w:rsidR="007B7640" w:rsidRPr="00CD59CC">
        <w:rPr>
          <w:rFonts w:ascii="Arial" w:hAnsi="Arial" w:cs="Arial"/>
        </w:rPr>
        <w:t xml:space="preserve"> </w:t>
      </w:r>
      <w:r w:rsidRPr="00CD59CC">
        <w:rPr>
          <w:rFonts w:ascii="Arial" w:hAnsi="Arial" w:cs="Arial"/>
        </w:rPr>
        <w:t>agent</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indicated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Braille</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DF2DD2" w:rsidRPr="00CD59CC">
        <w:rPr>
          <w:rFonts w:ascii="Arial" w:hAnsi="Arial" w:cs="Arial"/>
        </w:rPr>
        <w:t>packaging</w:t>
      </w:r>
      <w:r w:rsidR="007B7640" w:rsidRPr="00CD59CC">
        <w:rPr>
          <w:rFonts w:ascii="Arial" w:hAnsi="Arial" w:cs="Arial"/>
        </w:rPr>
        <w:t xml:space="preserve"> </w:t>
      </w:r>
      <w:r w:rsidR="00DF2DD2" w:rsidRPr="00CD59CC">
        <w:rPr>
          <w:rFonts w:ascii="Arial" w:hAnsi="Arial" w:cs="Arial"/>
        </w:rPr>
        <w:t>of</w:t>
      </w:r>
      <w:r w:rsidR="007B7640" w:rsidRPr="00CD59CC">
        <w:rPr>
          <w:rFonts w:ascii="Arial" w:hAnsi="Arial" w:cs="Arial"/>
        </w:rPr>
        <w:t xml:space="preserve"> </w:t>
      </w:r>
      <w:r w:rsidR="00DF2DD2" w:rsidRPr="00CD59CC">
        <w:rPr>
          <w:rFonts w:ascii="Arial" w:hAnsi="Arial" w:cs="Arial"/>
        </w:rPr>
        <w:t>the</w:t>
      </w:r>
      <w:r w:rsidR="007B7640" w:rsidRPr="00CD59CC">
        <w:rPr>
          <w:rFonts w:ascii="Arial" w:hAnsi="Arial" w:cs="Arial"/>
        </w:rPr>
        <w:t xml:space="preserve"> </w:t>
      </w:r>
      <w:r w:rsidR="00DF2DD2" w:rsidRPr="00CD59CC">
        <w:rPr>
          <w:rFonts w:ascii="Arial" w:hAnsi="Arial" w:cs="Arial"/>
        </w:rPr>
        <w:t>medicine.</w:t>
      </w:r>
    </w:p>
    <w:p w14:paraId="5D51E32B" w14:textId="77777777" w:rsidR="00DF461A" w:rsidRPr="00CD59CC" w:rsidRDefault="007B7640" w:rsidP="00CD59CC">
      <w:pPr>
        <w:rPr>
          <w:rFonts w:ascii="Arial" w:hAnsi="Arial" w:cs="Arial"/>
        </w:rPr>
      </w:pPr>
      <w:r w:rsidRPr="00CD59CC">
        <w:rPr>
          <w:rFonts w:ascii="Arial" w:hAnsi="Arial" w:cs="Arial"/>
        </w:rPr>
        <w:t xml:space="preserve"> </w:t>
      </w:r>
    </w:p>
    <w:p w14:paraId="2984DE43" w14:textId="77777777" w:rsidR="00DF461A" w:rsidRPr="00CD59CC" w:rsidRDefault="00DF2DD2" w:rsidP="00CD59CC">
      <w:pPr>
        <w:rPr>
          <w:rFonts w:ascii="Arial" w:hAnsi="Arial" w:cs="Arial"/>
        </w:rPr>
      </w:pPr>
      <w:r w:rsidRPr="00CD59CC">
        <w:rPr>
          <w:rFonts w:ascii="Arial" w:hAnsi="Arial" w:cs="Arial"/>
        </w:rPr>
        <w:t>Interpretation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sign</w:t>
      </w:r>
      <w:r w:rsidR="007B7640" w:rsidRPr="00CD59CC">
        <w:rPr>
          <w:rFonts w:ascii="Arial" w:hAnsi="Arial" w:cs="Arial"/>
        </w:rPr>
        <w:t xml:space="preserve"> </w:t>
      </w:r>
      <w:r w:rsidRPr="00CD59CC">
        <w:rPr>
          <w:rFonts w:ascii="Arial" w:hAnsi="Arial" w:cs="Arial"/>
        </w:rPr>
        <w:t>language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prescribed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wider</w:t>
      </w:r>
      <w:r w:rsidR="007B7640" w:rsidRPr="00CD59CC">
        <w:rPr>
          <w:rFonts w:ascii="Arial" w:hAnsi="Arial" w:cs="Arial"/>
        </w:rPr>
        <w:t xml:space="preserve"> </w:t>
      </w:r>
      <w:r w:rsidRPr="00CD59CC">
        <w:rPr>
          <w:rFonts w:ascii="Arial" w:hAnsi="Arial" w:cs="Arial"/>
        </w:rPr>
        <w:t>circle</w:t>
      </w:r>
      <w:r w:rsidR="007B7640" w:rsidRPr="00CD59CC">
        <w:rPr>
          <w:rFonts w:ascii="Arial" w:hAnsi="Arial" w:cs="Arial"/>
        </w:rPr>
        <w:t xml:space="preserve"> </w:t>
      </w:r>
      <w:r w:rsidR="008D1C1F" w:rsidRPr="00CD59CC">
        <w:rPr>
          <w:rFonts w:ascii="Arial" w:hAnsi="Arial" w:cs="Arial"/>
        </w:rPr>
        <w:t>in</w:t>
      </w:r>
      <w:r w:rsidR="007B7640" w:rsidRPr="00CD59CC">
        <w:rPr>
          <w:rFonts w:ascii="Arial" w:hAnsi="Arial" w:cs="Arial"/>
        </w:rPr>
        <w:t xml:space="preserve"> </w:t>
      </w:r>
      <w:r w:rsidR="008D1C1F" w:rsidRPr="00CD59CC">
        <w:rPr>
          <w:rFonts w:ascii="Arial" w:hAnsi="Arial" w:cs="Arial"/>
        </w:rPr>
        <w:t>relation</w:t>
      </w:r>
      <w:r w:rsidR="007B7640" w:rsidRPr="00CD59CC">
        <w:rPr>
          <w:rFonts w:ascii="Arial" w:hAnsi="Arial" w:cs="Arial"/>
        </w:rPr>
        <w:t xml:space="preserve"> </w:t>
      </w:r>
      <w:r w:rsidR="008D1C1F" w:rsidRPr="00CD59CC">
        <w:rPr>
          <w:rFonts w:ascii="Arial" w:hAnsi="Arial" w:cs="Arial"/>
        </w:rPr>
        <w:t>to</w:t>
      </w:r>
      <w:r w:rsidR="007B7640" w:rsidRPr="00CD59CC">
        <w:rPr>
          <w:rFonts w:ascii="Arial" w:hAnsi="Arial" w:cs="Arial"/>
        </w:rPr>
        <w:t xml:space="preserve"> </w:t>
      </w:r>
      <w:r w:rsidR="008D1C1F" w:rsidRPr="00CD59CC">
        <w:rPr>
          <w:rFonts w:ascii="Arial" w:hAnsi="Arial" w:cs="Arial"/>
        </w:rPr>
        <w:t>official</w:t>
      </w:r>
      <w:r w:rsidR="007B7640" w:rsidRPr="00CD59CC">
        <w:rPr>
          <w:rFonts w:ascii="Arial" w:hAnsi="Arial" w:cs="Arial"/>
        </w:rPr>
        <w:t xml:space="preserve"> </w:t>
      </w:r>
      <w:r w:rsidR="008D1C1F" w:rsidRPr="00CD59CC">
        <w:rPr>
          <w:rFonts w:ascii="Arial" w:hAnsi="Arial" w:cs="Arial"/>
        </w:rPr>
        <w:t>proceedings</w:t>
      </w:r>
      <w:r w:rsidRPr="00CD59CC">
        <w:rPr>
          <w:rFonts w:ascii="Arial" w:hAnsi="Arial" w:cs="Arial"/>
        </w:rPr>
        <w:t>.</w:t>
      </w:r>
      <w:r w:rsidR="007B7640" w:rsidRPr="00CD59CC">
        <w:rPr>
          <w:rFonts w:ascii="Arial" w:hAnsi="Arial" w:cs="Arial"/>
        </w:rPr>
        <w:t xml:space="preserve"> </w:t>
      </w:r>
    </w:p>
    <w:p w14:paraId="694F6A8F" w14:textId="77777777" w:rsidR="00DF461A" w:rsidRPr="00CD59CC" w:rsidRDefault="00DF461A" w:rsidP="00CD59CC">
      <w:pPr>
        <w:rPr>
          <w:rFonts w:ascii="Arial" w:hAnsi="Arial" w:cs="Arial"/>
        </w:rPr>
      </w:pPr>
    </w:p>
    <w:p w14:paraId="26B7CEF6" w14:textId="77777777" w:rsidR="00D212C0" w:rsidRPr="00CD59CC" w:rsidRDefault="00DF2DD2" w:rsidP="00CD59CC">
      <w:pPr>
        <w:rPr>
          <w:rFonts w:ascii="Arial" w:hAnsi="Arial" w:cs="Arial"/>
        </w:rPr>
      </w:pPr>
      <w:r w:rsidRPr="00CD59CC">
        <w:rPr>
          <w:rFonts w:ascii="Arial" w:hAnsi="Arial" w:cs="Arial"/>
        </w:rPr>
        <w:t>Upon</w:t>
      </w:r>
      <w:r w:rsidR="007B7640" w:rsidRPr="00CD59CC">
        <w:rPr>
          <w:rFonts w:ascii="Arial" w:hAnsi="Arial" w:cs="Arial"/>
        </w:rPr>
        <w:t xml:space="preserve"> </w:t>
      </w:r>
      <w:r w:rsidR="008D1C1F" w:rsidRPr="00CD59CC">
        <w:rPr>
          <w:rFonts w:ascii="Arial" w:hAnsi="Arial" w:cs="Arial"/>
        </w:rPr>
        <w:t>his/her</w:t>
      </w:r>
      <w:r w:rsidR="007B7640" w:rsidRPr="00CD59CC">
        <w:rPr>
          <w:rFonts w:ascii="Arial" w:hAnsi="Arial" w:cs="Arial"/>
        </w:rPr>
        <w:t xml:space="preserve"> </w:t>
      </w:r>
      <w:r w:rsidR="008D1C1F" w:rsidRPr="00CD59CC">
        <w:rPr>
          <w:rFonts w:ascii="Arial" w:hAnsi="Arial" w:cs="Arial"/>
        </w:rPr>
        <w:t>request,</w:t>
      </w:r>
      <w:r w:rsidR="007B7640" w:rsidRPr="00CD59CC">
        <w:rPr>
          <w:rFonts w:ascii="Arial" w:hAnsi="Arial" w:cs="Arial"/>
        </w:rPr>
        <w:t xml:space="preserve"> </w:t>
      </w:r>
      <w:r w:rsidR="008D1C1F" w:rsidRPr="00CD59CC">
        <w:rPr>
          <w:rFonts w:ascii="Arial" w:hAnsi="Arial" w:cs="Arial"/>
        </w:rPr>
        <w:t>the</w:t>
      </w:r>
      <w:r w:rsidR="007B7640" w:rsidRPr="00CD59CC">
        <w:rPr>
          <w:rFonts w:ascii="Arial" w:hAnsi="Arial" w:cs="Arial"/>
        </w:rPr>
        <w:t xml:space="preserve"> </w:t>
      </w:r>
      <w:r w:rsidR="008D1C1F" w:rsidRPr="00CD59CC">
        <w:rPr>
          <w:rFonts w:ascii="Arial" w:hAnsi="Arial" w:cs="Arial"/>
        </w:rPr>
        <w:t>testimony</w:t>
      </w:r>
      <w:r w:rsidR="007B7640" w:rsidRPr="00CD59CC">
        <w:rPr>
          <w:rFonts w:ascii="Arial" w:hAnsi="Arial" w:cs="Arial"/>
        </w:rPr>
        <w:t xml:space="preserve"> </w:t>
      </w:r>
      <w:r w:rsidR="008D1C1F" w:rsidRPr="00CD59CC">
        <w:rPr>
          <w:rFonts w:ascii="Arial" w:hAnsi="Arial" w:cs="Arial"/>
        </w:rPr>
        <w:t>of</w:t>
      </w:r>
      <w:r w:rsidR="007B7640" w:rsidRPr="00CD59CC">
        <w:rPr>
          <w:rFonts w:ascii="Arial" w:hAnsi="Arial" w:cs="Arial"/>
        </w:rPr>
        <w:t xml:space="preserve"> </w:t>
      </w:r>
      <w:r w:rsidR="008D1C1F" w:rsidRPr="00CD59CC">
        <w:rPr>
          <w:rFonts w:ascii="Arial" w:hAnsi="Arial" w:cs="Arial"/>
        </w:rPr>
        <w:t>a</w:t>
      </w:r>
      <w:r w:rsidR="007B7640" w:rsidRPr="00CD59CC">
        <w:rPr>
          <w:rFonts w:ascii="Arial" w:hAnsi="Arial" w:cs="Arial"/>
        </w:rPr>
        <w:t xml:space="preserve"> </w:t>
      </w:r>
      <w:r w:rsidR="008D1C1F" w:rsidRPr="00CD59CC">
        <w:rPr>
          <w:rFonts w:ascii="Arial" w:hAnsi="Arial" w:cs="Arial"/>
        </w:rPr>
        <w:t>person</w:t>
      </w:r>
      <w:r w:rsidR="007B7640" w:rsidRPr="00CD59CC">
        <w:rPr>
          <w:rFonts w:ascii="Arial" w:hAnsi="Arial" w:cs="Arial"/>
        </w:rPr>
        <w:t xml:space="preserve"> </w:t>
      </w:r>
      <w:r w:rsidR="008D1C1F" w:rsidRPr="00CD59CC">
        <w:rPr>
          <w:rFonts w:ascii="Arial" w:hAnsi="Arial" w:cs="Arial"/>
        </w:rPr>
        <w:t>with</w:t>
      </w:r>
      <w:r w:rsidR="007B7640" w:rsidRPr="00CD59CC">
        <w:rPr>
          <w:rFonts w:ascii="Arial" w:hAnsi="Arial" w:cs="Arial"/>
        </w:rPr>
        <w:t xml:space="preserve"> </w:t>
      </w:r>
      <w:r w:rsidR="008D1C1F" w:rsidRPr="00CD59CC">
        <w:rPr>
          <w:rFonts w:ascii="Arial" w:hAnsi="Arial" w:cs="Arial"/>
        </w:rPr>
        <w:t>hearing</w:t>
      </w:r>
      <w:r w:rsidR="007B7640" w:rsidRPr="00CD59CC">
        <w:rPr>
          <w:rFonts w:ascii="Arial" w:hAnsi="Arial" w:cs="Arial"/>
        </w:rPr>
        <w:t xml:space="preserve"> </w:t>
      </w:r>
      <w:r w:rsidR="008D1C1F" w:rsidRPr="00CD59CC">
        <w:rPr>
          <w:rFonts w:ascii="Arial" w:hAnsi="Arial" w:cs="Arial"/>
        </w:rPr>
        <w:t>impairments</w:t>
      </w:r>
      <w:r w:rsidR="007B7640" w:rsidRPr="00CD59CC">
        <w:rPr>
          <w:rFonts w:ascii="Arial" w:hAnsi="Arial" w:cs="Arial"/>
        </w:rPr>
        <w:t xml:space="preserve"> </w:t>
      </w:r>
      <w:r w:rsidR="008D1C1F" w:rsidRPr="00CD59CC">
        <w:rPr>
          <w:rFonts w:ascii="Arial" w:hAnsi="Arial" w:cs="Arial"/>
        </w:rPr>
        <w:t>shall</w:t>
      </w:r>
      <w:r w:rsidR="007B7640" w:rsidRPr="00CD59CC">
        <w:rPr>
          <w:rFonts w:ascii="Arial" w:hAnsi="Arial" w:cs="Arial"/>
        </w:rPr>
        <w:t xml:space="preserve"> </w:t>
      </w:r>
      <w:r w:rsidR="008D1C1F" w:rsidRPr="00CD59CC">
        <w:rPr>
          <w:rFonts w:ascii="Arial" w:hAnsi="Arial" w:cs="Arial"/>
        </w:rPr>
        <w:t>be</w:t>
      </w:r>
      <w:r w:rsidR="007B7640" w:rsidRPr="00CD59CC">
        <w:rPr>
          <w:rFonts w:ascii="Arial" w:hAnsi="Arial" w:cs="Arial"/>
        </w:rPr>
        <w:t xml:space="preserve"> </w:t>
      </w:r>
      <w:r w:rsidR="008D1C1F" w:rsidRPr="00CD59CC">
        <w:rPr>
          <w:rFonts w:ascii="Arial" w:hAnsi="Arial" w:cs="Arial"/>
        </w:rPr>
        <w:t>taken</w:t>
      </w:r>
      <w:r w:rsidR="007B7640" w:rsidRPr="00CD59CC">
        <w:rPr>
          <w:rFonts w:ascii="Arial" w:hAnsi="Arial" w:cs="Arial"/>
        </w:rPr>
        <w:t xml:space="preserve"> </w:t>
      </w:r>
      <w:r w:rsidR="008D1C1F" w:rsidRPr="00CD59CC">
        <w:rPr>
          <w:rFonts w:ascii="Arial" w:hAnsi="Arial" w:cs="Arial"/>
        </w:rPr>
        <w:t>through</w:t>
      </w:r>
      <w:r w:rsidR="007B7640" w:rsidRPr="00CD59CC">
        <w:rPr>
          <w:rFonts w:ascii="Arial" w:hAnsi="Arial" w:cs="Arial"/>
        </w:rPr>
        <w:t xml:space="preserve"> </w:t>
      </w:r>
      <w:r w:rsidR="008D1C1F" w:rsidRPr="00CD59CC">
        <w:rPr>
          <w:rFonts w:ascii="Arial" w:hAnsi="Arial" w:cs="Arial"/>
        </w:rPr>
        <w:t>sign</w:t>
      </w:r>
      <w:r w:rsidR="007B7640" w:rsidRPr="00CD59CC">
        <w:rPr>
          <w:rFonts w:ascii="Arial" w:hAnsi="Arial" w:cs="Arial"/>
        </w:rPr>
        <w:t xml:space="preserve"> </w:t>
      </w:r>
      <w:r w:rsidR="008D1C1F" w:rsidRPr="00CD59CC">
        <w:rPr>
          <w:rFonts w:ascii="Arial" w:hAnsi="Arial" w:cs="Arial"/>
        </w:rPr>
        <w:t>interpretation,</w:t>
      </w:r>
      <w:r w:rsidR="007B7640" w:rsidRPr="00CD59CC">
        <w:rPr>
          <w:rFonts w:ascii="Arial" w:hAnsi="Arial" w:cs="Arial"/>
        </w:rPr>
        <w:t xml:space="preserve"> </w:t>
      </w:r>
      <w:r w:rsidR="008D1C1F" w:rsidRPr="00CD59CC">
        <w:rPr>
          <w:rFonts w:ascii="Arial" w:hAnsi="Arial" w:cs="Arial"/>
        </w:rPr>
        <w:t>or</w:t>
      </w:r>
      <w:r w:rsidR="007B7640" w:rsidRPr="00CD59CC">
        <w:rPr>
          <w:rFonts w:ascii="Arial" w:hAnsi="Arial" w:cs="Arial"/>
        </w:rPr>
        <w:t xml:space="preserve"> </w:t>
      </w:r>
      <w:r w:rsidR="008D1C1F" w:rsidRPr="00CD59CC">
        <w:rPr>
          <w:rFonts w:ascii="Arial" w:hAnsi="Arial" w:cs="Arial"/>
        </w:rPr>
        <w:t>he/she</w:t>
      </w:r>
      <w:r w:rsidR="007B7640" w:rsidRPr="00CD59CC">
        <w:rPr>
          <w:rFonts w:ascii="Arial" w:hAnsi="Arial" w:cs="Arial"/>
        </w:rPr>
        <w:t xml:space="preserve"> </w:t>
      </w:r>
      <w:r w:rsidR="008D1C1F" w:rsidRPr="00CD59CC">
        <w:rPr>
          <w:rFonts w:ascii="Arial" w:hAnsi="Arial" w:cs="Arial"/>
        </w:rPr>
        <w:t>can</w:t>
      </w:r>
      <w:r w:rsidR="007B7640" w:rsidRPr="00CD59CC">
        <w:rPr>
          <w:rFonts w:ascii="Arial" w:hAnsi="Arial" w:cs="Arial"/>
        </w:rPr>
        <w:t xml:space="preserve"> </w:t>
      </w:r>
      <w:r w:rsidR="008D1C1F" w:rsidRPr="00CD59CC">
        <w:rPr>
          <w:rFonts w:ascii="Arial" w:hAnsi="Arial" w:cs="Arial"/>
        </w:rPr>
        <w:t>also</w:t>
      </w:r>
      <w:r w:rsidR="007B7640" w:rsidRPr="00CD59CC">
        <w:rPr>
          <w:rFonts w:ascii="Arial" w:hAnsi="Arial" w:cs="Arial"/>
        </w:rPr>
        <w:t xml:space="preserve"> </w:t>
      </w:r>
      <w:r w:rsidR="008D1C1F" w:rsidRPr="00CD59CC">
        <w:rPr>
          <w:rFonts w:ascii="Arial" w:hAnsi="Arial" w:cs="Arial"/>
        </w:rPr>
        <w:t>testify</w:t>
      </w:r>
      <w:r w:rsidR="007B7640" w:rsidRPr="00CD59CC">
        <w:rPr>
          <w:rFonts w:ascii="Arial" w:hAnsi="Arial" w:cs="Arial"/>
        </w:rPr>
        <w:t xml:space="preserve"> </w:t>
      </w:r>
      <w:r w:rsidR="008D1C1F" w:rsidRPr="00CD59CC">
        <w:rPr>
          <w:rFonts w:ascii="Arial" w:hAnsi="Arial" w:cs="Arial"/>
        </w:rPr>
        <w:t>in</w:t>
      </w:r>
      <w:r w:rsidR="007B7640" w:rsidRPr="00CD59CC">
        <w:rPr>
          <w:rFonts w:ascii="Arial" w:hAnsi="Arial" w:cs="Arial"/>
        </w:rPr>
        <w:t xml:space="preserve"> </w:t>
      </w:r>
      <w:r w:rsidR="008D1C1F" w:rsidRPr="00CD59CC">
        <w:rPr>
          <w:rFonts w:ascii="Arial" w:hAnsi="Arial" w:cs="Arial"/>
        </w:rPr>
        <w:t>writing.</w:t>
      </w:r>
      <w:r w:rsidR="007B7640" w:rsidRPr="00CD59CC">
        <w:rPr>
          <w:rFonts w:ascii="Arial" w:hAnsi="Arial" w:cs="Arial"/>
        </w:rPr>
        <w:t xml:space="preserve"> </w:t>
      </w:r>
      <w:r w:rsidR="008D1C1F" w:rsidRPr="00CD59CC">
        <w:rPr>
          <w:rFonts w:ascii="Arial" w:hAnsi="Arial" w:cs="Arial"/>
        </w:rPr>
        <w:t>Also</w:t>
      </w:r>
      <w:r w:rsidR="007B7640" w:rsidRPr="00CD59CC">
        <w:rPr>
          <w:rFonts w:ascii="Arial" w:hAnsi="Arial" w:cs="Arial"/>
        </w:rPr>
        <w:t xml:space="preserve"> </w:t>
      </w:r>
      <w:r w:rsidR="008D1C1F" w:rsidRPr="00CD59CC">
        <w:rPr>
          <w:rFonts w:ascii="Arial" w:hAnsi="Arial" w:cs="Arial"/>
        </w:rPr>
        <w:t>upon</w:t>
      </w:r>
      <w:r w:rsidR="007B7640" w:rsidRPr="00CD59CC">
        <w:rPr>
          <w:rFonts w:ascii="Arial" w:hAnsi="Arial" w:cs="Arial"/>
        </w:rPr>
        <w:t xml:space="preserve"> </w:t>
      </w:r>
      <w:r w:rsidR="008D1C1F" w:rsidRPr="00CD59CC">
        <w:rPr>
          <w:rFonts w:ascii="Arial" w:hAnsi="Arial" w:cs="Arial"/>
        </w:rPr>
        <w:t>request,</w:t>
      </w:r>
      <w:r w:rsidR="007B7640" w:rsidRPr="00CD59CC">
        <w:rPr>
          <w:rFonts w:ascii="Arial" w:hAnsi="Arial" w:cs="Arial"/>
        </w:rPr>
        <w:t xml:space="preserve"> </w:t>
      </w:r>
      <w:r w:rsidR="008D1C1F" w:rsidRPr="00CD59CC">
        <w:rPr>
          <w:rFonts w:ascii="Arial" w:hAnsi="Arial" w:cs="Arial"/>
        </w:rPr>
        <w:t>persons</w:t>
      </w:r>
      <w:r w:rsidR="007B7640" w:rsidRPr="00CD59CC">
        <w:rPr>
          <w:rFonts w:ascii="Arial" w:hAnsi="Arial" w:cs="Arial"/>
        </w:rPr>
        <w:t xml:space="preserve"> </w:t>
      </w:r>
      <w:r w:rsidR="008D1C1F" w:rsidRPr="00CD59CC">
        <w:rPr>
          <w:rFonts w:ascii="Arial" w:hAnsi="Arial" w:cs="Arial"/>
        </w:rPr>
        <w:t>with</w:t>
      </w:r>
      <w:r w:rsidR="007B7640" w:rsidRPr="00CD59CC">
        <w:rPr>
          <w:rFonts w:ascii="Arial" w:hAnsi="Arial" w:cs="Arial"/>
        </w:rPr>
        <w:t xml:space="preserve"> </w:t>
      </w:r>
      <w:r w:rsidR="008D1C1F" w:rsidRPr="00CD59CC">
        <w:rPr>
          <w:rFonts w:ascii="Arial" w:hAnsi="Arial" w:cs="Arial"/>
        </w:rPr>
        <w:t>speech</w:t>
      </w:r>
      <w:r w:rsidR="007B7640" w:rsidRPr="00CD59CC">
        <w:rPr>
          <w:rFonts w:ascii="Arial" w:hAnsi="Arial" w:cs="Arial"/>
        </w:rPr>
        <w:t xml:space="preserve"> </w:t>
      </w:r>
      <w:r w:rsidR="008D1C1F" w:rsidRPr="00CD59CC">
        <w:rPr>
          <w:rFonts w:ascii="Arial" w:hAnsi="Arial" w:cs="Arial"/>
        </w:rPr>
        <w:t>impairments</w:t>
      </w:r>
      <w:r w:rsidR="007B7640" w:rsidRPr="00CD59CC">
        <w:rPr>
          <w:rFonts w:ascii="Arial" w:hAnsi="Arial" w:cs="Arial"/>
        </w:rPr>
        <w:t xml:space="preserve"> </w:t>
      </w:r>
      <w:r w:rsidR="008D1C1F" w:rsidRPr="00CD59CC">
        <w:rPr>
          <w:rFonts w:ascii="Arial" w:hAnsi="Arial" w:cs="Arial"/>
        </w:rPr>
        <w:t>have</w:t>
      </w:r>
      <w:r w:rsidR="007B7640" w:rsidRPr="00CD59CC">
        <w:rPr>
          <w:rFonts w:ascii="Arial" w:hAnsi="Arial" w:cs="Arial"/>
        </w:rPr>
        <w:t xml:space="preserve"> </w:t>
      </w:r>
      <w:r w:rsidR="008D1C1F" w:rsidRPr="00CD59CC">
        <w:rPr>
          <w:rFonts w:ascii="Arial" w:hAnsi="Arial" w:cs="Arial"/>
        </w:rPr>
        <w:t>the</w:t>
      </w:r>
      <w:r w:rsidR="007B7640" w:rsidRPr="00CD59CC">
        <w:rPr>
          <w:rFonts w:ascii="Arial" w:hAnsi="Arial" w:cs="Arial"/>
        </w:rPr>
        <w:t xml:space="preserve"> </w:t>
      </w:r>
      <w:r w:rsidR="008D1C1F" w:rsidRPr="00CD59CC">
        <w:rPr>
          <w:rFonts w:ascii="Arial" w:hAnsi="Arial" w:cs="Arial"/>
        </w:rPr>
        <w:t>right</w:t>
      </w:r>
      <w:r w:rsidR="007B7640" w:rsidRPr="00CD59CC">
        <w:rPr>
          <w:rFonts w:ascii="Arial" w:hAnsi="Arial" w:cs="Arial"/>
        </w:rPr>
        <w:t xml:space="preserve"> </w:t>
      </w:r>
      <w:r w:rsidR="008D1C1F" w:rsidRPr="00CD59CC">
        <w:rPr>
          <w:rFonts w:ascii="Arial" w:hAnsi="Arial" w:cs="Arial"/>
        </w:rPr>
        <w:t>to</w:t>
      </w:r>
      <w:r w:rsidR="007B7640" w:rsidRPr="00CD59CC">
        <w:rPr>
          <w:rFonts w:ascii="Arial" w:hAnsi="Arial" w:cs="Arial"/>
        </w:rPr>
        <w:t xml:space="preserve"> </w:t>
      </w:r>
      <w:r w:rsidR="008D1C1F" w:rsidRPr="00CD59CC">
        <w:rPr>
          <w:rFonts w:ascii="Arial" w:hAnsi="Arial" w:cs="Arial"/>
        </w:rPr>
        <w:t>testify</w:t>
      </w:r>
      <w:r w:rsidR="007B7640" w:rsidRPr="00CD59CC">
        <w:rPr>
          <w:rFonts w:ascii="Arial" w:hAnsi="Arial" w:cs="Arial"/>
        </w:rPr>
        <w:t xml:space="preserve"> </w:t>
      </w:r>
      <w:r w:rsidR="008D1C1F" w:rsidRPr="00CD59CC">
        <w:rPr>
          <w:rFonts w:ascii="Arial" w:hAnsi="Arial" w:cs="Arial"/>
        </w:rPr>
        <w:t>in</w:t>
      </w:r>
      <w:r w:rsidR="007B7640" w:rsidRPr="00CD59CC">
        <w:rPr>
          <w:rFonts w:ascii="Arial" w:hAnsi="Arial" w:cs="Arial"/>
        </w:rPr>
        <w:t xml:space="preserve"> </w:t>
      </w:r>
      <w:r w:rsidR="008D1C1F" w:rsidRPr="00CD59CC">
        <w:rPr>
          <w:rFonts w:ascii="Arial" w:hAnsi="Arial" w:cs="Arial"/>
        </w:rPr>
        <w:t>writing.</w:t>
      </w:r>
      <w:r w:rsidR="007B7640" w:rsidRPr="00CD59CC">
        <w:rPr>
          <w:rFonts w:ascii="Arial" w:hAnsi="Arial" w:cs="Arial"/>
        </w:rPr>
        <w:t xml:space="preserve"> </w:t>
      </w:r>
      <w:r w:rsidR="008D1C1F" w:rsidRPr="00CD59CC">
        <w:rPr>
          <w:rFonts w:ascii="Arial" w:hAnsi="Arial" w:cs="Arial"/>
        </w:rPr>
        <w:t>These</w:t>
      </w:r>
      <w:r w:rsidR="007B7640" w:rsidRPr="00CD59CC">
        <w:rPr>
          <w:rFonts w:ascii="Arial" w:hAnsi="Arial" w:cs="Arial"/>
        </w:rPr>
        <w:t xml:space="preserve"> </w:t>
      </w:r>
      <w:r w:rsidR="008D1C1F" w:rsidRPr="00CD59CC">
        <w:rPr>
          <w:rFonts w:ascii="Arial" w:hAnsi="Arial" w:cs="Arial"/>
        </w:rPr>
        <w:t>norms</w:t>
      </w:r>
      <w:r w:rsidR="007B7640" w:rsidRPr="00CD59CC">
        <w:rPr>
          <w:rFonts w:ascii="Arial" w:hAnsi="Arial" w:cs="Arial"/>
        </w:rPr>
        <w:t xml:space="preserve"> </w:t>
      </w:r>
      <w:r w:rsidR="008D1C1F" w:rsidRPr="00CD59CC">
        <w:rPr>
          <w:rFonts w:ascii="Arial" w:hAnsi="Arial" w:cs="Arial"/>
        </w:rPr>
        <w:t>are</w:t>
      </w:r>
      <w:r w:rsidR="007B7640" w:rsidRPr="00CD59CC">
        <w:rPr>
          <w:rFonts w:ascii="Arial" w:hAnsi="Arial" w:cs="Arial"/>
        </w:rPr>
        <w:t xml:space="preserve"> </w:t>
      </w:r>
      <w:r w:rsidR="008D1C1F" w:rsidRPr="00CD59CC">
        <w:rPr>
          <w:rFonts w:ascii="Arial" w:hAnsi="Arial" w:cs="Arial"/>
        </w:rPr>
        <w:t>to</w:t>
      </w:r>
      <w:r w:rsidR="007B7640" w:rsidRPr="00CD59CC">
        <w:rPr>
          <w:rFonts w:ascii="Arial" w:hAnsi="Arial" w:cs="Arial"/>
        </w:rPr>
        <w:t xml:space="preserve"> </w:t>
      </w:r>
      <w:r w:rsidR="008D1C1F" w:rsidRPr="00CD59CC">
        <w:rPr>
          <w:rFonts w:ascii="Arial" w:hAnsi="Arial" w:cs="Arial"/>
        </w:rPr>
        <w:t>be</w:t>
      </w:r>
      <w:r w:rsidR="007B7640" w:rsidRPr="00CD59CC">
        <w:rPr>
          <w:rFonts w:ascii="Arial" w:hAnsi="Arial" w:cs="Arial"/>
        </w:rPr>
        <w:t xml:space="preserve"> </w:t>
      </w:r>
      <w:r w:rsidR="008D1C1F" w:rsidRPr="00CD59CC">
        <w:rPr>
          <w:rFonts w:ascii="Arial" w:hAnsi="Arial" w:cs="Arial"/>
        </w:rPr>
        <w:t>applied</w:t>
      </w:r>
      <w:r w:rsidR="007B7640" w:rsidRPr="00CD59CC">
        <w:rPr>
          <w:rFonts w:ascii="Arial" w:hAnsi="Arial" w:cs="Arial"/>
        </w:rPr>
        <w:t xml:space="preserve"> </w:t>
      </w:r>
      <w:r w:rsidR="008D1C1F" w:rsidRPr="00CD59CC">
        <w:rPr>
          <w:rFonts w:ascii="Arial" w:hAnsi="Arial" w:cs="Arial"/>
        </w:rPr>
        <w:t>in</w:t>
      </w:r>
      <w:r w:rsidR="007B7640" w:rsidRPr="00CD59CC">
        <w:rPr>
          <w:rFonts w:ascii="Arial" w:hAnsi="Arial" w:cs="Arial"/>
        </w:rPr>
        <w:t xml:space="preserve"> </w:t>
      </w:r>
      <w:r w:rsidR="008D1C1F" w:rsidRPr="00CD59CC">
        <w:rPr>
          <w:rFonts w:ascii="Arial" w:hAnsi="Arial" w:cs="Arial"/>
        </w:rPr>
        <w:t>administrative,</w:t>
      </w:r>
      <w:r w:rsidR="008D1C1F" w:rsidRPr="00CD59CC">
        <w:rPr>
          <w:rStyle w:val="FootnoteReference"/>
          <w:rFonts w:ascii="Arial" w:hAnsi="Arial" w:cs="Arial"/>
        </w:rPr>
        <w:footnoteReference w:id="55"/>
      </w:r>
      <w:r w:rsidR="007B7640" w:rsidRPr="00CD59CC">
        <w:rPr>
          <w:rFonts w:ascii="Arial" w:hAnsi="Arial" w:cs="Arial"/>
        </w:rPr>
        <w:t xml:space="preserve"> </w:t>
      </w:r>
      <w:r w:rsidR="008D1C1F" w:rsidRPr="00CD59CC">
        <w:rPr>
          <w:rFonts w:ascii="Arial" w:hAnsi="Arial" w:cs="Arial"/>
        </w:rPr>
        <w:t>criminal</w:t>
      </w:r>
      <w:r w:rsidR="008D1C1F" w:rsidRPr="00CD59CC">
        <w:rPr>
          <w:rStyle w:val="FootnoteReference"/>
          <w:rFonts w:ascii="Arial" w:hAnsi="Arial" w:cs="Arial"/>
        </w:rPr>
        <w:footnoteReference w:id="56"/>
      </w:r>
      <w:r w:rsidR="007B7640" w:rsidRPr="00CD59CC">
        <w:rPr>
          <w:rFonts w:ascii="Arial" w:hAnsi="Arial" w:cs="Arial"/>
        </w:rPr>
        <w:t xml:space="preserve"> </w:t>
      </w:r>
      <w:r w:rsidR="008D1C1F" w:rsidRPr="00CD59CC">
        <w:rPr>
          <w:rFonts w:ascii="Arial" w:hAnsi="Arial" w:cs="Arial"/>
        </w:rPr>
        <w:t>and</w:t>
      </w:r>
      <w:r w:rsidR="007B7640" w:rsidRPr="00CD59CC">
        <w:rPr>
          <w:rFonts w:ascii="Arial" w:hAnsi="Arial" w:cs="Arial"/>
        </w:rPr>
        <w:t xml:space="preserve"> </w:t>
      </w:r>
      <w:r w:rsidR="008D1C1F" w:rsidRPr="00CD59CC">
        <w:rPr>
          <w:rFonts w:ascii="Arial" w:hAnsi="Arial" w:cs="Arial"/>
        </w:rPr>
        <w:t>civil</w:t>
      </w:r>
      <w:r w:rsidR="007B7640" w:rsidRPr="00CD59CC">
        <w:rPr>
          <w:rFonts w:ascii="Arial" w:hAnsi="Arial" w:cs="Arial"/>
        </w:rPr>
        <w:t xml:space="preserve"> </w:t>
      </w:r>
      <w:r w:rsidR="008D1C1F" w:rsidRPr="00CD59CC">
        <w:rPr>
          <w:rFonts w:ascii="Arial" w:hAnsi="Arial" w:cs="Arial"/>
        </w:rPr>
        <w:t>proceedings</w:t>
      </w:r>
      <w:r w:rsidR="008D1C1F" w:rsidRPr="00CD59CC">
        <w:rPr>
          <w:rStyle w:val="FootnoteReference"/>
          <w:rFonts w:ascii="Arial" w:hAnsi="Arial" w:cs="Arial"/>
        </w:rPr>
        <w:footnoteReference w:id="57"/>
      </w:r>
      <w:r w:rsidR="007B7640" w:rsidRPr="00CD59CC">
        <w:rPr>
          <w:rFonts w:ascii="Arial" w:hAnsi="Arial" w:cs="Arial"/>
        </w:rPr>
        <w:t xml:space="preserve"> </w:t>
      </w:r>
      <w:r w:rsidR="008D1C1F" w:rsidRPr="00CD59CC">
        <w:rPr>
          <w:rFonts w:ascii="Arial" w:hAnsi="Arial" w:cs="Arial"/>
        </w:rPr>
        <w:t>alike.</w:t>
      </w:r>
    </w:p>
    <w:p w14:paraId="748B7321" w14:textId="77777777" w:rsidR="008D1C1F" w:rsidRPr="00CD59CC" w:rsidRDefault="008D1C1F" w:rsidP="00CD59CC">
      <w:pPr>
        <w:rPr>
          <w:rFonts w:ascii="Arial" w:hAnsi="Arial" w:cs="Arial"/>
        </w:rPr>
      </w:pPr>
    </w:p>
    <w:p w14:paraId="24CCA8EF" w14:textId="77777777" w:rsidR="00BF2F38" w:rsidRPr="00CD59CC" w:rsidRDefault="00515690"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39</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CLXXXV</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2010</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Media</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Mass</w:t>
      </w:r>
      <w:r w:rsidR="007B7640" w:rsidRPr="00CD59CC">
        <w:rPr>
          <w:rFonts w:ascii="Arial" w:hAnsi="Arial" w:cs="Arial"/>
        </w:rPr>
        <w:t xml:space="preserve"> </w:t>
      </w:r>
      <w:r w:rsidRPr="00CD59CC">
        <w:rPr>
          <w:rFonts w:ascii="Arial" w:hAnsi="Arial" w:cs="Arial"/>
        </w:rPr>
        <w:t>Communication,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providers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audiovisual</w:t>
      </w:r>
      <w:r w:rsidR="007B7640" w:rsidRPr="00CD59CC">
        <w:rPr>
          <w:rFonts w:ascii="Arial" w:hAnsi="Arial" w:cs="Arial"/>
        </w:rPr>
        <w:t xml:space="preserve"> </w:t>
      </w:r>
      <w:r w:rsidRPr="00CD59CC">
        <w:rPr>
          <w:rFonts w:ascii="Arial" w:hAnsi="Arial" w:cs="Arial"/>
        </w:rPr>
        <w:t>media</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endeavour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gradually</w:t>
      </w:r>
      <w:r w:rsidR="007B7640" w:rsidRPr="00CD59CC">
        <w:rPr>
          <w:rFonts w:ascii="Arial" w:hAnsi="Arial" w:cs="Arial"/>
        </w:rPr>
        <w:t xml:space="preserve"> </w:t>
      </w:r>
      <w:r w:rsidRPr="00CD59CC">
        <w:rPr>
          <w:rFonts w:ascii="Arial" w:hAnsi="Arial" w:cs="Arial"/>
        </w:rPr>
        <w:t>make</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programmes</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hearing</w:t>
      </w:r>
      <w:r w:rsidR="007B7640" w:rsidRPr="00CD59CC">
        <w:rPr>
          <w:rFonts w:ascii="Arial" w:hAnsi="Arial" w:cs="Arial"/>
        </w:rPr>
        <w:t xml:space="preserve"> </w:t>
      </w:r>
      <w:r w:rsidRPr="00CD59CC">
        <w:rPr>
          <w:rFonts w:ascii="Arial" w:hAnsi="Arial" w:cs="Arial"/>
        </w:rPr>
        <w:t>impairments.</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service</w:t>
      </w:r>
      <w:r w:rsidR="007B7640" w:rsidRPr="00CD59CC">
        <w:rPr>
          <w:rFonts w:ascii="Arial" w:hAnsi="Arial" w:cs="Arial"/>
        </w:rPr>
        <w:t xml:space="preserve"> </w:t>
      </w:r>
      <w:r w:rsidRPr="00CD59CC">
        <w:rPr>
          <w:rFonts w:ascii="Arial" w:hAnsi="Arial" w:cs="Arial"/>
        </w:rPr>
        <w:t>media</w:t>
      </w:r>
      <w:r w:rsidR="007B7640" w:rsidRPr="00CD59CC">
        <w:rPr>
          <w:rFonts w:ascii="Arial" w:hAnsi="Arial" w:cs="Arial"/>
        </w:rPr>
        <w:t xml:space="preserve"> </w:t>
      </w:r>
      <w:r w:rsidRPr="00CD59CC">
        <w:rPr>
          <w:rFonts w:ascii="Arial" w:hAnsi="Arial" w:cs="Arial"/>
        </w:rPr>
        <w:t>providers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commercial</w:t>
      </w:r>
      <w:r w:rsidR="007B7640" w:rsidRPr="00CD59CC">
        <w:rPr>
          <w:rFonts w:ascii="Arial" w:hAnsi="Arial" w:cs="Arial"/>
        </w:rPr>
        <w:t xml:space="preserve"> </w:t>
      </w:r>
      <w:r w:rsidRPr="00CD59CC">
        <w:rPr>
          <w:rFonts w:ascii="Arial" w:hAnsi="Arial" w:cs="Arial"/>
        </w:rPr>
        <w:t>providers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reach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widest</w:t>
      </w:r>
      <w:r w:rsidR="007B7640" w:rsidRPr="00CD59CC">
        <w:rPr>
          <w:rFonts w:ascii="Arial" w:hAnsi="Arial" w:cs="Arial"/>
        </w:rPr>
        <w:t xml:space="preserve"> </w:t>
      </w:r>
      <w:r w:rsidRPr="00CD59CC">
        <w:rPr>
          <w:rFonts w:ascii="Arial" w:hAnsi="Arial" w:cs="Arial"/>
        </w:rPr>
        <w:t>audience</w:t>
      </w:r>
      <w:r w:rsidR="007B7640" w:rsidRPr="00CD59CC">
        <w:rPr>
          <w:rFonts w:ascii="Arial" w:hAnsi="Arial" w:cs="Arial"/>
        </w:rPr>
        <w:t xml:space="preserve"> </w:t>
      </w:r>
      <w:r w:rsidR="00BF2F38" w:rsidRPr="00CD59CC">
        <w:rPr>
          <w:rFonts w:ascii="Arial" w:hAnsi="Arial" w:cs="Arial"/>
        </w:rPr>
        <w:t>are</w:t>
      </w:r>
      <w:r w:rsidR="007B7640" w:rsidRPr="00CD59CC">
        <w:rPr>
          <w:rFonts w:ascii="Arial" w:hAnsi="Arial" w:cs="Arial"/>
        </w:rPr>
        <w:t xml:space="preserve"> </w:t>
      </w:r>
      <w:r w:rsidR="00BF2F38" w:rsidRPr="00CD59CC">
        <w:rPr>
          <w:rFonts w:ascii="Arial" w:hAnsi="Arial" w:cs="Arial"/>
        </w:rPr>
        <w:t>obliged</w:t>
      </w:r>
      <w:r w:rsidR="007B7640" w:rsidRPr="00CD59CC">
        <w:rPr>
          <w:rFonts w:ascii="Arial" w:hAnsi="Arial" w:cs="Arial"/>
        </w:rPr>
        <w:t xml:space="preserve"> </w:t>
      </w:r>
      <w:r w:rsidR="00BF2F38" w:rsidRPr="00CD59CC">
        <w:rPr>
          <w:rFonts w:ascii="Arial" w:hAnsi="Arial" w:cs="Arial"/>
        </w:rPr>
        <w:t>to</w:t>
      </w:r>
      <w:r w:rsidR="007B7640" w:rsidRPr="00CD59CC">
        <w:rPr>
          <w:rFonts w:ascii="Arial" w:hAnsi="Arial" w:cs="Arial"/>
        </w:rPr>
        <w:t xml:space="preserve"> </w:t>
      </w:r>
      <w:r w:rsidR="00BF2F38" w:rsidRPr="00CD59CC">
        <w:rPr>
          <w:rFonts w:ascii="Arial" w:hAnsi="Arial" w:cs="Arial"/>
        </w:rPr>
        <w:t>provide</w:t>
      </w:r>
      <w:r w:rsidR="007B7640" w:rsidRPr="00CD59CC">
        <w:rPr>
          <w:rFonts w:ascii="Arial" w:hAnsi="Arial" w:cs="Arial"/>
        </w:rPr>
        <w:t xml:space="preserve"> </w:t>
      </w:r>
      <w:r w:rsidRPr="00CD59CC">
        <w:rPr>
          <w:rFonts w:ascii="Arial" w:hAnsi="Arial" w:cs="Arial"/>
        </w:rPr>
        <w:t>subtitling</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sign</w:t>
      </w:r>
      <w:r w:rsidR="007B7640" w:rsidRPr="00CD59CC">
        <w:rPr>
          <w:rFonts w:ascii="Arial" w:hAnsi="Arial" w:cs="Arial"/>
        </w:rPr>
        <w:t xml:space="preserve"> </w:t>
      </w:r>
      <w:r w:rsidRPr="00CD59CC">
        <w:rPr>
          <w:rFonts w:ascii="Arial" w:hAnsi="Arial" w:cs="Arial"/>
        </w:rPr>
        <w:t>language</w:t>
      </w:r>
      <w:r w:rsidR="007B7640" w:rsidRPr="00CD59CC">
        <w:rPr>
          <w:rFonts w:ascii="Arial" w:hAnsi="Arial" w:cs="Arial"/>
        </w:rPr>
        <w:t xml:space="preserve"> </w:t>
      </w:r>
      <w:r w:rsidRPr="00CD59CC">
        <w:rPr>
          <w:rFonts w:ascii="Arial" w:hAnsi="Arial" w:cs="Arial"/>
        </w:rPr>
        <w:t>interpre</w:t>
      </w:r>
      <w:r w:rsidR="00BF2F38" w:rsidRPr="00CD59CC">
        <w:rPr>
          <w:rFonts w:ascii="Arial" w:hAnsi="Arial" w:cs="Arial"/>
        </w:rPr>
        <w:t>tation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service</w:t>
      </w:r>
      <w:r w:rsidR="007B7640" w:rsidRPr="00CD59CC">
        <w:rPr>
          <w:rFonts w:ascii="Arial" w:hAnsi="Arial" w:cs="Arial"/>
        </w:rPr>
        <w:t xml:space="preserve"> </w:t>
      </w:r>
      <w:r w:rsidRPr="00CD59CC">
        <w:rPr>
          <w:rFonts w:ascii="Arial" w:hAnsi="Arial" w:cs="Arial"/>
        </w:rPr>
        <w:t>announcements</w:t>
      </w:r>
      <w:r w:rsidR="007B7640" w:rsidRPr="00CD59CC">
        <w:rPr>
          <w:rFonts w:ascii="Arial" w:hAnsi="Arial" w:cs="Arial"/>
        </w:rPr>
        <w:t xml:space="preserve"> </w:t>
      </w:r>
      <w:r w:rsidR="00BF2F38" w:rsidRPr="00CD59CC">
        <w:rPr>
          <w:rFonts w:ascii="Arial" w:hAnsi="Arial" w:cs="Arial"/>
        </w:rPr>
        <w:t>(political</w:t>
      </w:r>
      <w:r w:rsidR="007B7640" w:rsidRPr="00CD59CC">
        <w:rPr>
          <w:rFonts w:ascii="Arial" w:hAnsi="Arial" w:cs="Arial"/>
        </w:rPr>
        <w:t xml:space="preserve"> </w:t>
      </w:r>
      <w:r w:rsidR="00BF2F38" w:rsidRPr="00CD59CC">
        <w:rPr>
          <w:rFonts w:ascii="Arial" w:hAnsi="Arial" w:cs="Arial"/>
        </w:rPr>
        <w:t>advertisements,</w:t>
      </w:r>
      <w:r w:rsidR="007B7640" w:rsidRPr="00CD59CC">
        <w:rPr>
          <w:rFonts w:ascii="Arial" w:hAnsi="Arial" w:cs="Arial"/>
        </w:rPr>
        <w:t xml:space="preserve"> </w:t>
      </w:r>
      <w:r w:rsidR="00BF2F38" w:rsidRPr="00CD59CC">
        <w:rPr>
          <w:rFonts w:ascii="Arial" w:hAnsi="Arial" w:cs="Arial"/>
        </w:rPr>
        <w:t>programmes</w:t>
      </w:r>
      <w:r w:rsidR="007B7640" w:rsidRPr="00CD59CC">
        <w:rPr>
          <w:rFonts w:ascii="Arial" w:hAnsi="Arial" w:cs="Arial"/>
        </w:rPr>
        <w:t xml:space="preserve"> </w:t>
      </w:r>
      <w:r w:rsidR="00BF2F38" w:rsidRPr="00CD59CC">
        <w:rPr>
          <w:rFonts w:ascii="Arial" w:hAnsi="Arial" w:cs="Arial"/>
        </w:rPr>
        <w:t>containing</w:t>
      </w:r>
      <w:r w:rsidR="007B7640" w:rsidRPr="00CD59CC">
        <w:rPr>
          <w:rFonts w:ascii="Arial" w:hAnsi="Arial" w:cs="Arial"/>
        </w:rPr>
        <w:t xml:space="preserve"> </w:t>
      </w:r>
      <w:r w:rsidR="00BF2F38" w:rsidRPr="00CD59CC">
        <w:rPr>
          <w:rFonts w:ascii="Arial" w:hAnsi="Arial" w:cs="Arial"/>
        </w:rPr>
        <w:t>political</w:t>
      </w:r>
      <w:r w:rsidR="007B7640" w:rsidRPr="00CD59CC">
        <w:rPr>
          <w:rFonts w:ascii="Arial" w:hAnsi="Arial" w:cs="Arial"/>
        </w:rPr>
        <w:t xml:space="preserve"> </w:t>
      </w:r>
      <w:r w:rsidR="00BF2F38" w:rsidRPr="00CD59CC">
        <w:rPr>
          <w:rFonts w:ascii="Arial" w:hAnsi="Arial" w:cs="Arial"/>
        </w:rPr>
        <w:t>information),</w:t>
      </w:r>
      <w:r w:rsidR="007B7640" w:rsidRPr="00CD59CC">
        <w:rPr>
          <w:rFonts w:ascii="Arial" w:hAnsi="Arial" w:cs="Arial"/>
        </w:rPr>
        <w:t xml:space="preserve"> </w:t>
      </w:r>
      <w:r w:rsidRPr="00CD59CC">
        <w:rPr>
          <w:rFonts w:ascii="Arial" w:hAnsi="Arial" w:cs="Arial"/>
        </w:rPr>
        <w:t>news</w:t>
      </w:r>
      <w:r w:rsidR="007B7640" w:rsidRPr="00CD59CC">
        <w:rPr>
          <w:rFonts w:ascii="Arial" w:hAnsi="Arial" w:cs="Arial"/>
        </w:rPr>
        <w:t xml:space="preserve"> </w:t>
      </w:r>
      <w:r w:rsidRPr="00CD59CC">
        <w:rPr>
          <w:rFonts w:ascii="Arial" w:hAnsi="Arial" w:cs="Arial"/>
        </w:rPr>
        <w:t>programmes</w:t>
      </w:r>
      <w:r w:rsidR="007B7640" w:rsidRPr="00CD59CC">
        <w:rPr>
          <w:rFonts w:ascii="Arial" w:hAnsi="Arial" w:cs="Arial"/>
        </w:rPr>
        <w:t xml:space="preserve"> </w:t>
      </w:r>
      <w:r w:rsidR="00BF2F38" w:rsidRPr="00CD59CC">
        <w:rPr>
          <w:rFonts w:ascii="Arial" w:hAnsi="Arial" w:cs="Arial"/>
        </w:rPr>
        <w:t>(including</w:t>
      </w:r>
      <w:r w:rsidR="007B7640" w:rsidRPr="00CD59CC">
        <w:rPr>
          <w:rFonts w:ascii="Arial" w:hAnsi="Arial" w:cs="Arial"/>
        </w:rPr>
        <w:t xml:space="preserve"> </w:t>
      </w:r>
      <w:r w:rsidR="00BF2F38" w:rsidRPr="00CD59CC">
        <w:rPr>
          <w:rFonts w:ascii="Arial" w:hAnsi="Arial" w:cs="Arial"/>
        </w:rPr>
        <w:t>traffic</w:t>
      </w:r>
      <w:r w:rsidR="007B7640" w:rsidRPr="00CD59CC">
        <w:rPr>
          <w:rFonts w:ascii="Arial" w:hAnsi="Arial" w:cs="Arial"/>
        </w:rPr>
        <w:t xml:space="preserve"> </w:t>
      </w:r>
      <w:r w:rsidR="00BF2F38" w:rsidRPr="00CD59CC">
        <w:rPr>
          <w:rFonts w:ascii="Arial" w:hAnsi="Arial" w:cs="Arial"/>
        </w:rPr>
        <w:t>information,</w:t>
      </w:r>
      <w:r w:rsidR="007B7640" w:rsidRPr="00CD59CC">
        <w:rPr>
          <w:rFonts w:ascii="Arial" w:hAnsi="Arial" w:cs="Arial"/>
        </w:rPr>
        <w:t xml:space="preserve"> </w:t>
      </w:r>
      <w:r w:rsidR="00BF2F38" w:rsidRPr="00CD59CC">
        <w:rPr>
          <w:rFonts w:ascii="Arial" w:hAnsi="Arial" w:cs="Arial"/>
        </w:rPr>
        <w:t>weather</w:t>
      </w:r>
      <w:r w:rsidR="007B7640" w:rsidRPr="00CD59CC">
        <w:rPr>
          <w:rFonts w:ascii="Arial" w:hAnsi="Arial" w:cs="Arial"/>
        </w:rPr>
        <w:t xml:space="preserve"> </w:t>
      </w:r>
      <w:r w:rsidR="00BF2F38" w:rsidRPr="00CD59CC">
        <w:rPr>
          <w:rFonts w:ascii="Arial" w:hAnsi="Arial" w:cs="Arial"/>
        </w:rPr>
        <w:t>forecasts</w:t>
      </w:r>
      <w:r w:rsidR="007B7640" w:rsidRPr="00CD59CC">
        <w:rPr>
          <w:rFonts w:ascii="Arial" w:hAnsi="Arial" w:cs="Arial"/>
        </w:rPr>
        <w:t xml:space="preserve"> </w:t>
      </w:r>
      <w:r w:rsidR="00BF2F38" w:rsidRPr="00CD59CC">
        <w:rPr>
          <w:rFonts w:ascii="Arial" w:hAnsi="Arial" w:cs="Arial"/>
        </w:rPr>
        <w:t>and</w:t>
      </w:r>
      <w:r w:rsidR="007B7640" w:rsidRPr="00CD59CC">
        <w:rPr>
          <w:rFonts w:ascii="Arial" w:hAnsi="Arial" w:cs="Arial"/>
        </w:rPr>
        <w:t xml:space="preserve"> </w:t>
      </w:r>
      <w:r w:rsidR="00BF2F38" w:rsidRPr="00CD59CC">
        <w:rPr>
          <w:rFonts w:ascii="Arial" w:hAnsi="Arial" w:cs="Arial"/>
        </w:rPr>
        <w:t>sports</w:t>
      </w:r>
      <w:r w:rsidR="007B7640" w:rsidRPr="00CD59CC">
        <w:rPr>
          <w:rFonts w:ascii="Arial" w:hAnsi="Arial" w:cs="Arial"/>
        </w:rPr>
        <w:t xml:space="preserve"> </w:t>
      </w:r>
      <w:r w:rsidR="00BF2F38" w:rsidRPr="00CD59CC">
        <w:rPr>
          <w:rFonts w:ascii="Arial" w:hAnsi="Arial" w:cs="Arial"/>
        </w:rPr>
        <w:t>news)</w:t>
      </w:r>
      <w:r w:rsidR="007B7640" w:rsidRPr="00CD59CC">
        <w:rPr>
          <w:rFonts w:ascii="Arial" w:hAnsi="Arial" w:cs="Arial"/>
        </w:rPr>
        <w:t xml:space="preserve"> </w:t>
      </w:r>
      <w:r w:rsidR="00BF2F38" w:rsidRPr="00CD59CC">
        <w:rPr>
          <w:rFonts w:ascii="Arial" w:hAnsi="Arial" w:cs="Arial"/>
        </w:rPr>
        <w:t>as</w:t>
      </w:r>
      <w:r w:rsidR="007B7640" w:rsidRPr="00CD59CC">
        <w:rPr>
          <w:rFonts w:ascii="Arial" w:hAnsi="Arial" w:cs="Arial"/>
        </w:rPr>
        <w:t xml:space="preserve"> </w:t>
      </w:r>
      <w:r w:rsidR="00BF2F38" w:rsidRPr="00CD59CC">
        <w:rPr>
          <w:rFonts w:ascii="Arial" w:hAnsi="Arial" w:cs="Arial"/>
        </w:rPr>
        <w:t>well</w:t>
      </w:r>
      <w:r w:rsidR="007B7640" w:rsidRPr="00CD59CC">
        <w:rPr>
          <w:rFonts w:ascii="Arial" w:hAnsi="Arial" w:cs="Arial"/>
        </w:rPr>
        <w:t xml:space="preserve"> </w:t>
      </w:r>
      <w:r w:rsidR="00BF2F38" w:rsidRPr="00CD59CC">
        <w:rPr>
          <w:rFonts w:ascii="Arial" w:hAnsi="Arial" w:cs="Arial"/>
        </w:rPr>
        <w:t>as</w:t>
      </w:r>
      <w:r w:rsidR="007B7640" w:rsidRPr="00CD59CC">
        <w:rPr>
          <w:rFonts w:ascii="Arial" w:hAnsi="Arial" w:cs="Arial"/>
        </w:rPr>
        <w:t xml:space="preserve"> </w:t>
      </w:r>
      <w:r w:rsidR="00BF2F38" w:rsidRPr="00CD59CC">
        <w:rPr>
          <w:rFonts w:ascii="Arial" w:hAnsi="Arial" w:cs="Arial"/>
        </w:rPr>
        <w:t>programmes</w:t>
      </w:r>
      <w:r w:rsidR="007B7640" w:rsidRPr="00CD59CC">
        <w:rPr>
          <w:rFonts w:ascii="Arial" w:hAnsi="Arial" w:cs="Arial"/>
        </w:rPr>
        <w:t xml:space="preserve"> </w:t>
      </w:r>
      <w:r w:rsidR="00BF2F38" w:rsidRPr="00CD59CC">
        <w:rPr>
          <w:rFonts w:ascii="Arial" w:hAnsi="Arial" w:cs="Arial"/>
        </w:rPr>
        <w:t>on</w:t>
      </w:r>
      <w:r w:rsidR="007B7640" w:rsidRPr="00CD59CC">
        <w:rPr>
          <w:rFonts w:ascii="Arial" w:hAnsi="Arial" w:cs="Arial"/>
        </w:rPr>
        <w:t xml:space="preserve"> </w:t>
      </w:r>
      <w:r w:rsidR="00BF2F38" w:rsidRPr="00CD59CC">
        <w:rPr>
          <w:rFonts w:ascii="Arial" w:hAnsi="Arial" w:cs="Arial"/>
        </w:rPr>
        <w:t>persons</w:t>
      </w:r>
      <w:r w:rsidR="007B7640" w:rsidRPr="00CD59CC">
        <w:rPr>
          <w:rFonts w:ascii="Arial" w:hAnsi="Arial" w:cs="Arial"/>
        </w:rPr>
        <w:t xml:space="preserve"> </w:t>
      </w:r>
      <w:r w:rsidR="00BF2F38" w:rsidRPr="00CD59CC">
        <w:rPr>
          <w:rFonts w:ascii="Arial" w:hAnsi="Arial" w:cs="Arial"/>
        </w:rPr>
        <w:t>with</w:t>
      </w:r>
      <w:r w:rsidR="007B7640" w:rsidRPr="00CD59CC">
        <w:rPr>
          <w:rFonts w:ascii="Arial" w:hAnsi="Arial" w:cs="Arial"/>
        </w:rPr>
        <w:t xml:space="preserve"> </w:t>
      </w:r>
      <w:r w:rsidR="00BF2F38" w:rsidRPr="00CD59CC">
        <w:rPr>
          <w:rFonts w:ascii="Arial" w:hAnsi="Arial" w:cs="Arial"/>
        </w:rPr>
        <w:t>disabilities</w:t>
      </w:r>
      <w:r w:rsidR="007B7640" w:rsidRPr="00CD59CC">
        <w:rPr>
          <w:rFonts w:ascii="Arial" w:hAnsi="Arial" w:cs="Arial"/>
        </w:rPr>
        <w:t xml:space="preserve"> </w:t>
      </w:r>
      <w:r w:rsidR="00BF2F38" w:rsidRPr="00CD59CC">
        <w:rPr>
          <w:rFonts w:ascii="Arial" w:hAnsi="Arial" w:cs="Arial"/>
        </w:rPr>
        <w:t>and</w:t>
      </w:r>
      <w:r w:rsidR="007B7640" w:rsidRPr="00CD59CC">
        <w:rPr>
          <w:rFonts w:ascii="Arial" w:hAnsi="Arial" w:cs="Arial"/>
        </w:rPr>
        <w:t xml:space="preserve"> </w:t>
      </w:r>
      <w:r w:rsidR="00BF2F38" w:rsidRPr="00CD59CC">
        <w:rPr>
          <w:rFonts w:ascii="Arial" w:hAnsi="Arial" w:cs="Arial"/>
        </w:rPr>
        <w:t>equal</w:t>
      </w:r>
      <w:r w:rsidR="007B7640" w:rsidRPr="00CD59CC">
        <w:rPr>
          <w:rFonts w:ascii="Arial" w:hAnsi="Arial" w:cs="Arial"/>
        </w:rPr>
        <w:t xml:space="preserve"> </w:t>
      </w:r>
      <w:r w:rsidR="00BF2F38" w:rsidRPr="00CD59CC">
        <w:rPr>
          <w:rFonts w:ascii="Arial" w:hAnsi="Arial" w:cs="Arial"/>
        </w:rPr>
        <w:t>opportunities.</w:t>
      </w:r>
    </w:p>
    <w:p w14:paraId="5A799AAF" w14:textId="77777777" w:rsidR="00BF2F38" w:rsidRPr="00CD59CC" w:rsidRDefault="00BF2F38" w:rsidP="00CD59CC">
      <w:pPr>
        <w:rPr>
          <w:rFonts w:ascii="Arial" w:hAnsi="Arial" w:cs="Arial"/>
        </w:rPr>
      </w:pPr>
    </w:p>
    <w:p w14:paraId="06301ED1" w14:textId="77777777" w:rsidR="00515690" w:rsidRPr="00CD59CC" w:rsidRDefault="00BF2F38" w:rsidP="00CD59CC">
      <w:pPr>
        <w:rPr>
          <w:rFonts w:ascii="Arial" w:hAnsi="Arial" w:cs="Arial"/>
        </w:rPr>
      </w:pPr>
      <w:r w:rsidRPr="00CD59CC">
        <w:rPr>
          <w:rFonts w:ascii="Arial" w:hAnsi="Arial" w:cs="Arial"/>
        </w:rPr>
        <w:t>Furthermore,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gradually</w:t>
      </w:r>
      <w:r w:rsidR="007B7640" w:rsidRPr="00CD59CC">
        <w:rPr>
          <w:rFonts w:ascii="Arial" w:hAnsi="Arial" w:cs="Arial"/>
        </w:rPr>
        <w:t xml:space="preserve"> </w:t>
      </w:r>
      <w:r w:rsidRPr="00CD59CC">
        <w:rPr>
          <w:rFonts w:ascii="Arial" w:hAnsi="Arial" w:cs="Arial"/>
        </w:rPr>
        <w:t>increasing</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hours</w:t>
      </w:r>
      <w:r w:rsidR="007B7640" w:rsidRPr="00CD59CC">
        <w:rPr>
          <w:rFonts w:ascii="Arial" w:hAnsi="Arial" w:cs="Arial"/>
        </w:rPr>
        <w:t xml:space="preserve"> </w:t>
      </w:r>
      <w:r w:rsidRPr="00CD59CC">
        <w:rPr>
          <w:rFonts w:ascii="Arial" w:hAnsi="Arial" w:cs="Arial"/>
        </w:rPr>
        <w:t>per</w:t>
      </w:r>
      <w:r w:rsidR="007B7640" w:rsidRPr="00CD59CC">
        <w:rPr>
          <w:rFonts w:ascii="Arial" w:hAnsi="Arial" w:cs="Arial"/>
        </w:rPr>
        <w:t xml:space="preserve"> </w:t>
      </w:r>
      <w:r w:rsidRPr="00CD59CC">
        <w:rPr>
          <w:rFonts w:ascii="Arial" w:hAnsi="Arial" w:cs="Arial"/>
        </w:rPr>
        <w:t>day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subscribed</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sign</w:t>
      </w:r>
      <w:r w:rsidR="007B7640" w:rsidRPr="00CD59CC">
        <w:rPr>
          <w:rFonts w:ascii="Arial" w:hAnsi="Arial" w:cs="Arial"/>
        </w:rPr>
        <w:t xml:space="preserve"> </w:t>
      </w:r>
      <w:r w:rsidRPr="00CD59CC">
        <w:rPr>
          <w:rFonts w:ascii="Arial" w:hAnsi="Arial" w:cs="Arial"/>
        </w:rPr>
        <w:t>interpreted</w:t>
      </w:r>
      <w:r w:rsidR="007B7640" w:rsidRPr="00CD59CC">
        <w:rPr>
          <w:rFonts w:ascii="Arial" w:hAnsi="Arial" w:cs="Arial"/>
        </w:rPr>
        <w:t xml:space="preserve"> </w:t>
      </w:r>
      <w:r w:rsidRPr="00CD59CC">
        <w:rPr>
          <w:rFonts w:ascii="Arial" w:hAnsi="Arial" w:cs="Arial"/>
        </w:rPr>
        <w:t>programming</w:t>
      </w:r>
      <w:r w:rsidR="007B7640" w:rsidRPr="00CD59CC">
        <w:rPr>
          <w:rFonts w:ascii="Arial" w:hAnsi="Arial" w:cs="Arial"/>
        </w:rPr>
        <w:t xml:space="preserve"> </w:t>
      </w:r>
      <w:r w:rsidRPr="00CD59CC">
        <w:rPr>
          <w:rFonts w:ascii="Arial" w:hAnsi="Arial" w:cs="Arial"/>
        </w:rPr>
        <w:t>(feature</w:t>
      </w:r>
      <w:r w:rsidR="007B7640" w:rsidRPr="00CD59CC">
        <w:rPr>
          <w:rFonts w:ascii="Arial" w:hAnsi="Arial" w:cs="Arial"/>
        </w:rPr>
        <w:t xml:space="preserve"> </w:t>
      </w:r>
      <w:r w:rsidRPr="00CD59CC">
        <w:rPr>
          <w:rFonts w:ascii="Arial" w:hAnsi="Arial" w:cs="Arial"/>
        </w:rPr>
        <w:t>films</w:t>
      </w:r>
      <w:r w:rsidR="00515690" w:rsidRPr="00CD59CC">
        <w:rPr>
          <w:rFonts w:ascii="Arial" w:hAnsi="Arial" w:cs="Arial"/>
        </w:rPr>
        <w:t>)</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offered,</w:t>
      </w:r>
      <w:r w:rsidR="007B7640" w:rsidRPr="00CD59CC">
        <w:rPr>
          <w:rFonts w:ascii="Arial" w:hAnsi="Arial" w:cs="Arial"/>
        </w:rPr>
        <w:t xml:space="preserve"> </w:t>
      </w:r>
      <w:r w:rsidRPr="00CD59CC">
        <w:rPr>
          <w:rFonts w:ascii="Arial" w:hAnsi="Arial" w:cs="Arial"/>
        </w:rPr>
        <w:t>commencing</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2012</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6</w:t>
      </w:r>
      <w:r w:rsidR="007B7640" w:rsidRPr="00CD59CC">
        <w:rPr>
          <w:rFonts w:ascii="Arial" w:hAnsi="Arial" w:cs="Arial"/>
        </w:rPr>
        <w:t xml:space="preserve"> </w:t>
      </w:r>
      <w:r w:rsidRPr="00CD59CC">
        <w:rPr>
          <w:rFonts w:ascii="Arial" w:hAnsi="Arial" w:cs="Arial"/>
        </w:rPr>
        <w:t>hours</w:t>
      </w:r>
      <w:r w:rsidR="007B7640" w:rsidRPr="00CD59CC">
        <w:rPr>
          <w:rFonts w:ascii="Arial" w:hAnsi="Arial" w:cs="Arial"/>
        </w:rPr>
        <w:t xml:space="preserve"> </w:t>
      </w:r>
      <w:r w:rsidRPr="00CD59CC">
        <w:rPr>
          <w:rFonts w:ascii="Arial" w:hAnsi="Arial" w:cs="Arial"/>
        </w:rPr>
        <w:t>per</w:t>
      </w:r>
      <w:r w:rsidR="007B7640" w:rsidRPr="00CD59CC">
        <w:rPr>
          <w:rFonts w:ascii="Arial" w:hAnsi="Arial" w:cs="Arial"/>
        </w:rPr>
        <w:t xml:space="preserve"> </w:t>
      </w:r>
      <w:r w:rsidRPr="00CD59CC">
        <w:rPr>
          <w:rFonts w:ascii="Arial" w:hAnsi="Arial" w:cs="Arial"/>
        </w:rPr>
        <w:t>day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reaching</w:t>
      </w:r>
      <w:r w:rsidR="007B7640" w:rsidRPr="00CD59CC">
        <w:rPr>
          <w:rFonts w:ascii="Arial" w:hAnsi="Arial" w:cs="Arial"/>
        </w:rPr>
        <w:t xml:space="preserve"> </w:t>
      </w:r>
      <w:r w:rsidRPr="00CD59CC">
        <w:rPr>
          <w:rFonts w:ascii="Arial" w:hAnsi="Arial" w:cs="Arial"/>
        </w:rPr>
        <w:t>10</w:t>
      </w:r>
      <w:r w:rsidR="007B7640" w:rsidRPr="00CD59CC">
        <w:rPr>
          <w:rFonts w:ascii="Arial" w:hAnsi="Arial" w:cs="Arial"/>
        </w:rPr>
        <w:t xml:space="preserve"> </w:t>
      </w:r>
      <w:r w:rsidRPr="00CD59CC">
        <w:rPr>
          <w:rFonts w:ascii="Arial" w:hAnsi="Arial" w:cs="Arial"/>
        </w:rPr>
        <w:t>hours</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2014.</w:t>
      </w:r>
      <w:r w:rsidR="007B7640" w:rsidRPr="00CD59CC">
        <w:rPr>
          <w:rFonts w:ascii="Arial" w:hAnsi="Arial" w:cs="Arial"/>
        </w:rPr>
        <w:t xml:space="preserve"> </w:t>
      </w:r>
      <w:r w:rsidR="00515690" w:rsidRPr="00CD59CC">
        <w:rPr>
          <w:rFonts w:ascii="Arial" w:hAnsi="Arial" w:cs="Arial"/>
        </w:rPr>
        <w:t>The</w:t>
      </w:r>
      <w:r w:rsidR="007B7640" w:rsidRPr="00CD59CC">
        <w:rPr>
          <w:rFonts w:ascii="Arial" w:hAnsi="Arial" w:cs="Arial"/>
        </w:rPr>
        <w:t xml:space="preserve"> </w:t>
      </w:r>
      <w:r w:rsidR="00515690" w:rsidRPr="00CD59CC">
        <w:rPr>
          <w:rFonts w:ascii="Arial" w:hAnsi="Arial" w:cs="Arial"/>
        </w:rPr>
        <w:t>law</w:t>
      </w:r>
      <w:r w:rsidR="007B7640" w:rsidRPr="00CD59CC">
        <w:rPr>
          <w:rFonts w:ascii="Arial" w:hAnsi="Arial" w:cs="Arial"/>
        </w:rPr>
        <w:t xml:space="preserve"> </w:t>
      </w:r>
      <w:r w:rsidR="00515690" w:rsidRPr="00CD59CC">
        <w:rPr>
          <w:rFonts w:ascii="Arial" w:hAnsi="Arial" w:cs="Arial"/>
        </w:rPr>
        <w:t>stipulates</w:t>
      </w:r>
      <w:r w:rsidR="007B7640" w:rsidRPr="00CD59CC">
        <w:rPr>
          <w:rFonts w:ascii="Arial" w:hAnsi="Arial" w:cs="Arial"/>
        </w:rPr>
        <w:t xml:space="preserve"> </w:t>
      </w:r>
      <w:r w:rsidR="00515690" w:rsidRPr="00CD59CC">
        <w:rPr>
          <w:rFonts w:ascii="Arial" w:hAnsi="Arial" w:cs="Arial"/>
        </w:rPr>
        <w:t>that</w:t>
      </w:r>
      <w:r w:rsidR="007B7640" w:rsidRPr="00CD59CC">
        <w:rPr>
          <w:rFonts w:ascii="Arial" w:hAnsi="Arial" w:cs="Arial"/>
        </w:rPr>
        <w:t xml:space="preserve"> </w:t>
      </w:r>
      <w:r w:rsidR="00515690" w:rsidRPr="00CD59CC">
        <w:rPr>
          <w:rFonts w:ascii="Arial" w:hAnsi="Arial" w:cs="Arial"/>
        </w:rPr>
        <w:t>as</w:t>
      </w:r>
      <w:r w:rsidR="007B7640" w:rsidRPr="00CD59CC">
        <w:rPr>
          <w:rFonts w:ascii="Arial" w:hAnsi="Arial" w:cs="Arial"/>
        </w:rPr>
        <w:t xml:space="preserve"> </w:t>
      </w:r>
      <w:r w:rsidR="00515690" w:rsidRPr="00CD59CC">
        <w:rPr>
          <w:rFonts w:ascii="Arial" w:hAnsi="Arial" w:cs="Arial"/>
        </w:rPr>
        <w:t>of</w:t>
      </w:r>
      <w:r w:rsidR="007B7640" w:rsidRPr="00CD59CC">
        <w:rPr>
          <w:rFonts w:ascii="Arial" w:hAnsi="Arial" w:cs="Arial"/>
        </w:rPr>
        <w:t xml:space="preserve"> </w:t>
      </w:r>
      <w:r w:rsidR="00515690" w:rsidRPr="00CD59CC">
        <w:rPr>
          <w:rFonts w:ascii="Arial" w:hAnsi="Arial" w:cs="Arial"/>
        </w:rPr>
        <w:t>2015</w:t>
      </w:r>
      <w:r w:rsidR="007B7640" w:rsidRPr="00CD59CC">
        <w:rPr>
          <w:rFonts w:ascii="Arial" w:hAnsi="Arial" w:cs="Arial"/>
        </w:rPr>
        <w:t xml:space="preserve"> </w:t>
      </w:r>
      <w:r w:rsidR="00515690" w:rsidRPr="00CD59CC">
        <w:rPr>
          <w:rFonts w:ascii="Arial" w:hAnsi="Arial" w:cs="Arial"/>
        </w:rPr>
        <w:t>all</w:t>
      </w:r>
      <w:r w:rsidR="007B7640" w:rsidRPr="00CD59CC">
        <w:rPr>
          <w:rFonts w:ascii="Arial" w:hAnsi="Arial" w:cs="Arial"/>
        </w:rPr>
        <w:t xml:space="preserve"> </w:t>
      </w:r>
      <w:r w:rsidR="00515690" w:rsidRPr="00CD59CC">
        <w:rPr>
          <w:rFonts w:ascii="Arial" w:hAnsi="Arial" w:cs="Arial"/>
        </w:rPr>
        <w:t>programming</w:t>
      </w:r>
      <w:r w:rsidR="007B7640" w:rsidRPr="00CD59CC">
        <w:rPr>
          <w:rFonts w:ascii="Arial" w:hAnsi="Arial" w:cs="Arial"/>
        </w:rPr>
        <w:t xml:space="preserve"> </w:t>
      </w:r>
      <w:r w:rsidRPr="00CD59CC">
        <w:rPr>
          <w:rFonts w:ascii="Arial" w:hAnsi="Arial" w:cs="Arial"/>
        </w:rPr>
        <w:t>broadcast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service</w:t>
      </w:r>
      <w:r w:rsidR="007B7640" w:rsidRPr="00CD59CC">
        <w:rPr>
          <w:rFonts w:ascii="Arial" w:hAnsi="Arial" w:cs="Arial"/>
        </w:rPr>
        <w:t xml:space="preserve"> </w:t>
      </w:r>
      <w:r w:rsidRPr="00CD59CC">
        <w:rPr>
          <w:rFonts w:ascii="Arial" w:hAnsi="Arial" w:cs="Arial"/>
        </w:rPr>
        <w:t>providers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largest</w:t>
      </w:r>
      <w:r w:rsidR="007B7640" w:rsidRPr="00CD59CC">
        <w:rPr>
          <w:rFonts w:ascii="Arial" w:hAnsi="Arial" w:cs="Arial"/>
        </w:rPr>
        <w:t xml:space="preserve"> </w:t>
      </w:r>
      <w:r w:rsidRPr="00CD59CC">
        <w:rPr>
          <w:rFonts w:ascii="Arial" w:hAnsi="Arial" w:cs="Arial"/>
        </w:rPr>
        <w:t>commercial</w:t>
      </w:r>
      <w:r w:rsidR="007B7640" w:rsidRPr="00CD59CC">
        <w:rPr>
          <w:rFonts w:ascii="Arial" w:hAnsi="Arial" w:cs="Arial"/>
        </w:rPr>
        <w:t xml:space="preserve"> </w:t>
      </w:r>
      <w:r w:rsidRPr="00CD59CC">
        <w:rPr>
          <w:rFonts w:ascii="Arial" w:hAnsi="Arial" w:cs="Arial"/>
        </w:rPr>
        <w:t>providers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00515690" w:rsidRPr="00CD59CC">
        <w:rPr>
          <w:rFonts w:ascii="Arial" w:hAnsi="Arial" w:cs="Arial"/>
        </w:rPr>
        <w:t>provide</w:t>
      </w:r>
      <w:r w:rsidR="007B7640" w:rsidRPr="00CD59CC">
        <w:rPr>
          <w:rFonts w:ascii="Arial" w:hAnsi="Arial" w:cs="Arial"/>
        </w:rPr>
        <w:t xml:space="preserve"> </w:t>
      </w:r>
      <w:r w:rsidR="00515690" w:rsidRPr="00CD59CC">
        <w:rPr>
          <w:rFonts w:ascii="Arial" w:hAnsi="Arial" w:cs="Arial"/>
        </w:rPr>
        <w:t>closed-captioning</w:t>
      </w:r>
      <w:r w:rsidR="007B7640" w:rsidRPr="00CD59CC">
        <w:rPr>
          <w:rFonts w:ascii="Arial" w:hAnsi="Arial" w:cs="Arial"/>
        </w:rPr>
        <w:t xml:space="preserve"> </w:t>
      </w:r>
      <w:r w:rsidR="00515690" w:rsidRPr="00CD59CC">
        <w:rPr>
          <w:rFonts w:ascii="Arial" w:hAnsi="Arial" w:cs="Arial"/>
        </w:rPr>
        <w:t>or</w:t>
      </w:r>
      <w:r w:rsidR="007B7640" w:rsidRPr="00CD59CC">
        <w:rPr>
          <w:rFonts w:ascii="Arial" w:hAnsi="Arial" w:cs="Arial"/>
        </w:rPr>
        <w:t xml:space="preserve"> </w:t>
      </w:r>
      <w:r w:rsidR="00515690" w:rsidRPr="00CD59CC">
        <w:rPr>
          <w:rFonts w:ascii="Arial" w:hAnsi="Arial" w:cs="Arial"/>
        </w:rPr>
        <w:t>sign</w:t>
      </w:r>
      <w:r w:rsidR="007B7640" w:rsidRPr="00CD59CC">
        <w:rPr>
          <w:rFonts w:ascii="Arial" w:hAnsi="Arial" w:cs="Arial"/>
        </w:rPr>
        <w:t xml:space="preserve"> </w:t>
      </w:r>
      <w:r w:rsidR="00515690" w:rsidRPr="00CD59CC">
        <w:rPr>
          <w:rFonts w:ascii="Arial" w:hAnsi="Arial" w:cs="Arial"/>
        </w:rPr>
        <w:t>language</w:t>
      </w:r>
      <w:r w:rsidR="007B7640" w:rsidRPr="00CD59CC">
        <w:rPr>
          <w:rFonts w:ascii="Arial" w:hAnsi="Arial" w:cs="Arial"/>
        </w:rPr>
        <w:t xml:space="preserve"> </w:t>
      </w:r>
      <w:r w:rsidR="00515690" w:rsidRPr="00CD59CC">
        <w:rPr>
          <w:rFonts w:ascii="Arial" w:hAnsi="Arial" w:cs="Arial"/>
        </w:rPr>
        <w:t>interpreting.</w:t>
      </w:r>
      <w:r w:rsidR="007B7640" w:rsidRPr="00CD59CC">
        <w:rPr>
          <w:rFonts w:ascii="Arial" w:hAnsi="Arial" w:cs="Arial"/>
        </w:rPr>
        <w:t xml:space="preserve"> </w:t>
      </w:r>
    </w:p>
    <w:p w14:paraId="7F1AF956" w14:textId="77777777" w:rsidR="00BF2F38" w:rsidRPr="00CD59CC" w:rsidRDefault="00BF2F38" w:rsidP="00CD59CC">
      <w:pPr>
        <w:rPr>
          <w:rFonts w:ascii="Arial" w:hAnsi="Arial" w:cs="Arial"/>
        </w:rPr>
      </w:pPr>
    </w:p>
    <w:p w14:paraId="48DC4809" w14:textId="77777777" w:rsidR="00BF2F38" w:rsidRPr="00CD59CC" w:rsidRDefault="00BF2F38" w:rsidP="00CD59CC">
      <w:pPr>
        <w:rPr>
          <w:rFonts w:ascii="Arial" w:hAnsi="Arial" w:cs="Arial"/>
        </w:rPr>
      </w:pPr>
      <w:r w:rsidRPr="00CD59CC">
        <w:rPr>
          <w:rFonts w:ascii="Arial" w:hAnsi="Arial" w:cs="Arial"/>
        </w:rPr>
        <w:t>Case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shows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spite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gradually</w:t>
      </w:r>
      <w:r w:rsidR="007B7640" w:rsidRPr="00CD59CC">
        <w:rPr>
          <w:rFonts w:ascii="Arial" w:hAnsi="Arial" w:cs="Arial"/>
        </w:rPr>
        <w:t xml:space="preserve"> </w:t>
      </w:r>
      <w:r w:rsidRPr="00CD59CC">
        <w:rPr>
          <w:rFonts w:ascii="Arial" w:hAnsi="Arial" w:cs="Arial"/>
        </w:rPr>
        <w:t>improving</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framework</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ratification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UN</w:t>
      </w:r>
      <w:r w:rsidR="007B7640" w:rsidRPr="00CD59CC">
        <w:rPr>
          <w:rFonts w:ascii="Arial" w:hAnsi="Arial" w:cs="Arial"/>
        </w:rPr>
        <w:t xml:space="preserve"> </w:t>
      </w:r>
      <w:r w:rsidRPr="00CD59CC">
        <w:rPr>
          <w:rFonts w:ascii="Arial" w:hAnsi="Arial" w:cs="Arial"/>
        </w:rPr>
        <w:t>Convention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00D20DFB" w:rsidRPr="00CD59CC">
        <w:rPr>
          <w:rFonts w:ascii="Arial" w:hAnsi="Arial" w:cs="Arial"/>
        </w:rPr>
        <w:t>(CRPD)</w:t>
      </w:r>
      <w:r w:rsidRPr="00CD59CC">
        <w:rPr>
          <w:rFonts w:ascii="Arial" w:hAnsi="Arial" w:cs="Arial"/>
        </w:rPr>
        <w: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practice</w:t>
      </w:r>
      <w:r w:rsidR="007B7640" w:rsidRPr="00CD59CC">
        <w:rPr>
          <w:rFonts w:ascii="Arial" w:hAnsi="Arial" w:cs="Arial"/>
        </w:rPr>
        <w:t xml:space="preserve"> </w:t>
      </w:r>
      <w:r w:rsidRPr="00CD59CC">
        <w:rPr>
          <w:rFonts w:ascii="Arial" w:hAnsi="Arial" w:cs="Arial"/>
        </w:rPr>
        <w:t>still</w:t>
      </w:r>
      <w:r w:rsidR="007B7640" w:rsidRPr="00CD59CC">
        <w:rPr>
          <w:rFonts w:ascii="Arial" w:hAnsi="Arial" w:cs="Arial"/>
        </w:rPr>
        <w:t xml:space="preserve"> </w:t>
      </w:r>
      <w:r w:rsidRPr="00CD59CC">
        <w:rPr>
          <w:rFonts w:ascii="Arial" w:hAnsi="Arial" w:cs="Arial"/>
        </w:rPr>
        <w:t>leaves</w:t>
      </w:r>
      <w:r w:rsidR="007B7640" w:rsidRPr="00CD59CC">
        <w:rPr>
          <w:rFonts w:ascii="Arial" w:hAnsi="Arial" w:cs="Arial"/>
        </w:rPr>
        <w:t xml:space="preserve"> </w:t>
      </w:r>
      <w:r w:rsidRPr="00CD59CC">
        <w:rPr>
          <w:rFonts w:ascii="Arial" w:hAnsi="Arial" w:cs="Arial"/>
        </w:rPr>
        <w:t>much</w:t>
      </w:r>
      <w:r w:rsidR="007B7640" w:rsidRPr="00CD59CC">
        <w:rPr>
          <w:rFonts w:ascii="Arial" w:hAnsi="Arial" w:cs="Arial"/>
        </w:rPr>
        <w:t xml:space="preserve"> </w:t>
      </w:r>
      <w:r w:rsidRPr="00CD59CC">
        <w:rPr>
          <w:rFonts w:ascii="Arial" w:hAnsi="Arial" w:cs="Arial"/>
        </w:rPr>
        <w:t>room</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improvement.</w:t>
      </w:r>
    </w:p>
    <w:p w14:paraId="45C45B69" w14:textId="77777777" w:rsidR="00BF2F38" w:rsidRPr="00CD59CC" w:rsidRDefault="00BF2F38" w:rsidP="00CD59CC">
      <w:pPr>
        <w:rPr>
          <w:rFonts w:ascii="Arial" w:hAnsi="Arial" w:cs="Arial"/>
        </w:rPr>
      </w:pPr>
    </w:p>
    <w:p w14:paraId="18F39254" w14:textId="77777777" w:rsidR="00D20DFB" w:rsidRPr="00CD59CC" w:rsidRDefault="00D20DFB"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CRPD</w:t>
      </w:r>
      <w:r w:rsidR="007B7640" w:rsidRPr="00CD59CC">
        <w:rPr>
          <w:rFonts w:ascii="Arial" w:hAnsi="Arial" w:cs="Arial"/>
        </w:rPr>
        <w:t xml:space="preserve"> </w:t>
      </w:r>
      <w:r w:rsidRPr="00CD59CC">
        <w:rPr>
          <w:rFonts w:ascii="Arial" w:hAnsi="Arial" w:cs="Arial"/>
        </w:rPr>
        <w:t>Committee’s</w:t>
      </w:r>
      <w:r w:rsidR="007B7640" w:rsidRPr="00CD59CC">
        <w:rPr>
          <w:rFonts w:ascii="Arial" w:hAnsi="Arial" w:cs="Arial"/>
        </w:rPr>
        <w:t xml:space="preserve"> </w:t>
      </w:r>
      <w:r w:rsidRPr="00CD59CC">
        <w:rPr>
          <w:rFonts w:ascii="Arial" w:hAnsi="Arial" w:cs="Arial"/>
        </w:rPr>
        <w:t>jurisprudence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Nyusti</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Takács</w:t>
      </w:r>
      <w:r w:rsidR="007B7640" w:rsidRPr="00CD59CC">
        <w:rPr>
          <w:rFonts w:ascii="Arial" w:hAnsi="Arial" w:cs="Arial"/>
        </w:rPr>
        <w:t xml:space="preserve"> </w:t>
      </w:r>
      <w:r w:rsidRPr="00CD59CC">
        <w:rPr>
          <w:rFonts w:ascii="Arial" w:hAnsi="Arial" w:cs="Arial"/>
        </w:rPr>
        <w:t>v.</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summarised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follows.</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blind</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concluded</w:t>
      </w:r>
      <w:r w:rsidR="007B7640" w:rsidRPr="00CD59CC">
        <w:rPr>
          <w:rFonts w:ascii="Arial" w:hAnsi="Arial" w:cs="Arial"/>
        </w:rPr>
        <w:t xml:space="preserve"> </w:t>
      </w:r>
      <w:r w:rsidRPr="00CD59CC">
        <w:rPr>
          <w:rFonts w:ascii="Arial" w:hAnsi="Arial" w:cs="Arial"/>
        </w:rPr>
        <w:t>contracts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current</w:t>
      </w:r>
      <w:r w:rsidR="007B7640" w:rsidRPr="00CD59CC">
        <w:rPr>
          <w:rFonts w:ascii="Arial" w:hAnsi="Arial" w:cs="Arial"/>
        </w:rPr>
        <w:t xml:space="preserve"> </w:t>
      </w:r>
      <w:r w:rsidRPr="00CD59CC">
        <w:rPr>
          <w:rFonts w:ascii="Arial" w:hAnsi="Arial" w:cs="Arial"/>
        </w:rPr>
        <w:t>account</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bank,</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OTP</w:t>
      </w:r>
      <w:r w:rsidR="007B7640" w:rsidRPr="00CD59CC">
        <w:rPr>
          <w:rFonts w:ascii="Arial" w:hAnsi="Arial" w:cs="Arial"/>
        </w:rPr>
        <w:t xml:space="preserve"> </w:t>
      </w:r>
      <w:r w:rsidRPr="00CD59CC">
        <w:rPr>
          <w:rFonts w:ascii="Arial" w:hAnsi="Arial" w:cs="Arial"/>
        </w:rPr>
        <w:t>Bank</w:t>
      </w:r>
      <w:r w:rsidR="007B7640" w:rsidRPr="00CD59CC">
        <w:rPr>
          <w:rFonts w:ascii="Arial" w:hAnsi="Arial" w:cs="Arial"/>
        </w:rPr>
        <w:t xml:space="preserve"> </w:t>
      </w:r>
      <w:r w:rsidRPr="00CD59CC">
        <w:rPr>
          <w:rFonts w:ascii="Arial" w:hAnsi="Arial" w:cs="Arial"/>
        </w:rPr>
        <w:t>Zrt.,</w:t>
      </w:r>
      <w:r w:rsidR="007B7640" w:rsidRPr="00CD59CC">
        <w:rPr>
          <w:rFonts w:ascii="Arial" w:hAnsi="Arial" w:cs="Arial"/>
        </w:rPr>
        <w:t xml:space="preserve"> </w:t>
      </w: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entitled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bank</w:t>
      </w:r>
      <w:r w:rsidR="007B7640" w:rsidRPr="00CD59CC">
        <w:rPr>
          <w:rFonts w:ascii="Arial" w:hAnsi="Arial" w:cs="Arial"/>
        </w:rPr>
        <w:t xml:space="preserve"> </w:t>
      </w:r>
      <w:r w:rsidRPr="00CD59CC">
        <w:rPr>
          <w:rFonts w:ascii="Arial" w:hAnsi="Arial" w:cs="Arial"/>
        </w:rPr>
        <w:t>cards.</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unable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automatic</w:t>
      </w:r>
      <w:r w:rsidR="007B7640" w:rsidRPr="00CD59CC">
        <w:rPr>
          <w:rFonts w:ascii="Arial" w:hAnsi="Arial" w:cs="Arial"/>
        </w:rPr>
        <w:t xml:space="preserve"> </w:t>
      </w:r>
      <w:r w:rsidRPr="00CD59CC">
        <w:rPr>
          <w:rFonts w:ascii="Arial" w:hAnsi="Arial" w:cs="Arial"/>
        </w:rPr>
        <w:t>teller</w:t>
      </w:r>
      <w:r w:rsidR="007B7640" w:rsidRPr="00CD59CC">
        <w:rPr>
          <w:rFonts w:ascii="Arial" w:hAnsi="Arial" w:cs="Arial"/>
        </w:rPr>
        <w:t xml:space="preserve"> </w:t>
      </w:r>
      <w:r w:rsidRPr="00CD59CC">
        <w:rPr>
          <w:rFonts w:ascii="Arial" w:hAnsi="Arial" w:cs="Arial"/>
        </w:rPr>
        <w:t>machines</w:t>
      </w:r>
      <w:r w:rsidR="007B7640" w:rsidRPr="00CD59CC">
        <w:rPr>
          <w:rFonts w:ascii="Arial" w:hAnsi="Arial" w:cs="Arial"/>
        </w:rPr>
        <w:t xml:space="preserve"> </w:t>
      </w:r>
      <w:r w:rsidRPr="00CD59CC">
        <w:rPr>
          <w:rFonts w:ascii="Arial" w:hAnsi="Arial" w:cs="Arial"/>
        </w:rPr>
        <w:t>(ATM)</w:t>
      </w:r>
      <w:r w:rsidR="007B7640" w:rsidRPr="00CD59CC">
        <w:rPr>
          <w:rFonts w:ascii="Arial" w:hAnsi="Arial" w:cs="Arial"/>
        </w:rPr>
        <w:t xml:space="preserve"> </w:t>
      </w:r>
      <w:r w:rsidRPr="00CD59CC">
        <w:rPr>
          <w:rFonts w:ascii="Arial" w:hAnsi="Arial" w:cs="Arial"/>
        </w:rPr>
        <w:t>without</w:t>
      </w:r>
      <w:r w:rsidR="007B7640" w:rsidRPr="00CD59CC">
        <w:rPr>
          <w:rFonts w:ascii="Arial" w:hAnsi="Arial" w:cs="Arial"/>
        </w:rPr>
        <w:t xml:space="preserve"> </w:t>
      </w:r>
      <w:r w:rsidRPr="00CD59CC">
        <w:rPr>
          <w:rFonts w:ascii="Arial" w:hAnsi="Arial" w:cs="Arial"/>
        </w:rPr>
        <w:t>assistance,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ATM</w:t>
      </w:r>
      <w:r w:rsidR="007B7640" w:rsidRPr="00CD59CC">
        <w:rPr>
          <w:rFonts w:ascii="Arial" w:hAnsi="Arial" w:cs="Arial"/>
        </w:rPr>
        <w:t xml:space="preserve"> </w:t>
      </w:r>
      <w:r w:rsidRPr="00CD59CC">
        <w:rPr>
          <w:rFonts w:ascii="Arial" w:hAnsi="Arial" w:cs="Arial"/>
        </w:rPr>
        <w:t>keyboards</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marked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Braille</w:t>
      </w:r>
      <w:r w:rsidR="007B7640" w:rsidRPr="00CD59CC">
        <w:rPr>
          <w:rFonts w:ascii="Arial" w:hAnsi="Arial" w:cs="Arial"/>
        </w:rPr>
        <w:t xml:space="preserve"> </w:t>
      </w:r>
      <w:r w:rsidRPr="00CD59CC">
        <w:rPr>
          <w:rFonts w:ascii="Arial" w:hAnsi="Arial" w:cs="Arial"/>
        </w:rPr>
        <w:t>fonts,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ATM’s</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provide</w:t>
      </w:r>
      <w:r w:rsidR="007B7640" w:rsidRPr="00CD59CC">
        <w:rPr>
          <w:rFonts w:ascii="Arial" w:hAnsi="Arial" w:cs="Arial"/>
        </w:rPr>
        <w:t xml:space="preserve"> </w:t>
      </w:r>
      <w:r w:rsidRPr="00CD59CC">
        <w:rPr>
          <w:rFonts w:ascii="Arial" w:hAnsi="Arial" w:cs="Arial"/>
        </w:rPr>
        <w:t>voice</w:t>
      </w:r>
      <w:r w:rsidR="007B7640" w:rsidRPr="00CD59CC">
        <w:rPr>
          <w:rFonts w:ascii="Arial" w:hAnsi="Arial" w:cs="Arial"/>
        </w:rPr>
        <w:t xml:space="preserve"> </w:t>
      </w:r>
      <w:r w:rsidRPr="00CD59CC">
        <w:rPr>
          <w:rFonts w:ascii="Arial" w:hAnsi="Arial" w:cs="Arial"/>
        </w:rPr>
        <w:t>assistance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bank</w:t>
      </w:r>
      <w:r w:rsidR="007B7640" w:rsidRPr="00CD59CC">
        <w:rPr>
          <w:rFonts w:ascii="Arial" w:hAnsi="Arial" w:cs="Arial"/>
        </w:rPr>
        <w:t xml:space="preserve"> </w:t>
      </w:r>
      <w:r w:rsidRPr="00CD59CC">
        <w:rPr>
          <w:rFonts w:ascii="Arial" w:hAnsi="Arial" w:cs="Arial"/>
        </w:rPr>
        <w:t>card</w:t>
      </w:r>
      <w:r w:rsidR="007B7640" w:rsidRPr="00CD59CC">
        <w:rPr>
          <w:rFonts w:ascii="Arial" w:hAnsi="Arial" w:cs="Arial"/>
        </w:rPr>
        <w:t xml:space="preserve"> </w:t>
      </w:r>
      <w:r w:rsidRPr="00CD59CC">
        <w:rPr>
          <w:rFonts w:ascii="Arial" w:hAnsi="Arial" w:cs="Arial"/>
        </w:rPr>
        <w:t>operations.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blind</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pay</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annual</w:t>
      </w:r>
      <w:r w:rsidR="007B7640" w:rsidRPr="00CD59CC">
        <w:rPr>
          <w:rFonts w:ascii="Arial" w:hAnsi="Arial" w:cs="Arial"/>
        </w:rPr>
        <w:t xml:space="preserve"> </w:t>
      </w:r>
      <w:r w:rsidRPr="00CD59CC">
        <w:rPr>
          <w:rFonts w:ascii="Arial" w:hAnsi="Arial" w:cs="Arial"/>
        </w:rPr>
        <w:t>fee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bank</w:t>
      </w:r>
      <w:r w:rsidR="007B7640" w:rsidRPr="00CD59CC">
        <w:rPr>
          <w:rFonts w:ascii="Arial" w:hAnsi="Arial" w:cs="Arial"/>
        </w:rPr>
        <w:t xml:space="preserve"> </w:t>
      </w:r>
      <w:r w:rsidRPr="00CD59CC">
        <w:rPr>
          <w:rFonts w:ascii="Arial" w:hAnsi="Arial" w:cs="Arial"/>
        </w:rPr>
        <w:t>card</w:t>
      </w:r>
      <w:r w:rsidR="007B7640" w:rsidRPr="00CD59CC">
        <w:rPr>
          <w:rFonts w:ascii="Arial" w:hAnsi="Arial" w:cs="Arial"/>
        </w:rPr>
        <w:t xml:space="preserve"> </w:t>
      </w:r>
      <w:r w:rsidRPr="00CD59CC">
        <w:rPr>
          <w:rFonts w:ascii="Arial" w:hAnsi="Arial" w:cs="Arial"/>
        </w:rPr>
        <w:t>usage</w:t>
      </w:r>
      <w:r w:rsidR="007B7640" w:rsidRPr="00CD59CC">
        <w:rPr>
          <w:rFonts w:ascii="Arial" w:hAnsi="Arial" w:cs="Arial"/>
        </w:rPr>
        <w:t xml:space="preserve"> </w:t>
      </w:r>
      <w:r w:rsidRPr="00CD59CC">
        <w:rPr>
          <w:rFonts w:ascii="Arial" w:hAnsi="Arial" w:cs="Arial"/>
        </w:rPr>
        <w:lastRenderedPageBreak/>
        <w:t>and</w:t>
      </w:r>
      <w:r w:rsidR="007B7640" w:rsidRPr="00CD59CC">
        <w:rPr>
          <w:rFonts w:ascii="Arial" w:hAnsi="Arial" w:cs="Arial"/>
        </w:rPr>
        <w:t xml:space="preserve"> </w:t>
      </w:r>
      <w:r w:rsidRPr="00CD59CC">
        <w:rPr>
          <w:rFonts w:ascii="Arial" w:hAnsi="Arial" w:cs="Arial"/>
        </w:rPr>
        <w:t>transaction</w:t>
      </w:r>
      <w:r w:rsidR="007B7640" w:rsidRPr="00CD59CC">
        <w:rPr>
          <w:rFonts w:ascii="Arial" w:hAnsi="Arial" w:cs="Arial"/>
        </w:rPr>
        <w:t xml:space="preserve"> </w:t>
      </w:r>
      <w:r w:rsidRPr="00CD59CC">
        <w:rPr>
          <w:rFonts w:ascii="Arial" w:hAnsi="Arial" w:cs="Arial"/>
        </w:rPr>
        <w:t>fees</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fees</w:t>
      </w:r>
      <w:r w:rsidR="007B7640" w:rsidRPr="00CD59CC">
        <w:rPr>
          <w:rFonts w:ascii="Arial" w:hAnsi="Arial" w:cs="Arial"/>
        </w:rPr>
        <w:t xml:space="preserve"> </w:t>
      </w:r>
      <w:r w:rsidRPr="00CD59CC">
        <w:rPr>
          <w:rFonts w:ascii="Arial" w:hAnsi="Arial" w:cs="Arial"/>
        </w:rPr>
        <w:t>paid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customers,</w:t>
      </w:r>
      <w:r w:rsidR="007B7640" w:rsidRPr="00CD59CC">
        <w:rPr>
          <w:rFonts w:ascii="Arial" w:hAnsi="Arial" w:cs="Arial"/>
        </w:rPr>
        <w:t xml:space="preserve"> </w:t>
      </w:r>
      <w:r w:rsidRPr="00CD59CC">
        <w:rPr>
          <w:rFonts w:ascii="Arial" w:hAnsi="Arial" w:cs="Arial"/>
        </w:rPr>
        <w:t>regardless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unable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24-hour</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unlike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sighted</w:t>
      </w:r>
      <w:r w:rsidR="007B7640" w:rsidRPr="00CD59CC">
        <w:rPr>
          <w:rFonts w:ascii="Arial" w:hAnsi="Arial" w:cs="Arial"/>
        </w:rPr>
        <w:t xml:space="preserve"> </w:t>
      </w:r>
      <w:r w:rsidRPr="00CD59CC">
        <w:rPr>
          <w:rFonts w:ascii="Arial" w:hAnsi="Arial" w:cs="Arial"/>
        </w:rPr>
        <w:t>customers.</w:t>
      </w:r>
      <w:r w:rsidR="007B7640" w:rsidRPr="00CD59CC">
        <w:rPr>
          <w:rFonts w:ascii="Arial" w:hAnsi="Arial" w:cs="Arial"/>
        </w:rPr>
        <w:t xml:space="preserve"> </w:t>
      </w:r>
    </w:p>
    <w:p w14:paraId="5341696C" w14:textId="77777777" w:rsidR="00D20DFB" w:rsidRPr="00CD59CC" w:rsidRDefault="00D20DFB" w:rsidP="00CD59CC">
      <w:pPr>
        <w:rPr>
          <w:rFonts w:ascii="Arial" w:hAnsi="Arial" w:cs="Arial"/>
        </w:rPr>
      </w:pPr>
    </w:p>
    <w:p w14:paraId="0F7623F6" w14:textId="77777777" w:rsidR="00D20DFB" w:rsidRPr="00CD59CC" w:rsidRDefault="00D20DFB" w:rsidP="00CD59CC">
      <w:pPr>
        <w:rPr>
          <w:rFonts w:ascii="Arial" w:hAnsi="Arial" w:cs="Arial"/>
        </w:rPr>
      </w:pPr>
      <w:r w:rsidRPr="00CD59CC">
        <w:rPr>
          <w:rFonts w:ascii="Arial" w:hAnsi="Arial" w:cs="Arial"/>
        </w:rPr>
        <w:t>They</w:t>
      </w:r>
      <w:r w:rsidR="007B7640" w:rsidRPr="00CD59CC">
        <w:rPr>
          <w:rFonts w:ascii="Arial" w:hAnsi="Arial" w:cs="Arial"/>
        </w:rPr>
        <w:t xml:space="preserve"> </w:t>
      </w:r>
      <w:r w:rsidRPr="00CD59CC">
        <w:rPr>
          <w:rFonts w:ascii="Arial" w:hAnsi="Arial" w:cs="Arial"/>
        </w:rPr>
        <w:t>claimed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received</w:t>
      </w:r>
      <w:r w:rsidR="007B7640" w:rsidRPr="00CD59CC">
        <w:rPr>
          <w:rFonts w:ascii="Arial" w:hAnsi="Arial" w:cs="Arial"/>
        </w:rPr>
        <w:t xml:space="preserve"> </w:t>
      </w:r>
      <w:r w:rsidRPr="00CD59CC">
        <w:rPr>
          <w:rFonts w:ascii="Arial" w:hAnsi="Arial" w:cs="Arial"/>
        </w:rPr>
        <w:t>inferior</w:t>
      </w:r>
      <w:r w:rsidR="007B7640" w:rsidRPr="00CD59CC">
        <w:rPr>
          <w:rFonts w:ascii="Arial" w:hAnsi="Arial" w:cs="Arial"/>
        </w:rPr>
        <w:t xml:space="preserve"> </w:t>
      </w:r>
      <w:r w:rsidRPr="00CD59CC">
        <w:rPr>
          <w:rFonts w:ascii="Arial" w:hAnsi="Arial" w:cs="Arial"/>
        </w:rPr>
        <w:t>quality</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charges,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August</w:t>
      </w:r>
      <w:r w:rsidR="007B7640" w:rsidRPr="00CD59CC">
        <w:rPr>
          <w:rFonts w:ascii="Arial" w:hAnsi="Arial" w:cs="Arial"/>
        </w:rPr>
        <w:t xml:space="preserve"> </w:t>
      </w:r>
      <w:r w:rsidRPr="00CD59CC">
        <w:rPr>
          <w:rFonts w:ascii="Arial" w:hAnsi="Arial" w:cs="Arial"/>
        </w:rPr>
        <w:t>2005,</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brought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action</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Metropolitan</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action,</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asked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recognize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OTP</w:t>
      </w:r>
      <w:r w:rsidR="007B7640" w:rsidRPr="00CD59CC">
        <w:rPr>
          <w:rFonts w:ascii="Arial" w:hAnsi="Arial" w:cs="Arial"/>
        </w:rPr>
        <w:t xml:space="preserve"> </w:t>
      </w:r>
      <w:r w:rsidRPr="00CD59CC">
        <w:rPr>
          <w:rFonts w:ascii="Arial" w:hAnsi="Arial" w:cs="Arial"/>
        </w:rPr>
        <w:t>violated</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oblige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bank</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bring</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infringement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end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retrofitting</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ATMs</w:t>
      </w:r>
      <w:r w:rsidR="007B7640" w:rsidRPr="00CD59CC">
        <w:rPr>
          <w:rFonts w:ascii="Arial" w:hAnsi="Arial" w:cs="Arial"/>
        </w:rPr>
        <w:t xml:space="preserve"> </w:t>
      </w:r>
      <w:r w:rsidRPr="00CD59CC">
        <w:rPr>
          <w:rFonts w:ascii="Arial" w:hAnsi="Arial" w:cs="Arial"/>
        </w:rPr>
        <w:t>operated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OTP</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alternatively</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order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retrofitting</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ATMs</w:t>
      </w:r>
      <w:r w:rsidR="007B7640" w:rsidRPr="00CD59CC">
        <w:rPr>
          <w:rFonts w:ascii="Arial" w:hAnsi="Arial" w:cs="Arial"/>
        </w:rPr>
        <w:t xml:space="preserve"> </w:t>
      </w:r>
      <w:r w:rsidRPr="00CD59CC">
        <w:rPr>
          <w:rFonts w:ascii="Arial" w:hAnsi="Arial" w:cs="Arial"/>
        </w:rPr>
        <w:t>operated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OTP</w:t>
      </w:r>
      <w:r w:rsidR="007B7640" w:rsidRPr="00CD59CC">
        <w:rPr>
          <w:rFonts w:ascii="Arial" w:hAnsi="Arial" w:cs="Arial"/>
        </w:rPr>
        <w:t xml:space="preserve"> </w:t>
      </w:r>
      <w:r w:rsidRPr="00CD59CC">
        <w:rPr>
          <w:rFonts w:ascii="Arial" w:hAnsi="Arial" w:cs="Arial"/>
        </w:rPr>
        <w:t>throughout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balanced</w:t>
      </w:r>
      <w:r w:rsidR="007B7640" w:rsidRPr="00CD59CC">
        <w:rPr>
          <w:rFonts w:ascii="Arial" w:hAnsi="Arial" w:cs="Arial"/>
        </w:rPr>
        <w:t xml:space="preserve"> </w:t>
      </w:r>
      <w:r w:rsidRPr="00CD59CC">
        <w:rPr>
          <w:rFonts w:ascii="Arial" w:hAnsi="Arial" w:cs="Arial"/>
        </w:rPr>
        <w:t>territorial</w:t>
      </w:r>
      <w:r w:rsidR="007B7640" w:rsidRPr="00CD59CC">
        <w:rPr>
          <w:rFonts w:ascii="Arial" w:hAnsi="Arial" w:cs="Arial"/>
        </w:rPr>
        <w:t xml:space="preserve"> </w:t>
      </w:r>
      <w:r w:rsidRPr="00CD59CC">
        <w:rPr>
          <w:rFonts w:ascii="Arial" w:hAnsi="Arial" w:cs="Arial"/>
        </w:rPr>
        <w:t>distribution.</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sought</w:t>
      </w:r>
      <w:r w:rsidR="007B7640" w:rsidRPr="00CD59CC">
        <w:rPr>
          <w:rFonts w:ascii="Arial" w:hAnsi="Arial" w:cs="Arial"/>
        </w:rPr>
        <w:t xml:space="preserve"> </w:t>
      </w:r>
      <w:r w:rsidRPr="00CD59CC">
        <w:rPr>
          <w:rFonts w:ascii="Arial" w:hAnsi="Arial" w:cs="Arial"/>
        </w:rPr>
        <w:t>non-pecuniary</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HUF</w:t>
      </w:r>
      <w:r w:rsidR="007B7640" w:rsidRPr="00CD59CC">
        <w:rPr>
          <w:rFonts w:ascii="Arial" w:hAnsi="Arial" w:cs="Arial"/>
        </w:rPr>
        <w:t xml:space="preserve"> </w:t>
      </w:r>
      <w:r w:rsidRPr="00CD59CC">
        <w:rPr>
          <w:rFonts w:ascii="Arial" w:hAnsi="Arial" w:cs="Arial"/>
        </w:rPr>
        <w:t>300,000</w:t>
      </w:r>
      <w:r w:rsidR="007B7640" w:rsidRPr="00CD59CC">
        <w:rPr>
          <w:rFonts w:ascii="Arial" w:hAnsi="Arial" w:cs="Arial"/>
        </w:rPr>
        <w:t xml:space="preserve"> </w:t>
      </w:r>
      <w:r w:rsidRPr="00CD59CC">
        <w:rPr>
          <w:rFonts w:ascii="Arial" w:hAnsi="Arial" w:cs="Arial"/>
        </w:rPr>
        <w:t>(EUR</w:t>
      </w:r>
      <w:r w:rsidR="007B7640" w:rsidRPr="00CD59CC">
        <w:rPr>
          <w:rFonts w:ascii="Arial" w:hAnsi="Arial" w:cs="Arial"/>
        </w:rPr>
        <w:t xml:space="preserve"> </w:t>
      </w:r>
      <w:r w:rsidRPr="00CD59CC">
        <w:rPr>
          <w:rFonts w:ascii="Arial" w:hAnsi="Arial" w:cs="Arial"/>
        </w:rPr>
        <w:t>1000).</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Metropolitan</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found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favour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ordered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OTP</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retrofit</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120</w:t>
      </w:r>
      <w:r w:rsidR="007B7640" w:rsidRPr="00CD59CC">
        <w:rPr>
          <w:rFonts w:ascii="Arial" w:hAnsi="Arial" w:cs="Arial"/>
        </w:rPr>
        <w:t xml:space="preserve"> </w:t>
      </w:r>
      <w:r w:rsidRPr="00CD59CC">
        <w:rPr>
          <w:rFonts w:ascii="Arial" w:hAnsi="Arial" w:cs="Arial"/>
        </w:rPr>
        <w:t>days</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least</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ATMs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capital</w:t>
      </w:r>
      <w:r w:rsidR="007B7640" w:rsidRPr="00CD59CC">
        <w:rPr>
          <w:rFonts w:ascii="Arial" w:hAnsi="Arial" w:cs="Arial"/>
        </w:rPr>
        <w:t xml:space="preserve"> </w:t>
      </w:r>
      <w:r w:rsidRPr="00CD59CC">
        <w:rPr>
          <w:rFonts w:ascii="Arial" w:hAnsi="Arial" w:cs="Arial"/>
        </w:rPr>
        <w:t>towns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each</w:t>
      </w:r>
      <w:r w:rsidR="007B7640" w:rsidRPr="00CD59CC">
        <w:rPr>
          <w:rFonts w:ascii="Arial" w:hAnsi="Arial" w:cs="Arial"/>
        </w:rPr>
        <w:t xml:space="preserve"> </w:t>
      </w:r>
      <w:r w:rsidRPr="00CD59CC">
        <w:rPr>
          <w:rFonts w:ascii="Arial" w:hAnsi="Arial" w:cs="Arial"/>
        </w:rPr>
        <w:t>county,</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each</w:t>
      </w:r>
      <w:r w:rsidR="007B7640" w:rsidRPr="00CD59CC">
        <w:rPr>
          <w:rFonts w:ascii="Arial" w:hAnsi="Arial" w:cs="Arial"/>
        </w:rPr>
        <w:t xml:space="preserve"> </w:t>
      </w:r>
      <w:r w:rsidRPr="00CD59CC">
        <w:rPr>
          <w:rFonts w:ascii="Arial" w:hAnsi="Arial" w:cs="Arial"/>
        </w:rPr>
        <w:t>district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Budapest,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four</w:t>
      </w:r>
      <w:r w:rsidR="007B7640" w:rsidRPr="00CD59CC">
        <w:rPr>
          <w:rFonts w:ascii="Arial" w:hAnsi="Arial" w:cs="Arial"/>
        </w:rPr>
        <w:t xml:space="preserve"> </w:t>
      </w:r>
      <w:r w:rsidRPr="00CD59CC">
        <w:rPr>
          <w:rFonts w:ascii="Arial" w:hAnsi="Arial" w:cs="Arial"/>
        </w:rPr>
        <w:t>further</w:t>
      </w:r>
      <w:r w:rsidR="007B7640" w:rsidRPr="00CD59CC">
        <w:rPr>
          <w:rFonts w:ascii="Arial" w:hAnsi="Arial" w:cs="Arial"/>
        </w:rPr>
        <w:t xml:space="preserve"> </w:t>
      </w:r>
      <w:r w:rsidRPr="00CD59CC">
        <w:rPr>
          <w:rFonts w:ascii="Arial" w:hAnsi="Arial" w:cs="Arial"/>
        </w:rPr>
        <w:t>ATMs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districts</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F26303" w:rsidRPr="00CD59CC">
        <w:rPr>
          <w:rFonts w:ascii="Arial" w:hAnsi="Arial" w:cs="Arial"/>
        </w:rPr>
        <w:t>complainant</w:t>
      </w:r>
      <w:r w:rsidRPr="00CD59CC">
        <w:rPr>
          <w:rFonts w:ascii="Arial" w:hAnsi="Arial" w:cs="Arial"/>
        </w:rPr>
        <w:t>s</w:t>
      </w:r>
      <w:r w:rsidR="007B7640" w:rsidRPr="00CD59CC">
        <w:rPr>
          <w:rFonts w:ascii="Arial" w:hAnsi="Arial" w:cs="Arial"/>
        </w:rPr>
        <w:t xml:space="preserve"> </w:t>
      </w:r>
      <w:r w:rsidRPr="00CD59CC">
        <w:rPr>
          <w:rFonts w:ascii="Arial" w:hAnsi="Arial" w:cs="Arial"/>
        </w:rPr>
        <w:t>reside.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Metropolitan</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granted</w:t>
      </w:r>
      <w:r w:rsidR="007B7640" w:rsidRPr="00CD59CC">
        <w:rPr>
          <w:rFonts w:ascii="Arial" w:hAnsi="Arial" w:cs="Arial"/>
        </w:rPr>
        <w:t xml:space="preserve"> </w:t>
      </w:r>
      <w:r w:rsidRPr="00CD59CC">
        <w:rPr>
          <w:rFonts w:ascii="Arial" w:hAnsi="Arial" w:cs="Arial"/>
        </w:rPr>
        <w:t>pecuniary</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amount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HUF</w:t>
      </w:r>
      <w:r w:rsidR="007B7640" w:rsidRPr="00CD59CC">
        <w:rPr>
          <w:rFonts w:ascii="Arial" w:hAnsi="Arial" w:cs="Arial"/>
        </w:rPr>
        <w:t xml:space="preserve"> </w:t>
      </w:r>
      <w:r w:rsidRPr="00CD59CC">
        <w:rPr>
          <w:rFonts w:ascii="Arial" w:hAnsi="Arial" w:cs="Arial"/>
        </w:rPr>
        <w:t>200,000</w:t>
      </w:r>
      <w:r w:rsidR="007B7640" w:rsidRPr="00CD59CC">
        <w:rPr>
          <w:rFonts w:ascii="Arial" w:hAnsi="Arial" w:cs="Arial"/>
        </w:rPr>
        <w:t xml:space="preserve"> </w:t>
      </w:r>
      <w:r w:rsidR="00F26303" w:rsidRPr="00CD59CC">
        <w:rPr>
          <w:rFonts w:ascii="Arial" w:hAnsi="Arial" w:cs="Arial"/>
        </w:rPr>
        <w:t>(EUR</w:t>
      </w:r>
      <w:r w:rsidR="007B7640" w:rsidRPr="00CD59CC">
        <w:rPr>
          <w:rFonts w:ascii="Arial" w:hAnsi="Arial" w:cs="Arial"/>
        </w:rPr>
        <w:t xml:space="preserve"> </w:t>
      </w:r>
      <w:r w:rsidR="00F26303" w:rsidRPr="00CD59CC">
        <w:rPr>
          <w:rFonts w:ascii="Arial" w:hAnsi="Arial" w:cs="Arial"/>
        </w:rPr>
        <w:t>670)</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each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establishing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amount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damages,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took</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consideration,</w:t>
      </w:r>
      <w:r w:rsidR="007B7640" w:rsidRPr="00CD59CC">
        <w:rPr>
          <w:rFonts w:ascii="Arial" w:hAnsi="Arial" w:cs="Arial"/>
        </w:rPr>
        <w:t xml:space="preserve"> </w:t>
      </w:r>
      <w:r w:rsidRPr="00CD59CC">
        <w:rPr>
          <w:rFonts w:ascii="Arial" w:hAnsi="Arial" w:cs="Arial"/>
        </w:rPr>
        <w:t>inter</w:t>
      </w:r>
      <w:r w:rsidR="007B7640" w:rsidRPr="00CD59CC">
        <w:rPr>
          <w:rFonts w:ascii="Arial" w:hAnsi="Arial" w:cs="Arial"/>
        </w:rPr>
        <w:t xml:space="preserve"> </w:t>
      </w:r>
      <w:r w:rsidRPr="00CD59CC">
        <w:rPr>
          <w:rFonts w:ascii="Arial" w:hAnsi="Arial" w:cs="Arial"/>
        </w:rPr>
        <w:t>alia,</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OTP</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recently</w:t>
      </w:r>
      <w:r w:rsidR="007B7640" w:rsidRPr="00CD59CC">
        <w:rPr>
          <w:rFonts w:ascii="Arial" w:hAnsi="Arial" w:cs="Arial"/>
        </w:rPr>
        <w:t xml:space="preserve"> </w:t>
      </w:r>
      <w:r w:rsidRPr="00CD59CC">
        <w:rPr>
          <w:rFonts w:ascii="Arial" w:hAnsi="Arial" w:cs="Arial"/>
        </w:rPr>
        <w:t>purchased</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ATMs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could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retrofitted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facilitate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F26303" w:rsidRPr="00CD59CC">
        <w:rPr>
          <w:rFonts w:ascii="Arial" w:hAnsi="Arial" w:cs="Arial"/>
        </w:rPr>
        <w:t>complainant</w:t>
      </w:r>
      <w:r w:rsidRPr="00CD59CC">
        <w:rPr>
          <w:rFonts w:ascii="Arial" w:hAnsi="Arial" w:cs="Arial"/>
        </w:rPr>
        <w:t>s’</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ATMs.</w:t>
      </w:r>
    </w:p>
    <w:p w14:paraId="424E5209" w14:textId="77777777" w:rsidR="00D20DFB" w:rsidRPr="00CD59CC" w:rsidRDefault="00D20DFB" w:rsidP="00CD59CC">
      <w:pPr>
        <w:rPr>
          <w:rFonts w:ascii="Arial" w:hAnsi="Arial" w:cs="Arial"/>
        </w:rPr>
      </w:pPr>
    </w:p>
    <w:p w14:paraId="51ADE98D" w14:textId="77777777" w:rsidR="00D20DFB" w:rsidRPr="00CD59CC" w:rsidRDefault="00D20DFB" w:rsidP="00CD59CC">
      <w:pPr>
        <w:rPr>
          <w:rFonts w:ascii="Arial" w:hAnsi="Arial" w:cs="Arial"/>
        </w:rPr>
      </w:pPr>
      <w:r w:rsidRPr="00CD59CC">
        <w:rPr>
          <w:rFonts w:ascii="Arial" w:hAnsi="Arial" w:cs="Arial"/>
        </w:rPr>
        <w:t>However,</w:t>
      </w:r>
      <w:r w:rsidR="007B7640" w:rsidRPr="00CD59CC">
        <w:rPr>
          <w:rFonts w:ascii="Arial" w:hAnsi="Arial" w:cs="Arial"/>
        </w:rPr>
        <w:t xml:space="preserve"> </w:t>
      </w:r>
      <w:r w:rsidRPr="00CD59CC">
        <w:rPr>
          <w:rFonts w:ascii="Arial" w:hAnsi="Arial" w:cs="Arial"/>
        </w:rPr>
        <w:t>upon</w:t>
      </w:r>
      <w:r w:rsidR="007B7640" w:rsidRPr="00CD59CC">
        <w:rPr>
          <w:rFonts w:ascii="Arial" w:hAnsi="Arial" w:cs="Arial"/>
        </w:rPr>
        <w:t xml:space="preserve"> </w:t>
      </w:r>
      <w:r w:rsidRPr="00CD59CC">
        <w:rPr>
          <w:rFonts w:ascii="Arial" w:hAnsi="Arial" w:cs="Arial"/>
        </w:rPr>
        <w:t>appeal,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Metropolitan</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Appeal</w:t>
      </w:r>
      <w:r w:rsidR="007B7640" w:rsidRPr="00CD59CC">
        <w:rPr>
          <w:rFonts w:ascii="Arial" w:hAnsi="Arial" w:cs="Arial"/>
        </w:rPr>
        <w:t xml:space="preserve"> </w:t>
      </w:r>
      <w:r w:rsidRPr="00CD59CC">
        <w:rPr>
          <w:rFonts w:ascii="Arial" w:hAnsi="Arial" w:cs="Arial"/>
        </w:rPr>
        <w:t>changed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first</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fully</w:t>
      </w:r>
      <w:r w:rsidR="007B7640" w:rsidRPr="00CD59CC">
        <w:rPr>
          <w:rFonts w:ascii="Arial" w:hAnsi="Arial" w:cs="Arial"/>
        </w:rPr>
        <w:t xml:space="preserve"> </w:t>
      </w:r>
      <w:r w:rsidRPr="00CD59CC">
        <w:rPr>
          <w:rFonts w:ascii="Arial" w:hAnsi="Arial" w:cs="Arial"/>
        </w:rPr>
        <w:t>rejected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F26303" w:rsidRPr="00CD59CC">
        <w:rPr>
          <w:rFonts w:ascii="Arial" w:hAnsi="Arial" w:cs="Arial"/>
        </w:rPr>
        <w:t>complainant</w:t>
      </w:r>
      <w:r w:rsidRPr="00CD59CC">
        <w:rPr>
          <w:rFonts w:ascii="Arial" w:hAnsi="Arial" w:cs="Arial"/>
        </w:rPr>
        <w:t>s’</w:t>
      </w:r>
      <w:r w:rsidR="007B7640" w:rsidRPr="00CD59CC">
        <w:rPr>
          <w:rFonts w:ascii="Arial" w:hAnsi="Arial" w:cs="Arial"/>
        </w:rPr>
        <w:t xml:space="preserve"> </w:t>
      </w:r>
      <w:r w:rsidRPr="00CD59CC">
        <w:rPr>
          <w:rFonts w:ascii="Arial" w:hAnsi="Arial" w:cs="Arial"/>
        </w:rPr>
        <w:t>claim.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Metropolitan</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Appeal</w:t>
      </w:r>
      <w:r w:rsidR="007B7640" w:rsidRPr="00CD59CC">
        <w:rPr>
          <w:rFonts w:ascii="Arial" w:hAnsi="Arial" w:cs="Arial"/>
        </w:rPr>
        <w:t xml:space="preserve"> </w:t>
      </w:r>
      <w:r w:rsidRPr="00CD59CC">
        <w:rPr>
          <w:rFonts w:ascii="Arial" w:hAnsi="Arial" w:cs="Arial"/>
        </w:rPr>
        <w:t>held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mere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F26303" w:rsidRPr="00CD59CC">
        <w:rPr>
          <w:rFonts w:ascii="Arial" w:hAnsi="Arial" w:cs="Arial"/>
        </w:rPr>
        <w:t>complainant</w:t>
      </w:r>
      <w:r w:rsidRPr="00CD59CC">
        <w:rPr>
          <w:rFonts w:ascii="Arial" w:hAnsi="Arial" w:cs="Arial"/>
        </w:rPr>
        <w:t>s</w:t>
      </w:r>
      <w:r w:rsidR="007B7640" w:rsidRPr="00CD59CC">
        <w:rPr>
          <w:rFonts w:ascii="Arial" w:hAnsi="Arial" w:cs="Arial"/>
        </w:rPr>
        <w:t xml:space="preserve"> </w:t>
      </w:r>
      <w:r w:rsidRPr="00CD59CC">
        <w:rPr>
          <w:rFonts w:ascii="Arial" w:hAnsi="Arial" w:cs="Arial"/>
        </w:rPr>
        <w:t>needed</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might</w:t>
      </w:r>
      <w:r w:rsidR="007B7640" w:rsidRPr="00CD59CC">
        <w:rPr>
          <w:rFonts w:ascii="Arial" w:hAnsi="Arial" w:cs="Arial"/>
        </w:rPr>
        <w:t xml:space="preserve"> </w:t>
      </w:r>
      <w:r w:rsidRPr="00CD59CC">
        <w:rPr>
          <w:rFonts w:ascii="Arial" w:hAnsi="Arial" w:cs="Arial"/>
        </w:rPr>
        <w:t>need</w:t>
      </w:r>
      <w:r w:rsidR="007B7640" w:rsidRPr="00CD59CC">
        <w:rPr>
          <w:rFonts w:ascii="Arial" w:hAnsi="Arial" w:cs="Arial"/>
        </w:rPr>
        <w:t xml:space="preserve"> </w:t>
      </w:r>
      <w:r w:rsidRPr="00CD59CC">
        <w:rPr>
          <w:rFonts w:ascii="Arial" w:hAnsi="Arial" w:cs="Arial"/>
        </w:rPr>
        <w:t>assistance</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members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society</w:t>
      </w:r>
      <w:r w:rsidR="007B7640" w:rsidRPr="00CD59CC">
        <w:rPr>
          <w:rFonts w:ascii="Arial" w:hAnsi="Arial" w:cs="Arial"/>
        </w:rPr>
        <w:t xml:space="preserve"> </w:t>
      </w:r>
      <w:r w:rsidRPr="00CD59CC">
        <w:rPr>
          <w:rFonts w:ascii="Arial" w:hAnsi="Arial" w:cs="Arial"/>
        </w:rPr>
        <w:t>due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violate</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dignity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considered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humiliation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F26303" w:rsidRPr="00CD59CC">
        <w:rPr>
          <w:rFonts w:ascii="Arial" w:hAnsi="Arial" w:cs="Arial"/>
        </w:rPr>
        <w:t>complainant</w:t>
      </w:r>
      <w:r w:rsidRPr="00CD59CC">
        <w:rPr>
          <w:rFonts w:ascii="Arial" w:hAnsi="Arial" w:cs="Arial"/>
        </w:rPr>
        <w:t>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beings.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further</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OTP</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entitled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freedom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concluding</w:t>
      </w:r>
      <w:r w:rsidR="007B7640" w:rsidRPr="00CD59CC">
        <w:rPr>
          <w:rFonts w:ascii="Arial" w:hAnsi="Arial" w:cs="Arial"/>
        </w:rPr>
        <w:t xml:space="preserve"> </w:t>
      </w:r>
      <w:r w:rsidRPr="00CD59CC">
        <w:rPr>
          <w:rFonts w:ascii="Arial" w:hAnsi="Arial" w:cs="Arial"/>
        </w:rPr>
        <w:t>contracts,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freedom</w:t>
      </w:r>
      <w:r w:rsidR="007B7640" w:rsidRPr="00CD59CC">
        <w:rPr>
          <w:rFonts w:ascii="Arial" w:hAnsi="Arial" w:cs="Arial"/>
        </w:rPr>
        <w:t xml:space="preserve"> </w:t>
      </w:r>
      <w:r w:rsidRPr="00CD59CC">
        <w:rPr>
          <w:rFonts w:ascii="Arial" w:hAnsi="Arial" w:cs="Arial"/>
        </w:rPr>
        <w:t>must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respected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signing</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contract,</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amending</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Thus,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upon</w:t>
      </w:r>
      <w:r w:rsidR="007B7640" w:rsidRPr="00CD59CC">
        <w:rPr>
          <w:rFonts w:ascii="Arial" w:hAnsi="Arial" w:cs="Arial"/>
        </w:rPr>
        <w:t xml:space="preserve"> </w:t>
      </w:r>
      <w:r w:rsidRPr="00CD59CC">
        <w:rPr>
          <w:rFonts w:ascii="Arial" w:hAnsi="Arial" w:cs="Arial"/>
        </w:rPr>
        <w:t>request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party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contract,</w:t>
      </w:r>
      <w:r w:rsidR="007B7640" w:rsidRPr="00CD59CC">
        <w:rPr>
          <w:rFonts w:ascii="Arial" w:hAnsi="Arial" w:cs="Arial"/>
        </w:rPr>
        <w:t xml:space="preserve"> </w:t>
      </w:r>
      <w:r w:rsidRPr="00CD59CC">
        <w:rPr>
          <w:rFonts w:ascii="Arial" w:hAnsi="Arial" w:cs="Arial"/>
        </w:rPr>
        <w:t>intervene</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longstanding</w:t>
      </w:r>
      <w:r w:rsidR="007B7640" w:rsidRPr="00CD59CC">
        <w:rPr>
          <w:rFonts w:ascii="Arial" w:hAnsi="Arial" w:cs="Arial"/>
        </w:rPr>
        <w:t xml:space="preserve"> </w:t>
      </w:r>
      <w:r w:rsidRPr="00CD59CC">
        <w:rPr>
          <w:rFonts w:ascii="Arial" w:hAnsi="Arial" w:cs="Arial"/>
        </w:rPr>
        <w:t>contractual</w:t>
      </w:r>
      <w:r w:rsidR="007B7640" w:rsidRPr="00CD59CC">
        <w:rPr>
          <w:rFonts w:ascii="Arial" w:hAnsi="Arial" w:cs="Arial"/>
        </w:rPr>
        <w:t xml:space="preserve"> </w:t>
      </w:r>
      <w:r w:rsidRPr="00CD59CC">
        <w:rPr>
          <w:rFonts w:ascii="Arial" w:hAnsi="Arial" w:cs="Arial"/>
        </w:rPr>
        <w:t>relationship</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oblige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OTP</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fulfil</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obligation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did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constitute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part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contractual</w:t>
      </w:r>
      <w:r w:rsidR="007B7640" w:rsidRPr="00CD59CC">
        <w:rPr>
          <w:rFonts w:ascii="Arial" w:hAnsi="Arial" w:cs="Arial"/>
        </w:rPr>
        <w:t xml:space="preserve"> </w:t>
      </w:r>
      <w:r w:rsidRPr="00CD59CC">
        <w:rPr>
          <w:rFonts w:ascii="Arial" w:hAnsi="Arial" w:cs="Arial"/>
        </w:rPr>
        <w:t>agreement.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February</w:t>
      </w:r>
      <w:r w:rsidR="007B7640" w:rsidRPr="00CD59CC">
        <w:rPr>
          <w:rFonts w:ascii="Arial" w:hAnsi="Arial" w:cs="Arial"/>
        </w:rPr>
        <w:t xml:space="preserve"> </w:t>
      </w:r>
      <w:r w:rsidRPr="00CD59CC">
        <w:rPr>
          <w:rFonts w:ascii="Arial" w:hAnsi="Arial" w:cs="Arial"/>
        </w:rPr>
        <w:t>2009</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Supreme</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upheld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second</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p>
    <w:p w14:paraId="17E5AE9A" w14:textId="77777777" w:rsidR="00D20DFB" w:rsidRPr="00CD59CC" w:rsidRDefault="00D20DFB" w:rsidP="00CD59CC">
      <w:pPr>
        <w:rPr>
          <w:rFonts w:ascii="Arial" w:hAnsi="Arial" w:cs="Arial"/>
        </w:rPr>
      </w:pPr>
    </w:p>
    <w:p w14:paraId="6167FE65" w14:textId="77777777" w:rsidR="00E74157" w:rsidRPr="00CD59CC" w:rsidRDefault="00D20DFB" w:rsidP="00CD59CC">
      <w:pPr>
        <w:rPr>
          <w:rFonts w:ascii="Arial" w:hAnsi="Arial" w:cs="Arial"/>
        </w:rPr>
      </w:pPr>
      <w:r w:rsidRPr="00CD59CC">
        <w:rPr>
          <w:rFonts w:ascii="Arial" w:hAnsi="Arial" w:cs="Arial"/>
        </w:rPr>
        <w:t>After</w:t>
      </w:r>
      <w:r w:rsidR="007B7640" w:rsidRPr="00CD59CC">
        <w:rPr>
          <w:rFonts w:ascii="Arial" w:hAnsi="Arial" w:cs="Arial"/>
        </w:rPr>
        <w:t xml:space="preserve"> </w:t>
      </w:r>
      <w:r w:rsidRPr="00CD59CC">
        <w:rPr>
          <w:rFonts w:ascii="Arial" w:hAnsi="Arial" w:cs="Arial"/>
        </w:rPr>
        <w:t>exhausting</w:t>
      </w:r>
      <w:r w:rsidR="007B7640" w:rsidRPr="00CD59CC">
        <w:rPr>
          <w:rFonts w:ascii="Arial" w:hAnsi="Arial" w:cs="Arial"/>
        </w:rPr>
        <w:t xml:space="preserve"> </w:t>
      </w:r>
      <w:r w:rsidRPr="00CD59CC">
        <w:rPr>
          <w:rFonts w:ascii="Arial" w:hAnsi="Arial" w:cs="Arial"/>
        </w:rPr>
        <w:t>domestic</w:t>
      </w:r>
      <w:r w:rsidR="007B7640" w:rsidRPr="00CD59CC">
        <w:rPr>
          <w:rFonts w:ascii="Arial" w:hAnsi="Arial" w:cs="Arial"/>
        </w:rPr>
        <w:t xml:space="preserve"> </w:t>
      </w:r>
      <w:r w:rsidRPr="00CD59CC">
        <w:rPr>
          <w:rFonts w:ascii="Arial" w:hAnsi="Arial" w:cs="Arial"/>
        </w:rPr>
        <w:t>remedies,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help</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Helsinki</w:t>
      </w:r>
      <w:r w:rsidR="007B7640" w:rsidRPr="00CD59CC">
        <w:rPr>
          <w:rFonts w:ascii="Arial" w:hAnsi="Arial" w:cs="Arial"/>
        </w:rPr>
        <w:t xml:space="preserve"> </w:t>
      </w:r>
      <w:r w:rsidRPr="00CD59CC">
        <w:rPr>
          <w:rFonts w:ascii="Arial" w:hAnsi="Arial" w:cs="Arial"/>
        </w:rPr>
        <w:t>Committee,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complainants</w:t>
      </w:r>
      <w:r w:rsidR="007B7640" w:rsidRPr="00CD59CC">
        <w:rPr>
          <w:rFonts w:ascii="Arial" w:hAnsi="Arial" w:cs="Arial"/>
        </w:rPr>
        <w:t xml:space="preserve"> </w:t>
      </w:r>
      <w:r w:rsidRPr="00CD59CC">
        <w:rPr>
          <w:rFonts w:ascii="Arial" w:hAnsi="Arial" w:cs="Arial"/>
        </w:rPr>
        <w:t>submitted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complaint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March</w:t>
      </w:r>
      <w:r w:rsidR="007B7640" w:rsidRPr="00CD59CC">
        <w:rPr>
          <w:rFonts w:ascii="Arial" w:hAnsi="Arial" w:cs="Arial"/>
        </w:rPr>
        <w:t xml:space="preserve"> </w:t>
      </w:r>
      <w:r w:rsidRPr="00CD59CC">
        <w:rPr>
          <w:rFonts w:ascii="Arial" w:hAnsi="Arial" w:cs="Arial"/>
        </w:rPr>
        <w:t>2010</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p>
    <w:p w14:paraId="6D974839" w14:textId="77777777" w:rsidR="00D20DFB" w:rsidRPr="00CD59CC" w:rsidRDefault="00D20DFB" w:rsidP="00CD59CC">
      <w:pPr>
        <w:rPr>
          <w:rFonts w:ascii="Arial" w:hAnsi="Arial" w:cs="Arial"/>
        </w:rPr>
      </w:pPr>
      <w:r w:rsidRPr="00CD59CC">
        <w:rPr>
          <w:rFonts w:ascii="Arial" w:hAnsi="Arial" w:cs="Arial"/>
        </w:rPr>
        <w:t>CRPD</w:t>
      </w:r>
      <w:r w:rsidR="007B7640" w:rsidRPr="00CD59CC">
        <w:rPr>
          <w:rFonts w:ascii="Arial" w:hAnsi="Arial" w:cs="Arial"/>
        </w:rPr>
        <w:t xml:space="preserve"> </w:t>
      </w:r>
      <w:r w:rsidR="00E74157" w:rsidRPr="00CD59CC">
        <w:rPr>
          <w:rFonts w:ascii="Arial" w:hAnsi="Arial" w:cs="Arial"/>
        </w:rPr>
        <w:t>Committee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requested</w:t>
      </w:r>
      <w:r w:rsidR="007B7640" w:rsidRPr="00CD59CC">
        <w:rPr>
          <w:rFonts w:ascii="Arial" w:hAnsi="Arial" w:cs="Arial"/>
        </w:rPr>
        <w:t xml:space="preserve"> </w:t>
      </w:r>
      <w:r w:rsidR="00E74157" w:rsidRPr="00CD59CC">
        <w:rPr>
          <w:rFonts w:ascii="Arial" w:hAnsi="Arial" w:cs="Arial"/>
        </w:rPr>
        <w:t>it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establish</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violated</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obligations</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Convention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(hereafter:</w:t>
      </w:r>
      <w:r w:rsidR="007B7640" w:rsidRPr="00CD59CC">
        <w:rPr>
          <w:rFonts w:ascii="Arial" w:hAnsi="Arial" w:cs="Arial"/>
        </w:rPr>
        <w:t xml:space="preserve"> </w:t>
      </w:r>
      <w:r w:rsidRPr="00CD59CC">
        <w:rPr>
          <w:rFonts w:ascii="Arial" w:hAnsi="Arial" w:cs="Arial"/>
        </w:rPr>
        <w:t>Convention).</w:t>
      </w:r>
    </w:p>
    <w:p w14:paraId="5FBAA33F" w14:textId="77777777" w:rsidR="00E74157" w:rsidRPr="00CD59CC" w:rsidRDefault="00E74157" w:rsidP="00CD59CC">
      <w:pPr>
        <w:rPr>
          <w:rFonts w:ascii="Arial" w:hAnsi="Arial" w:cs="Arial"/>
        </w:rPr>
      </w:pPr>
    </w:p>
    <w:p w14:paraId="1615A180" w14:textId="77777777" w:rsidR="009A2EFC" w:rsidRPr="00CD59CC" w:rsidRDefault="00D20DFB"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published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23</w:t>
      </w:r>
      <w:r w:rsidR="007B7640" w:rsidRPr="00CD59CC">
        <w:rPr>
          <w:rFonts w:ascii="Arial" w:hAnsi="Arial" w:cs="Arial"/>
        </w:rPr>
        <w:t xml:space="preserve"> </w:t>
      </w:r>
      <w:r w:rsidRPr="00CD59CC">
        <w:rPr>
          <w:rFonts w:ascii="Arial" w:hAnsi="Arial" w:cs="Arial"/>
        </w:rPr>
        <w:t>April</w:t>
      </w:r>
      <w:r w:rsidR="007B7640" w:rsidRPr="00CD59CC">
        <w:rPr>
          <w:rFonts w:ascii="Arial" w:hAnsi="Arial" w:cs="Arial"/>
        </w:rPr>
        <w:t xml:space="preserve"> </w:t>
      </w:r>
      <w:r w:rsidRPr="00CD59CC">
        <w:rPr>
          <w:rFonts w:ascii="Arial" w:hAnsi="Arial" w:cs="Arial"/>
        </w:rPr>
        <w:t>2013</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CRPD</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failed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fulfil</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obligation</w:t>
      </w:r>
      <w:r w:rsidR="007B7640" w:rsidRPr="00CD59CC">
        <w:rPr>
          <w:rFonts w:ascii="Arial" w:hAnsi="Arial" w:cs="Arial"/>
        </w:rPr>
        <w:t xml:space="preserve"> </w:t>
      </w:r>
      <w:r w:rsidRPr="00CD59CC">
        <w:rPr>
          <w:rFonts w:ascii="Arial" w:hAnsi="Arial" w:cs="Arial"/>
        </w:rPr>
        <w:t>stipulated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9</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Convention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ensuring</w:t>
      </w:r>
      <w:r w:rsidR="007B7640" w:rsidRPr="00CD59CC">
        <w:rPr>
          <w:rFonts w:ascii="Arial" w:hAnsi="Arial" w:cs="Arial"/>
        </w:rPr>
        <w:t xml:space="preserve"> </w:t>
      </w:r>
      <w:r w:rsidRPr="00CD59CC">
        <w:rPr>
          <w:rFonts w:ascii="Arial" w:hAnsi="Arial" w:cs="Arial"/>
        </w:rPr>
        <w:t>accessibility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banking</w:t>
      </w:r>
      <w:r w:rsidR="007B7640" w:rsidRPr="00CD59CC">
        <w:rPr>
          <w:rFonts w:ascii="Arial" w:hAnsi="Arial" w:cs="Arial"/>
        </w:rPr>
        <w:t xml:space="preserve"> </w:t>
      </w:r>
      <w:r w:rsidRPr="00CD59CC">
        <w:rPr>
          <w:rFonts w:ascii="Arial" w:hAnsi="Arial" w:cs="Arial"/>
        </w:rPr>
        <w:t>card</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living</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visual</w:t>
      </w:r>
      <w:r w:rsidR="007B7640" w:rsidRPr="00CD59CC">
        <w:rPr>
          <w:rFonts w:ascii="Arial" w:hAnsi="Arial" w:cs="Arial"/>
        </w:rPr>
        <w:t xml:space="preserve"> </w:t>
      </w:r>
      <w:r w:rsidRPr="00CD59CC">
        <w:rPr>
          <w:rFonts w:ascii="Arial" w:hAnsi="Arial" w:cs="Arial"/>
        </w:rPr>
        <w:t>impairments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others.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CRPD</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numerous</w:t>
      </w:r>
      <w:r w:rsidR="007B7640" w:rsidRPr="00CD59CC">
        <w:rPr>
          <w:rFonts w:ascii="Arial" w:hAnsi="Arial" w:cs="Arial"/>
        </w:rPr>
        <w:t xml:space="preserve"> </w:t>
      </w:r>
      <w:r w:rsidR="000E0CCA" w:rsidRPr="00CD59CC">
        <w:rPr>
          <w:rFonts w:ascii="Arial" w:hAnsi="Arial" w:cs="Arial"/>
        </w:rPr>
        <w:t>r</w:t>
      </w:r>
      <w:r w:rsidRPr="00CD59CC">
        <w:rPr>
          <w:rFonts w:ascii="Arial" w:hAnsi="Arial" w:cs="Arial"/>
        </w:rPr>
        <w:t>ecommendations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including</w:t>
      </w:r>
      <w:r w:rsidR="007B7640" w:rsidRPr="00CD59CC">
        <w:rPr>
          <w:rFonts w:ascii="Arial" w:hAnsi="Arial" w:cs="Arial"/>
        </w:rPr>
        <w:t xml:space="preserve"> </w:t>
      </w:r>
      <w:r w:rsidRPr="00CD59CC">
        <w:rPr>
          <w:rFonts w:ascii="Arial" w:hAnsi="Arial" w:cs="Arial"/>
        </w:rPr>
        <w:t>inter</w:t>
      </w:r>
      <w:r w:rsidR="007B7640" w:rsidRPr="00CD59CC">
        <w:rPr>
          <w:rFonts w:ascii="Arial" w:hAnsi="Arial" w:cs="Arial"/>
        </w:rPr>
        <w:t xml:space="preserve"> </w:t>
      </w:r>
      <w:r w:rsidRPr="00CD59CC">
        <w:rPr>
          <w:rFonts w:ascii="Arial" w:hAnsi="Arial" w:cs="Arial"/>
        </w:rPr>
        <w:t>alia</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(i)</w:t>
      </w:r>
      <w:r w:rsidR="007B7640" w:rsidRPr="00CD59CC">
        <w:rPr>
          <w:rFonts w:ascii="Arial" w:hAnsi="Arial" w:cs="Arial"/>
        </w:rPr>
        <w:t xml:space="preserve"> </w:t>
      </w:r>
      <w:r w:rsidRPr="00CD59CC">
        <w:rPr>
          <w:rFonts w:ascii="Arial" w:hAnsi="Arial" w:cs="Arial"/>
        </w:rPr>
        <w:t>providing</w:t>
      </w:r>
      <w:r w:rsidR="007B7640" w:rsidRPr="00CD59CC">
        <w:rPr>
          <w:rFonts w:ascii="Arial" w:hAnsi="Arial" w:cs="Arial"/>
        </w:rPr>
        <w:t xml:space="preserve"> </w:t>
      </w:r>
      <w:r w:rsidRPr="00CD59CC">
        <w:rPr>
          <w:rFonts w:ascii="Arial" w:hAnsi="Arial" w:cs="Arial"/>
        </w:rPr>
        <w:t>remedy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F26303" w:rsidRPr="00CD59CC">
        <w:rPr>
          <w:rFonts w:ascii="Arial" w:hAnsi="Arial" w:cs="Arial"/>
        </w:rPr>
        <w:t>complainant</w:t>
      </w:r>
      <w:r w:rsidRPr="00CD59CC">
        <w:rPr>
          <w:rFonts w:ascii="Arial" w:hAnsi="Arial" w:cs="Arial"/>
        </w:rPr>
        <w:t>s;</w:t>
      </w:r>
      <w:r w:rsidR="007B7640" w:rsidRPr="00CD59CC">
        <w:rPr>
          <w:rFonts w:ascii="Arial" w:hAnsi="Arial" w:cs="Arial"/>
        </w:rPr>
        <w:t xml:space="preserve"> </w:t>
      </w:r>
      <w:r w:rsidRPr="00CD59CC">
        <w:rPr>
          <w:rFonts w:ascii="Arial" w:hAnsi="Arial" w:cs="Arial"/>
        </w:rPr>
        <w:t>(ii)</w:t>
      </w:r>
      <w:r w:rsidR="007B7640" w:rsidRPr="00CD59CC">
        <w:rPr>
          <w:rFonts w:ascii="Arial" w:hAnsi="Arial" w:cs="Arial"/>
        </w:rPr>
        <w:t xml:space="preserve"> </w:t>
      </w:r>
      <w:r w:rsidRPr="00CD59CC">
        <w:rPr>
          <w:rFonts w:ascii="Arial" w:hAnsi="Arial" w:cs="Arial"/>
        </w:rPr>
        <w:t>establishing</w:t>
      </w:r>
      <w:r w:rsidR="007B7640" w:rsidRPr="00CD59CC">
        <w:rPr>
          <w:rFonts w:ascii="Arial" w:hAnsi="Arial" w:cs="Arial"/>
        </w:rPr>
        <w:t xml:space="preserve"> </w:t>
      </w:r>
      <w:r w:rsidRPr="00CD59CC">
        <w:rPr>
          <w:rFonts w:ascii="Arial" w:hAnsi="Arial" w:cs="Arial"/>
        </w:rPr>
        <w:t>minimum</w:t>
      </w:r>
      <w:r w:rsidR="007B7640" w:rsidRPr="00CD59CC">
        <w:rPr>
          <w:rFonts w:ascii="Arial" w:hAnsi="Arial" w:cs="Arial"/>
        </w:rPr>
        <w:t xml:space="preserve"> </w:t>
      </w:r>
      <w:r w:rsidRPr="00CD59CC">
        <w:rPr>
          <w:rFonts w:ascii="Arial" w:hAnsi="Arial" w:cs="Arial"/>
        </w:rPr>
        <w:t>standards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banking</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(iii)</w:t>
      </w:r>
      <w:r w:rsidR="007B7640" w:rsidRPr="00CD59CC">
        <w:rPr>
          <w:rFonts w:ascii="Arial" w:hAnsi="Arial" w:cs="Arial"/>
        </w:rPr>
        <w:t xml:space="preserve"> </w:t>
      </w:r>
      <w:r w:rsidRPr="00CD59CC">
        <w:rPr>
          <w:rFonts w:ascii="Arial" w:hAnsi="Arial" w:cs="Arial"/>
        </w:rPr>
        <w:lastRenderedPageBreak/>
        <w:t>creating</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legislative</w:t>
      </w:r>
      <w:r w:rsidR="007B7640" w:rsidRPr="00CD59CC">
        <w:rPr>
          <w:rFonts w:ascii="Arial" w:hAnsi="Arial" w:cs="Arial"/>
        </w:rPr>
        <w:t xml:space="preserve"> </w:t>
      </w:r>
      <w:r w:rsidRPr="00CD59CC">
        <w:rPr>
          <w:rFonts w:ascii="Arial" w:hAnsi="Arial" w:cs="Arial"/>
        </w:rPr>
        <w:t>framework</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concrete,</w:t>
      </w:r>
      <w:r w:rsidR="007B7640" w:rsidRPr="00CD59CC">
        <w:rPr>
          <w:rFonts w:ascii="Arial" w:hAnsi="Arial" w:cs="Arial"/>
        </w:rPr>
        <w:t xml:space="preserve"> </w:t>
      </w:r>
      <w:r w:rsidRPr="00CD59CC">
        <w:rPr>
          <w:rFonts w:ascii="Arial" w:hAnsi="Arial" w:cs="Arial"/>
        </w:rPr>
        <w:t>enforceable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time</w:t>
      </w:r>
      <w:r w:rsidR="007B7640" w:rsidRPr="00CD59CC">
        <w:rPr>
          <w:rFonts w:ascii="Arial" w:hAnsi="Arial" w:cs="Arial"/>
        </w:rPr>
        <w:t xml:space="preserve"> </w:t>
      </w:r>
      <w:r w:rsidRPr="00CD59CC">
        <w:rPr>
          <w:rFonts w:ascii="Arial" w:hAnsi="Arial" w:cs="Arial"/>
        </w:rPr>
        <w:t>bound</w:t>
      </w:r>
      <w:r w:rsidR="007B7640" w:rsidRPr="00CD59CC">
        <w:rPr>
          <w:rFonts w:ascii="Arial" w:hAnsi="Arial" w:cs="Arial"/>
        </w:rPr>
        <w:t xml:space="preserve"> </w:t>
      </w:r>
      <w:r w:rsidRPr="00CD59CC">
        <w:rPr>
          <w:rFonts w:ascii="Arial" w:hAnsi="Arial" w:cs="Arial"/>
        </w:rPr>
        <w:t>benchmarks;</w:t>
      </w:r>
      <w:r w:rsidR="007B7640" w:rsidRPr="00CD59CC">
        <w:rPr>
          <w:rFonts w:ascii="Arial" w:hAnsi="Arial" w:cs="Arial"/>
        </w:rPr>
        <w:t xml:space="preserve"> </w:t>
      </w:r>
      <w:r w:rsidRPr="00CD59CC">
        <w:rPr>
          <w:rFonts w:ascii="Arial" w:hAnsi="Arial" w:cs="Arial"/>
        </w:rPr>
        <w:t>(iv)</w:t>
      </w:r>
      <w:r w:rsidR="007B7640" w:rsidRPr="00CD59CC">
        <w:rPr>
          <w:rFonts w:ascii="Arial" w:hAnsi="Arial" w:cs="Arial"/>
        </w:rPr>
        <w:t xml:space="preserve"> </w:t>
      </w:r>
      <w:r w:rsidRPr="00CD59CC">
        <w:rPr>
          <w:rFonts w:ascii="Arial" w:hAnsi="Arial" w:cs="Arial"/>
        </w:rPr>
        <w:t>providing</w:t>
      </w:r>
      <w:r w:rsidR="007B7640" w:rsidRPr="00CD59CC">
        <w:rPr>
          <w:rFonts w:ascii="Arial" w:hAnsi="Arial" w:cs="Arial"/>
        </w:rPr>
        <w:t xml:space="preserve"> </w:t>
      </w:r>
      <w:r w:rsidRPr="00CD59CC">
        <w:rPr>
          <w:rFonts w:ascii="Arial" w:hAnsi="Arial" w:cs="Arial"/>
        </w:rPr>
        <w:t>regular</w:t>
      </w:r>
      <w:r w:rsidR="007B7640" w:rsidRPr="00CD59CC">
        <w:rPr>
          <w:rFonts w:ascii="Arial" w:hAnsi="Arial" w:cs="Arial"/>
        </w:rPr>
        <w:t xml:space="preserve"> </w:t>
      </w:r>
      <w:r w:rsidRPr="00CD59CC">
        <w:rPr>
          <w:rFonts w:ascii="Arial" w:hAnsi="Arial" w:cs="Arial"/>
        </w:rPr>
        <w:t>training</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Convention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judges.</w:t>
      </w:r>
      <w:r w:rsidR="007B7640" w:rsidRPr="00CD59CC">
        <w:rPr>
          <w:rFonts w:ascii="Arial" w:hAnsi="Arial" w:cs="Arial"/>
        </w:rPr>
        <w:t xml:space="preserve"> </w:t>
      </w:r>
    </w:p>
    <w:p w14:paraId="56E15768" w14:textId="77777777" w:rsidR="009A2EFC" w:rsidRPr="00CD59CC" w:rsidRDefault="009A2EFC" w:rsidP="00CD59CC">
      <w:pPr>
        <w:rPr>
          <w:rFonts w:ascii="Arial" w:hAnsi="Arial" w:cs="Arial"/>
        </w:rPr>
      </w:pPr>
    </w:p>
    <w:p w14:paraId="1DE31B8E" w14:textId="77777777" w:rsidR="00515690" w:rsidRPr="00CD59CC" w:rsidRDefault="00F26303" w:rsidP="00CD59CC">
      <w:pPr>
        <w:rPr>
          <w:rFonts w:ascii="Arial" w:hAnsi="Arial" w:cs="Arial"/>
        </w:rPr>
      </w:pPr>
      <w:r w:rsidRPr="00CD59CC">
        <w:rPr>
          <w:rFonts w:ascii="Arial" w:hAnsi="Arial" w:cs="Arial"/>
        </w:rPr>
        <w:t>However,</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date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writing</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report,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offered</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remedy</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782F1C" w:rsidRPr="00CD59CC">
        <w:rPr>
          <w:rFonts w:ascii="Arial" w:hAnsi="Arial" w:cs="Arial"/>
        </w:rPr>
        <w:t>violation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apart</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meeting</w:t>
      </w:r>
      <w:r w:rsidR="007B7640" w:rsidRPr="00CD59CC">
        <w:rPr>
          <w:rFonts w:ascii="Arial" w:hAnsi="Arial" w:cs="Arial"/>
        </w:rPr>
        <w:t xml:space="preserve"> </w:t>
      </w:r>
      <w:r w:rsidRPr="00CD59CC">
        <w:rPr>
          <w:rFonts w:ascii="Arial" w:hAnsi="Arial" w:cs="Arial"/>
        </w:rPr>
        <w:t>between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government</w:t>
      </w:r>
      <w:r w:rsidR="007B7640" w:rsidRPr="00CD59CC">
        <w:rPr>
          <w:rFonts w:ascii="Arial" w:hAnsi="Arial" w:cs="Arial"/>
        </w:rPr>
        <w:t xml:space="preserve"> </w:t>
      </w:r>
      <w:r w:rsidRPr="00CD59CC">
        <w:rPr>
          <w:rFonts w:ascii="Arial" w:hAnsi="Arial" w:cs="Arial"/>
        </w:rPr>
        <w:t>officials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00402D31" w:rsidRPr="00CD59CC">
        <w:rPr>
          <w:rFonts w:ascii="Arial" w:hAnsi="Arial" w:cs="Arial"/>
        </w:rPr>
        <w:t>representatives</w:t>
      </w:r>
      <w:r w:rsidR="007B7640" w:rsidRPr="00CD59CC">
        <w:rPr>
          <w:rFonts w:ascii="Arial" w:hAnsi="Arial" w:cs="Arial"/>
        </w:rPr>
        <w:t xml:space="preserve"> </w:t>
      </w:r>
      <w:r w:rsidR="00402D31" w:rsidRPr="00CD59CC">
        <w:rPr>
          <w:rFonts w:ascii="Arial" w:hAnsi="Arial" w:cs="Arial"/>
        </w:rPr>
        <w:t>of</w:t>
      </w:r>
      <w:r w:rsidR="007B7640" w:rsidRPr="00CD59CC">
        <w:rPr>
          <w:rFonts w:ascii="Arial" w:hAnsi="Arial" w:cs="Arial"/>
        </w:rPr>
        <w:t xml:space="preserve"> </w:t>
      </w:r>
      <w:r w:rsidR="00402D31" w:rsidRPr="00CD59CC">
        <w:rPr>
          <w:rFonts w:ascii="Arial" w:hAnsi="Arial" w:cs="Arial"/>
        </w:rPr>
        <w:t>the</w:t>
      </w:r>
      <w:r w:rsidR="007B7640" w:rsidRPr="00CD59CC">
        <w:rPr>
          <w:rFonts w:ascii="Arial" w:hAnsi="Arial" w:cs="Arial"/>
        </w:rPr>
        <w:t xml:space="preserve"> </w:t>
      </w:r>
      <w:r w:rsidR="00402D31" w:rsidRPr="00CD59CC">
        <w:rPr>
          <w:rFonts w:ascii="Arial" w:hAnsi="Arial" w:cs="Arial"/>
        </w:rPr>
        <w:t>Hungarian</w:t>
      </w:r>
      <w:r w:rsidR="007B7640" w:rsidRPr="00CD59CC">
        <w:rPr>
          <w:rFonts w:ascii="Arial" w:hAnsi="Arial" w:cs="Arial"/>
        </w:rPr>
        <w:t xml:space="preserve"> </w:t>
      </w:r>
      <w:r w:rsidR="00402D31" w:rsidRPr="00CD59CC">
        <w:rPr>
          <w:rFonts w:ascii="Arial" w:hAnsi="Arial" w:cs="Arial"/>
        </w:rPr>
        <w:t>National</w:t>
      </w:r>
      <w:r w:rsidR="007B7640" w:rsidRPr="00CD59CC">
        <w:rPr>
          <w:rFonts w:ascii="Arial" w:hAnsi="Arial" w:cs="Arial"/>
        </w:rPr>
        <w:t xml:space="preserve"> </w:t>
      </w:r>
      <w:r w:rsidR="00402D31" w:rsidRPr="00CD59CC">
        <w:rPr>
          <w:rFonts w:ascii="Arial" w:hAnsi="Arial" w:cs="Arial"/>
        </w:rPr>
        <w:t>Federation</w:t>
      </w:r>
      <w:r w:rsidR="007B7640" w:rsidRPr="00CD59CC">
        <w:rPr>
          <w:rFonts w:ascii="Arial" w:hAnsi="Arial" w:cs="Arial"/>
        </w:rPr>
        <w:t xml:space="preserve"> </w:t>
      </w:r>
      <w:r w:rsidR="00402D31" w:rsidRPr="00CD59CC">
        <w:rPr>
          <w:rFonts w:ascii="Arial" w:hAnsi="Arial" w:cs="Arial"/>
        </w:rPr>
        <w:t>of</w:t>
      </w:r>
      <w:r w:rsidR="007B7640" w:rsidRPr="00CD59CC">
        <w:rPr>
          <w:rFonts w:ascii="Arial" w:hAnsi="Arial" w:cs="Arial"/>
        </w:rPr>
        <w:t xml:space="preserve"> </w:t>
      </w:r>
      <w:r w:rsidR="00402D31" w:rsidRPr="00CD59CC">
        <w:rPr>
          <w:rFonts w:ascii="Arial" w:hAnsi="Arial" w:cs="Arial"/>
        </w:rPr>
        <w:t>Blind</w:t>
      </w:r>
      <w:r w:rsidR="007B7640" w:rsidRPr="00CD59CC">
        <w:rPr>
          <w:rFonts w:ascii="Arial" w:hAnsi="Arial" w:cs="Arial"/>
        </w:rPr>
        <w:t xml:space="preserve"> </w:t>
      </w:r>
      <w:r w:rsidR="00402D31" w:rsidRPr="00CD59CC">
        <w:rPr>
          <w:rFonts w:ascii="Arial" w:hAnsi="Arial" w:cs="Arial"/>
        </w:rPr>
        <w:t>and</w:t>
      </w:r>
      <w:r w:rsidR="007B7640" w:rsidRPr="00CD59CC">
        <w:rPr>
          <w:rFonts w:ascii="Arial" w:hAnsi="Arial" w:cs="Arial"/>
        </w:rPr>
        <w:t xml:space="preserve">  </w:t>
      </w:r>
      <w:r w:rsidR="00402D31" w:rsidRPr="00CD59CC">
        <w:rPr>
          <w:rFonts w:ascii="Arial" w:hAnsi="Arial" w:cs="Arial"/>
        </w:rPr>
        <w:t>Visually</w:t>
      </w:r>
      <w:r w:rsidR="007B7640" w:rsidRPr="00CD59CC">
        <w:rPr>
          <w:rFonts w:ascii="Arial" w:hAnsi="Arial" w:cs="Arial"/>
        </w:rPr>
        <w:t xml:space="preserve"> </w:t>
      </w:r>
      <w:r w:rsidR="00402D31" w:rsidRPr="00CD59CC">
        <w:rPr>
          <w:rFonts w:ascii="Arial" w:hAnsi="Arial" w:cs="Arial"/>
        </w:rPr>
        <w:t>Impaired</w:t>
      </w:r>
      <w:r w:rsidR="007B7640" w:rsidRPr="00CD59CC">
        <w:rPr>
          <w:rFonts w:ascii="Arial" w:hAnsi="Arial" w:cs="Arial"/>
        </w:rPr>
        <w:t xml:space="preserve"> </w:t>
      </w:r>
      <w:r w:rsidR="00402D31" w:rsidRPr="00CD59CC">
        <w:rPr>
          <w:rFonts w:ascii="Arial" w:hAnsi="Arial" w:cs="Arial"/>
        </w:rPr>
        <w:t>Persons</w:t>
      </w:r>
      <w:r w:rsidR="007B7640" w:rsidRPr="00CD59CC">
        <w:rPr>
          <w:rFonts w:ascii="Arial" w:hAnsi="Arial" w:cs="Arial"/>
        </w:rPr>
        <w:t xml:space="preserve"> </w:t>
      </w:r>
      <w:r w:rsidR="00402D31" w:rsidRPr="00CD59CC">
        <w:rPr>
          <w:rFonts w:ascii="Arial" w:hAnsi="Arial" w:cs="Arial"/>
        </w:rPr>
        <w:t>on</w:t>
      </w:r>
      <w:r w:rsidR="007B7640" w:rsidRPr="00CD59CC">
        <w:rPr>
          <w:rFonts w:ascii="Arial" w:hAnsi="Arial" w:cs="Arial"/>
        </w:rPr>
        <w:t xml:space="preserve"> </w:t>
      </w:r>
      <w:r w:rsidR="00402D31" w:rsidRPr="00CD59CC">
        <w:rPr>
          <w:rFonts w:ascii="Arial" w:hAnsi="Arial" w:cs="Arial"/>
        </w:rPr>
        <w:t>October</w:t>
      </w:r>
      <w:r w:rsidR="007B7640" w:rsidRPr="00CD59CC">
        <w:rPr>
          <w:rFonts w:ascii="Arial" w:hAnsi="Arial" w:cs="Arial"/>
        </w:rPr>
        <w:t xml:space="preserve"> </w:t>
      </w:r>
      <w:r w:rsidR="00402D31" w:rsidRPr="00CD59CC">
        <w:rPr>
          <w:rFonts w:ascii="Arial" w:hAnsi="Arial" w:cs="Arial"/>
        </w:rPr>
        <w:t>2013,</w:t>
      </w:r>
      <w:r w:rsidR="007B7640" w:rsidRPr="00CD59CC">
        <w:rPr>
          <w:rFonts w:ascii="Arial" w:hAnsi="Arial" w:cs="Arial"/>
        </w:rPr>
        <w:t xml:space="preserve"> </w:t>
      </w:r>
      <w:r w:rsidR="00402D31" w:rsidRPr="00CD59CC">
        <w:rPr>
          <w:rFonts w:ascii="Arial" w:hAnsi="Arial" w:cs="Arial"/>
        </w:rPr>
        <w:t>no</w:t>
      </w:r>
      <w:r w:rsidR="007B7640" w:rsidRPr="00CD59CC">
        <w:rPr>
          <w:rFonts w:ascii="Arial" w:hAnsi="Arial" w:cs="Arial"/>
        </w:rPr>
        <w:t xml:space="preserve"> </w:t>
      </w:r>
      <w:r w:rsidR="00402D31" w:rsidRPr="00CD59CC">
        <w:rPr>
          <w:rFonts w:ascii="Arial" w:hAnsi="Arial" w:cs="Arial"/>
        </w:rPr>
        <w:t>concrete</w:t>
      </w:r>
      <w:r w:rsidR="007B7640" w:rsidRPr="00CD59CC">
        <w:rPr>
          <w:rFonts w:ascii="Arial" w:hAnsi="Arial" w:cs="Arial"/>
        </w:rPr>
        <w:t xml:space="preserve"> </w:t>
      </w:r>
      <w:r w:rsidR="00402D31" w:rsidRPr="00CD59CC">
        <w:rPr>
          <w:rFonts w:ascii="Arial" w:hAnsi="Arial" w:cs="Arial"/>
        </w:rPr>
        <w:t>measures</w:t>
      </w:r>
      <w:r w:rsidR="007B7640" w:rsidRPr="00CD59CC">
        <w:rPr>
          <w:rFonts w:ascii="Arial" w:hAnsi="Arial" w:cs="Arial"/>
        </w:rPr>
        <w:t xml:space="preserve"> </w:t>
      </w:r>
      <w:r w:rsidR="00402D31" w:rsidRPr="00CD59CC">
        <w:rPr>
          <w:rFonts w:ascii="Arial" w:hAnsi="Arial" w:cs="Arial"/>
        </w:rPr>
        <w:t>have</w:t>
      </w:r>
      <w:r w:rsidR="007B7640" w:rsidRPr="00CD59CC">
        <w:rPr>
          <w:rFonts w:ascii="Arial" w:hAnsi="Arial" w:cs="Arial"/>
        </w:rPr>
        <w:t xml:space="preserve"> </w:t>
      </w:r>
      <w:r w:rsidR="00402D31" w:rsidRPr="00CD59CC">
        <w:rPr>
          <w:rFonts w:ascii="Arial" w:hAnsi="Arial" w:cs="Arial"/>
        </w:rPr>
        <w:t>been</w:t>
      </w:r>
      <w:r w:rsidR="007B7640" w:rsidRPr="00CD59CC">
        <w:rPr>
          <w:rFonts w:ascii="Arial" w:hAnsi="Arial" w:cs="Arial"/>
        </w:rPr>
        <w:t xml:space="preserve"> </w:t>
      </w:r>
      <w:r w:rsidR="00402D31" w:rsidRPr="00CD59CC">
        <w:rPr>
          <w:rFonts w:ascii="Arial" w:hAnsi="Arial" w:cs="Arial"/>
        </w:rPr>
        <w:t>taken</w:t>
      </w:r>
      <w:r w:rsidR="007B7640" w:rsidRPr="00CD59CC">
        <w:rPr>
          <w:rFonts w:ascii="Arial" w:hAnsi="Arial" w:cs="Arial"/>
        </w:rPr>
        <w:t xml:space="preserve"> </w:t>
      </w:r>
      <w:r w:rsidR="00402D31" w:rsidRPr="00CD59CC">
        <w:rPr>
          <w:rFonts w:ascii="Arial" w:hAnsi="Arial" w:cs="Arial"/>
        </w:rPr>
        <w:t>by</w:t>
      </w:r>
      <w:r w:rsidR="007B7640" w:rsidRPr="00CD59CC">
        <w:rPr>
          <w:rFonts w:ascii="Arial" w:hAnsi="Arial" w:cs="Arial"/>
        </w:rPr>
        <w:t xml:space="preserve"> </w:t>
      </w:r>
      <w:r w:rsidR="00402D31" w:rsidRPr="00CD59CC">
        <w:rPr>
          <w:rFonts w:ascii="Arial" w:hAnsi="Arial" w:cs="Arial"/>
        </w:rPr>
        <w:t>Hungary</w:t>
      </w:r>
      <w:r w:rsidR="007B7640" w:rsidRPr="00CD59CC">
        <w:rPr>
          <w:rFonts w:ascii="Arial" w:hAnsi="Arial" w:cs="Arial"/>
        </w:rPr>
        <w:t xml:space="preserve"> </w:t>
      </w:r>
      <w:r w:rsidR="00402D31" w:rsidRPr="00CD59CC">
        <w:rPr>
          <w:rFonts w:ascii="Arial" w:hAnsi="Arial" w:cs="Arial"/>
        </w:rPr>
        <w:t>to</w:t>
      </w:r>
      <w:r w:rsidR="007B7640" w:rsidRPr="00CD59CC">
        <w:rPr>
          <w:rFonts w:ascii="Arial" w:hAnsi="Arial" w:cs="Arial"/>
        </w:rPr>
        <w:t xml:space="preserve"> </w:t>
      </w:r>
      <w:r w:rsidR="00402D31" w:rsidRPr="00CD59CC">
        <w:rPr>
          <w:rFonts w:ascii="Arial" w:hAnsi="Arial" w:cs="Arial"/>
        </w:rPr>
        <w:t>comply</w:t>
      </w:r>
      <w:r w:rsidR="007B7640" w:rsidRPr="00CD59CC">
        <w:rPr>
          <w:rFonts w:ascii="Arial" w:hAnsi="Arial" w:cs="Arial"/>
        </w:rPr>
        <w:t xml:space="preserve"> </w:t>
      </w:r>
      <w:r w:rsidR="00402D31" w:rsidRPr="00CD59CC">
        <w:rPr>
          <w:rFonts w:ascii="Arial" w:hAnsi="Arial" w:cs="Arial"/>
        </w:rPr>
        <w:t>with</w:t>
      </w:r>
      <w:r w:rsidR="007B7640" w:rsidRPr="00CD59CC">
        <w:rPr>
          <w:rFonts w:ascii="Arial" w:hAnsi="Arial" w:cs="Arial"/>
        </w:rPr>
        <w:t xml:space="preserve"> </w:t>
      </w:r>
      <w:r w:rsidR="00402D31" w:rsidRPr="00CD59CC">
        <w:rPr>
          <w:rFonts w:ascii="Arial" w:hAnsi="Arial" w:cs="Arial"/>
        </w:rPr>
        <w:t>the</w:t>
      </w:r>
      <w:r w:rsidR="007B7640" w:rsidRPr="00CD59CC">
        <w:rPr>
          <w:rFonts w:ascii="Arial" w:hAnsi="Arial" w:cs="Arial"/>
        </w:rPr>
        <w:t xml:space="preserve"> </w:t>
      </w:r>
      <w:r w:rsidR="00402D31" w:rsidRPr="00CD59CC">
        <w:rPr>
          <w:rFonts w:ascii="Arial" w:hAnsi="Arial" w:cs="Arial"/>
        </w:rPr>
        <w:t>recommendations</w:t>
      </w:r>
      <w:r w:rsidR="007B7640" w:rsidRPr="00CD59CC">
        <w:rPr>
          <w:rFonts w:ascii="Arial" w:hAnsi="Arial" w:cs="Arial"/>
        </w:rPr>
        <w:t xml:space="preserve"> </w:t>
      </w:r>
      <w:r w:rsidR="00402D31" w:rsidRPr="00CD59CC">
        <w:rPr>
          <w:rFonts w:ascii="Arial" w:hAnsi="Arial" w:cs="Arial"/>
        </w:rPr>
        <w:t>–</w:t>
      </w:r>
      <w:r w:rsidR="007B7640" w:rsidRPr="00CD59CC">
        <w:rPr>
          <w:rFonts w:ascii="Arial" w:hAnsi="Arial" w:cs="Arial"/>
        </w:rPr>
        <w:t xml:space="preserve"> </w:t>
      </w:r>
      <w:r w:rsidR="00402D31" w:rsidRPr="00CD59CC">
        <w:rPr>
          <w:rFonts w:ascii="Arial" w:hAnsi="Arial" w:cs="Arial"/>
        </w:rPr>
        <w:t>most</w:t>
      </w:r>
      <w:r w:rsidR="007B7640" w:rsidRPr="00CD59CC">
        <w:rPr>
          <w:rFonts w:ascii="Arial" w:hAnsi="Arial" w:cs="Arial"/>
        </w:rPr>
        <w:t xml:space="preserve"> </w:t>
      </w:r>
      <w:r w:rsidR="00402D31" w:rsidRPr="00CD59CC">
        <w:rPr>
          <w:rFonts w:ascii="Arial" w:hAnsi="Arial" w:cs="Arial"/>
        </w:rPr>
        <w:t>importantly</w:t>
      </w:r>
      <w:r w:rsidR="007B7640" w:rsidRPr="00CD59CC">
        <w:rPr>
          <w:rFonts w:ascii="Arial" w:hAnsi="Arial" w:cs="Arial"/>
        </w:rPr>
        <w:t xml:space="preserve"> </w:t>
      </w:r>
      <w:r w:rsidR="00402D31" w:rsidRPr="00CD59CC">
        <w:rPr>
          <w:rFonts w:ascii="Arial" w:hAnsi="Arial" w:cs="Arial"/>
        </w:rPr>
        <w:t>no</w:t>
      </w:r>
      <w:r w:rsidR="007B7640" w:rsidRPr="00CD59CC">
        <w:rPr>
          <w:rFonts w:ascii="Arial" w:hAnsi="Arial" w:cs="Arial"/>
        </w:rPr>
        <w:t xml:space="preserve"> </w:t>
      </w:r>
      <w:r w:rsidR="00402D31" w:rsidRPr="00CD59CC">
        <w:rPr>
          <w:rFonts w:ascii="Arial" w:hAnsi="Arial" w:cs="Arial"/>
        </w:rPr>
        <w:t>concrete</w:t>
      </w:r>
      <w:r w:rsidR="007B7640" w:rsidRPr="00CD59CC">
        <w:rPr>
          <w:rFonts w:ascii="Arial" w:hAnsi="Arial" w:cs="Arial"/>
        </w:rPr>
        <w:t xml:space="preserve"> </w:t>
      </w:r>
      <w:r w:rsidR="00402D31" w:rsidRPr="00CD59CC">
        <w:rPr>
          <w:rFonts w:ascii="Arial" w:hAnsi="Arial" w:cs="Arial"/>
        </w:rPr>
        <w:t>legislative</w:t>
      </w:r>
      <w:r w:rsidR="007B7640" w:rsidRPr="00CD59CC">
        <w:rPr>
          <w:rFonts w:ascii="Arial" w:hAnsi="Arial" w:cs="Arial"/>
        </w:rPr>
        <w:t xml:space="preserve"> </w:t>
      </w:r>
      <w:r w:rsidR="00402D31" w:rsidRPr="00CD59CC">
        <w:rPr>
          <w:rFonts w:ascii="Arial" w:hAnsi="Arial" w:cs="Arial"/>
        </w:rPr>
        <w:t>measures</w:t>
      </w:r>
      <w:r w:rsidR="007B7640" w:rsidRPr="00CD59CC">
        <w:rPr>
          <w:rFonts w:ascii="Arial" w:hAnsi="Arial" w:cs="Arial"/>
        </w:rPr>
        <w:t xml:space="preserve"> </w:t>
      </w:r>
      <w:r w:rsidR="00402D31" w:rsidRPr="00CD59CC">
        <w:rPr>
          <w:rFonts w:ascii="Arial" w:hAnsi="Arial" w:cs="Arial"/>
        </w:rPr>
        <w:t>whatsoever</w:t>
      </w:r>
      <w:r w:rsidR="007B7640" w:rsidRPr="00CD59CC">
        <w:rPr>
          <w:rFonts w:ascii="Arial" w:hAnsi="Arial" w:cs="Arial"/>
        </w:rPr>
        <w:t xml:space="preserve"> </w:t>
      </w:r>
      <w:r w:rsidR="00402D31" w:rsidRPr="00CD59CC">
        <w:rPr>
          <w:rFonts w:ascii="Arial" w:hAnsi="Arial" w:cs="Arial"/>
        </w:rPr>
        <w:t>have</w:t>
      </w:r>
      <w:r w:rsidR="007B7640" w:rsidRPr="00CD59CC">
        <w:rPr>
          <w:rFonts w:ascii="Arial" w:hAnsi="Arial" w:cs="Arial"/>
        </w:rPr>
        <w:t xml:space="preserve"> </w:t>
      </w:r>
      <w:r w:rsidR="00402D31" w:rsidRPr="00CD59CC">
        <w:rPr>
          <w:rFonts w:ascii="Arial" w:hAnsi="Arial" w:cs="Arial"/>
        </w:rPr>
        <w:t>been</w:t>
      </w:r>
      <w:r w:rsidR="007B7640" w:rsidRPr="00CD59CC">
        <w:rPr>
          <w:rFonts w:ascii="Arial" w:hAnsi="Arial" w:cs="Arial"/>
        </w:rPr>
        <w:t xml:space="preserve"> </w:t>
      </w:r>
      <w:r w:rsidR="00402D31" w:rsidRPr="00CD59CC">
        <w:rPr>
          <w:rFonts w:ascii="Arial" w:hAnsi="Arial" w:cs="Arial"/>
        </w:rPr>
        <w:t>proposed</w:t>
      </w:r>
      <w:r w:rsidR="000E0CCA" w:rsidRPr="00CD59CC">
        <w:rPr>
          <w:rFonts w:ascii="Arial" w:hAnsi="Arial" w:cs="Arial"/>
        </w:rPr>
        <w:t>,</w:t>
      </w:r>
      <w:r w:rsidR="007B7640" w:rsidRPr="00CD59CC">
        <w:rPr>
          <w:rFonts w:ascii="Arial" w:hAnsi="Arial" w:cs="Arial"/>
        </w:rPr>
        <w:t xml:space="preserve"> </w:t>
      </w:r>
      <w:r w:rsidR="00402D31" w:rsidRPr="00CD59CC">
        <w:rPr>
          <w:rFonts w:ascii="Arial" w:hAnsi="Arial" w:cs="Arial"/>
        </w:rPr>
        <w:t>drafted</w:t>
      </w:r>
      <w:r w:rsidR="007B7640" w:rsidRPr="00CD59CC">
        <w:rPr>
          <w:rFonts w:ascii="Arial" w:hAnsi="Arial" w:cs="Arial"/>
        </w:rPr>
        <w:t xml:space="preserve"> </w:t>
      </w:r>
      <w:r w:rsidR="000E0CCA" w:rsidRPr="00CD59CC">
        <w:rPr>
          <w:rFonts w:ascii="Arial" w:hAnsi="Arial" w:cs="Arial"/>
        </w:rPr>
        <w:t>or</w:t>
      </w:r>
      <w:r w:rsidR="007B7640" w:rsidRPr="00CD59CC">
        <w:rPr>
          <w:rFonts w:ascii="Arial" w:hAnsi="Arial" w:cs="Arial"/>
        </w:rPr>
        <w:t xml:space="preserve"> </w:t>
      </w:r>
      <w:r w:rsidR="000E0CCA" w:rsidRPr="00CD59CC">
        <w:rPr>
          <w:rFonts w:ascii="Arial" w:hAnsi="Arial" w:cs="Arial"/>
        </w:rPr>
        <w:t>at</w:t>
      </w:r>
      <w:r w:rsidR="007B7640" w:rsidRPr="00CD59CC">
        <w:rPr>
          <w:rFonts w:ascii="Arial" w:hAnsi="Arial" w:cs="Arial"/>
        </w:rPr>
        <w:t xml:space="preserve"> </w:t>
      </w:r>
      <w:r w:rsidR="000E0CCA" w:rsidRPr="00CD59CC">
        <w:rPr>
          <w:rFonts w:ascii="Arial" w:hAnsi="Arial" w:cs="Arial"/>
        </w:rPr>
        <w:t>least</w:t>
      </w:r>
      <w:r w:rsidR="007B7640" w:rsidRPr="00CD59CC">
        <w:rPr>
          <w:rFonts w:ascii="Arial" w:hAnsi="Arial" w:cs="Arial"/>
        </w:rPr>
        <w:t xml:space="preserve"> </w:t>
      </w:r>
      <w:r w:rsidR="000E0CCA" w:rsidRPr="00CD59CC">
        <w:rPr>
          <w:rFonts w:ascii="Arial" w:hAnsi="Arial" w:cs="Arial"/>
        </w:rPr>
        <w:t>considered</w:t>
      </w:r>
      <w:r w:rsidR="007B7640" w:rsidRPr="00CD59CC">
        <w:rPr>
          <w:rFonts w:ascii="Arial" w:hAnsi="Arial" w:cs="Arial"/>
        </w:rPr>
        <w:t xml:space="preserve"> </w:t>
      </w:r>
      <w:r w:rsidR="00402D31" w:rsidRPr="00CD59CC">
        <w:rPr>
          <w:rFonts w:ascii="Arial" w:hAnsi="Arial" w:cs="Arial"/>
        </w:rPr>
        <w:t>by</w:t>
      </w:r>
      <w:r w:rsidR="007B7640" w:rsidRPr="00CD59CC">
        <w:rPr>
          <w:rFonts w:ascii="Arial" w:hAnsi="Arial" w:cs="Arial"/>
        </w:rPr>
        <w:t xml:space="preserve"> </w:t>
      </w:r>
      <w:r w:rsidR="00402D31" w:rsidRPr="00CD59CC">
        <w:rPr>
          <w:rFonts w:ascii="Arial" w:hAnsi="Arial" w:cs="Arial"/>
        </w:rPr>
        <w:t>the</w:t>
      </w:r>
      <w:r w:rsidR="007B7640" w:rsidRPr="00CD59CC">
        <w:rPr>
          <w:rFonts w:ascii="Arial" w:hAnsi="Arial" w:cs="Arial"/>
        </w:rPr>
        <w:t xml:space="preserve"> </w:t>
      </w:r>
      <w:r w:rsidR="00402D31" w:rsidRPr="00CD59CC">
        <w:rPr>
          <w:rFonts w:ascii="Arial" w:hAnsi="Arial" w:cs="Arial"/>
        </w:rPr>
        <w:t>competent</w:t>
      </w:r>
      <w:r w:rsidR="007B7640" w:rsidRPr="00CD59CC">
        <w:rPr>
          <w:rFonts w:ascii="Arial" w:hAnsi="Arial" w:cs="Arial"/>
        </w:rPr>
        <w:t xml:space="preserve"> </w:t>
      </w:r>
      <w:r w:rsidR="00402D31" w:rsidRPr="00CD59CC">
        <w:rPr>
          <w:rFonts w:ascii="Arial" w:hAnsi="Arial" w:cs="Arial"/>
        </w:rPr>
        <w:t>ministry.</w:t>
      </w:r>
      <w:r w:rsidR="000E0CCA" w:rsidRPr="00CD59CC">
        <w:rPr>
          <w:rStyle w:val="FootnoteReference"/>
          <w:rFonts w:ascii="Arial" w:hAnsi="Arial" w:cs="Arial"/>
        </w:rPr>
        <w:footnoteReference w:id="58"/>
      </w:r>
    </w:p>
    <w:p w14:paraId="2CA4EA35" w14:textId="77777777" w:rsidR="00F26303" w:rsidRPr="00CD59CC" w:rsidRDefault="00F26303" w:rsidP="00CD59CC">
      <w:pPr>
        <w:ind w:left="567" w:hanging="567"/>
        <w:rPr>
          <w:rFonts w:ascii="Arial" w:hAnsi="Arial" w:cs="Arial"/>
        </w:rPr>
      </w:pPr>
    </w:p>
    <w:p w14:paraId="4DB9C201" w14:textId="77777777" w:rsidR="002B5BCD" w:rsidRPr="00CD59CC" w:rsidRDefault="002B5BCD" w:rsidP="00CD59CC">
      <w:pPr>
        <w:numPr>
          <w:ilvl w:val="0"/>
          <w:numId w:val="9"/>
        </w:numPr>
        <w:ind w:left="567" w:hanging="567"/>
        <w:rPr>
          <w:rFonts w:ascii="Arial" w:hAnsi="Arial" w:cs="Arial"/>
          <w:i/>
        </w:rPr>
      </w:pPr>
      <w:r w:rsidRPr="00CD59CC">
        <w:rPr>
          <w:rFonts w:ascii="Arial" w:hAnsi="Arial" w:cs="Arial"/>
          <w:i/>
        </w:rPr>
        <w:t>Please</w:t>
      </w:r>
      <w:r w:rsidR="007B7640" w:rsidRPr="00CD59CC">
        <w:rPr>
          <w:rFonts w:ascii="Arial" w:hAnsi="Arial" w:cs="Arial"/>
          <w:i/>
        </w:rPr>
        <w:t xml:space="preserve"> </w:t>
      </w:r>
      <w:r w:rsidRPr="00CD59CC">
        <w:rPr>
          <w:rFonts w:ascii="Arial" w:hAnsi="Arial" w:cs="Arial"/>
          <w:i/>
        </w:rPr>
        <w:t>explain</w:t>
      </w:r>
      <w:r w:rsidR="007B7640" w:rsidRPr="00CD59CC">
        <w:rPr>
          <w:rFonts w:ascii="Arial" w:hAnsi="Arial" w:cs="Arial"/>
          <w:i/>
        </w:rPr>
        <w:t xml:space="preserve"> </w:t>
      </w:r>
      <w:r w:rsidRPr="00CD59CC">
        <w:rPr>
          <w:rFonts w:ascii="Arial" w:hAnsi="Arial" w:cs="Arial"/>
          <w:i/>
        </w:rPr>
        <w:t>briefly</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existing</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legislation</w:t>
      </w:r>
      <w:r w:rsidR="007B7640" w:rsidRPr="00CD59CC">
        <w:rPr>
          <w:rFonts w:ascii="Arial" w:hAnsi="Arial" w:cs="Arial"/>
          <w:i/>
        </w:rPr>
        <w:t xml:space="preserve"> </w:t>
      </w:r>
      <w:r w:rsidRPr="00CD59CC">
        <w:rPr>
          <w:rFonts w:ascii="Arial" w:hAnsi="Arial" w:cs="Arial"/>
          <w:i/>
        </w:rPr>
        <w:t>concerning</w:t>
      </w:r>
      <w:r w:rsidR="007B7640" w:rsidRPr="00CD59CC">
        <w:rPr>
          <w:rFonts w:ascii="Arial" w:hAnsi="Arial" w:cs="Arial"/>
          <w:i/>
        </w:rPr>
        <w:t xml:space="preserve"> </w:t>
      </w:r>
      <w:r w:rsidRPr="00CD59CC">
        <w:rPr>
          <w:rFonts w:ascii="Arial" w:hAnsi="Arial" w:cs="Arial"/>
          <w:i/>
        </w:rPr>
        <w:t>people</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disabilities</w:t>
      </w:r>
      <w:r w:rsidR="007B7640" w:rsidRPr="00CD59CC">
        <w:rPr>
          <w:rFonts w:ascii="Arial" w:hAnsi="Arial" w:cs="Arial"/>
          <w:i/>
        </w:rPr>
        <w:t xml:space="preserve"> </w:t>
      </w:r>
      <w:r w:rsidRPr="00CD59CC">
        <w:rPr>
          <w:rFonts w:ascii="Arial" w:hAnsi="Arial" w:cs="Arial"/>
          <w:i/>
        </w:rPr>
        <w:t>(beyond</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simple</w:t>
      </w:r>
      <w:r w:rsidR="007B7640" w:rsidRPr="00CD59CC">
        <w:rPr>
          <w:rFonts w:ascii="Arial" w:hAnsi="Arial" w:cs="Arial"/>
          <w:i/>
        </w:rPr>
        <w:t xml:space="preserve"> </w:t>
      </w:r>
      <w:r w:rsidRPr="00CD59CC">
        <w:rPr>
          <w:rFonts w:ascii="Arial" w:hAnsi="Arial" w:cs="Arial"/>
          <w:i/>
        </w:rPr>
        <w:t>prohibition</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provide</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special</w:t>
      </w:r>
      <w:r w:rsidR="007B7640" w:rsidRPr="00CD59CC">
        <w:rPr>
          <w:rFonts w:ascii="Arial" w:hAnsi="Arial" w:cs="Arial"/>
          <w:i/>
        </w:rPr>
        <w:t xml:space="preserve"> </w:t>
      </w:r>
      <w:r w:rsidRPr="00CD59CC">
        <w:rPr>
          <w:rFonts w:ascii="Arial" w:hAnsi="Arial" w:cs="Arial"/>
          <w:i/>
        </w:rPr>
        <w:t>rights</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people</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disabilities?</w:t>
      </w:r>
    </w:p>
    <w:p w14:paraId="6A547687" w14:textId="77777777" w:rsidR="002B5BCD" w:rsidRPr="00BB4E9F" w:rsidRDefault="002B5BCD" w:rsidP="00CD59CC">
      <w:pPr>
        <w:ind w:left="567" w:hanging="567"/>
        <w:rPr>
          <w:rFonts w:ascii="Arial" w:hAnsi="Arial"/>
          <w:lang w:val="en-US"/>
        </w:rPr>
      </w:pPr>
    </w:p>
    <w:p w14:paraId="455414E6" w14:textId="77777777" w:rsidR="00A40788" w:rsidRPr="00CD59CC" w:rsidRDefault="00A40788"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regulated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detail</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(along</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acknowledged</w:t>
      </w:r>
      <w:r w:rsidR="007B7640" w:rsidRPr="00CD59CC">
        <w:rPr>
          <w:rFonts w:ascii="Arial" w:hAnsi="Arial" w:cs="Arial"/>
        </w:rPr>
        <w:t xml:space="preserve"> </w:t>
      </w:r>
      <w:r w:rsidRPr="00CD59CC">
        <w:rPr>
          <w:rFonts w:ascii="Arial" w:hAnsi="Arial" w:cs="Arial"/>
        </w:rPr>
        <w:t>nationalities)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separate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adopted.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goes</w:t>
      </w:r>
      <w:r w:rsidR="007B7640" w:rsidRPr="00CD59CC">
        <w:rPr>
          <w:rFonts w:ascii="Arial" w:hAnsi="Arial" w:cs="Arial"/>
        </w:rPr>
        <w:t xml:space="preserve"> </w:t>
      </w:r>
      <w:r w:rsidRPr="00CD59CC">
        <w:rPr>
          <w:rFonts w:ascii="Arial" w:hAnsi="Arial" w:cs="Arial"/>
        </w:rPr>
        <w:t>well</w:t>
      </w:r>
      <w:r w:rsidR="007B7640" w:rsidRPr="00CD59CC">
        <w:rPr>
          <w:rFonts w:ascii="Arial" w:hAnsi="Arial" w:cs="Arial"/>
        </w:rPr>
        <w:t xml:space="preserve"> </w:t>
      </w:r>
      <w:r w:rsidRPr="00CD59CC">
        <w:rPr>
          <w:rFonts w:ascii="Arial" w:hAnsi="Arial" w:cs="Arial"/>
        </w:rPr>
        <w:t>beyond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simple</w:t>
      </w:r>
      <w:r w:rsidR="007B7640" w:rsidRPr="00CD59CC">
        <w:rPr>
          <w:rFonts w:ascii="Arial" w:hAnsi="Arial" w:cs="Arial"/>
        </w:rPr>
        <w:t xml:space="preserve"> </w:t>
      </w:r>
      <w:r w:rsidRPr="00CD59CC">
        <w:rPr>
          <w:rFonts w:ascii="Arial" w:hAnsi="Arial" w:cs="Arial"/>
        </w:rPr>
        <w:t>prohibition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sets</w:t>
      </w:r>
      <w:r w:rsidR="007B7640" w:rsidRPr="00CD59CC">
        <w:rPr>
          <w:rFonts w:ascii="Arial" w:hAnsi="Arial" w:cs="Arial"/>
        </w:rPr>
        <w:t xml:space="preserve"> </w:t>
      </w:r>
      <w:r w:rsidRPr="00CD59CC">
        <w:rPr>
          <w:rFonts w:ascii="Arial" w:hAnsi="Arial" w:cs="Arial"/>
        </w:rPr>
        <w:t>forth</w:t>
      </w:r>
      <w:r w:rsidR="007B7640" w:rsidRPr="00CD59CC">
        <w:rPr>
          <w:rFonts w:ascii="Arial" w:hAnsi="Arial" w:cs="Arial"/>
        </w:rPr>
        <w:t xml:space="preserve"> </w:t>
      </w:r>
      <w:r w:rsidRPr="00CD59CC">
        <w:rPr>
          <w:rFonts w:ascii="Arial" w:hAnsi="Arial" w:cs="Arial"/>
        </w:rPr>
        <w:t>reasonable</w:t>
      </w:r>
      <w:r w:rsidR="007B7640" w:rsidRPr="00CD59CC">
        <w:rPr>
          <w:rFonts w:ascii="Arial" w:hAnsi="Arial" w:cs="Arial"/>
        </w:rPr>
        <w:t xml:space="preserve"> </w:t>
      </w:r>
      <w:r w:rsidRPr="00CD59CC">
        <w:rPr>
          <w:rFonts w:ascii="Arial" w:hAnsi="Arial" w:cs="Arial"/>
        </w:rPr>
        <w:t>accommodation</w:t>
      </w:r>
      <w:r w:rsidR="007B7640" w:rsidRPr="00CD59CC">
        <w:rPr>
          <w:rFonts w:ascii="Arial" w:hAnsi="Arial" w:cs="Arial"/>
        </w:rPr>
        <w:t xml:space="preserve"> </w:t>
      </w:r>
      <w:r w:rsidRPr="00CD59CC">
        <w:rPr>
          <w:rFonts w:ascii="Arial" w:hAnsi="Arial" w:cs="Arial"/>
        </w:rPr>
        <w:t>obligations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fields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prescribes</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structures</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creation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opportunities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hand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often</w:t>
      </w:r>
      <w:r w:rsidR="007B7640" w:rsidRPr="00CD59CC">
        <w:rPr>
          <w:rFonts w:ascii="Arial" w:hAnsi="Arial" w:cs="Arial"/>
        </w:rPr>
        <w:t xml:space="preserve"> </w:t>
      </w:r>
      <w:r w:rsidRPr="00CD59CC">
        <w:rPr>
          <w:rFonts w:ascii="Arial" w:hAnsi="Arial" w:cs="Arial"/>
        </w:rPr>
        <w:t>criticised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failing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up</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effective</w:t>
      </w:r>
      <w:r w:rsidR="007B7640" w:rsidRPr="00CD59CC">
        <w:rPr>
          <w:rFonts w:ascii="Arial" w:hAnsi="Arial" w:cs="Arial"/>
        </w:rPr>
        <w:t xml:space="preserve"> </w:t>
      </w:r>
      <w:r w:rsidRPr="00CD59CC">
        <w:rPr>
          <w:rFonts w:ascii="Arial" w:hAnsi="Arial" w:cs="Arial"/>
        </w:rPr>
        <w:t>sanctions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non-compliance.</w:t>
      </w:r>
      <w:r w:rsidR="007B7640" w:rsidRPr="00CD59CC">
        <w:rPr>
          <w:rFonts w:ascii="Arial" w:hAnsi="Arial" w:cs="Arial"/>
        </w:rPr>
        <w:t xml:space="preserve"> </w:t>
      </w:r>
      <w:r w:rsidRPr="00CD59CC">
        <w:rPr>
          <w:rFonts w:ascii="Arial" w:hAnsi="Arial" w:cs="Arial"/>
        </w:rPr>
        <w:t>Breaches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obligations</w:t>
      </w:r>
      <w:r w:rsidR="007B7640" w:rsidRPr="00CD59CC">
        <w:rPr>
          <w:rFonts w:ascii="Arial" w:hAnsi="Arial" w:cs="Arial"/>
        </w:rPr>
        <w:t xml:space="preserve"> </w:t>
      </w:r>
      <w:r w:rsidRPr="00CD59CC">
        <w:rPr>
          <w:rFonts w:ascii="Arial" w:hAnsi="Arial" w:cs="Arial"/>
        </w:rPr>
        <w:t>prescribed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remedied</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breaches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inherent</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violations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p>
    <w:p w14:paraId="45B29F0F" w14:textId="77777777" w:rsidR="00A40788" w:rsidRPr="00CD59CC" w:rsidRDefault="00A40788" w:rsidP="00CD59CC">
      <w:pPr>
        <w:rPr>
          <w:rFonts w:ascii="Arial" w:hAnsi="Arial" w:cs="Arial"/>
        </w:rPr>
      </w:pPr>
    </w:p>
    <w:p w14:paraId="708CE4AD" w14:textId="77777777" w:rsidR="00A40788" w:rsidRPr="00CD59CC" w:rsidRDefault="00A40788"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consists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parts:</w:t>
      </w:r>
      <w:r w:rsidRPr="00CD59CC">
        <w:rPr>
          <w:rStyle w:val="Lbjegyzet-karakterek"/>
          <w:rFonts w:ascii="Arial" w:hAnsi="Arial" w:cs="Arial"/>
        </w:rPr>
        <w:footnoteReference w:id="59"/>
      </w:r>
    </w:p>
    <w:p w14:paraId="682DC611" w14:textId="77777777" w:rsidR="00A40788" w:rsidRPr="00CD59CC" w:rsidRDefault="00A40788" w:rsidP="00CD59CC">
      <w:pPr>
        <w:rPr>
          <w:rFonts w:ascii="Arial" w:hAnsi="Arial" w:cs="Arial"/>
        </w:rPr>
      </w:pPr>
    </w:p>
    <w:p w14:paraId="3F1478E1" w14:textId="77777777" w:rsidR="00A40788" w:rsidRPr="00CD59CC" w:rsidRDefault="00A40788" w:rsidP="00CD59CC">
      <w:pPr>
        <w:rPr>
          <w:rFonts w:ascii="Arial" w:hAnsi="Arial" w:cs="Arial"/>
        </w:rPr>
      </w:pPr>
      <w:r w:rsidRPr="00CD59CC">
        <w:rPr>
          <w:rFonts w:ascii="Arial" w:hAnsi="Arial" w:cs="Arial"/>
          <w:b/>
        </w:rPr>
        <w:t>Chapter</w:t>
      </w:r>
      <w:r w:rsidR="007B7640" w:rsidRPr="00CD59CC">
        <w:rPr>
          <w:rFonts w:ascii="Arial" w:hAnsi="Arial" w:cs="Arial"/>
          <w:b/>
        </w:rPr>
        <w:t xml:space="preserve"> </w:t>
      </w:r>
      <w:r w:rsidRPr="00CD59CC">
        <w:rPr>
          <w:rFonts w:ascii="Arial" w:hAnsi="Arial" w:cs="Arial"/>
          <w:b/>
        </w:rPr>
        <w:t>I</w:t>
      </w:r>
      <w:r w:rsidR="007B7640" w:rsidRPr="00CD59CC">
        <w:rPr>
          <w:rFonts w:ascii="Arial" w:hAnsi="Arial" w:cs="Arial"/>
        </w:rPr>
        <w:t xml:space="preserve"> </w:t>
      </w:r>
      <w:r w:rsidRPr="00CD59CC">
        <w:rPr>
          <w:rFonts w:ascii="Arial" w:hAnsi="Arial" w:cs="Arial"/>
        </w:rPr>
        <w:t>contains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including</w:t>
      </w:r>
      <w:r w:rsidR="007B7640" w:rsidRPr="00CD59CC">
        <w:rPr>
          <w:rFonts w:ascii="Arial" w:hAnsi="Arial" w:cs="Arial"/>
        </w:rPr>
        <w:t xml:space="preserve"> </w:t>
      </w:r>
      <w:r w:rsidRPr="00CD59CC">
        <w:rPr>
          <w:rFonts w:ascii="Arial" w:hAnsi="Arial" w:cs="Arial"/>
        </w:rPr>
        <w:t>(i)</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purpose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(ii)</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basic</w:t>
      </w:r>
      <w:r w:rsidR="007B7640" w:rsidRPr="00CD59CC">
        <w:rPr>
          <w:rFonts w:ascii="Arial" w:hAnsi="Arial" w:cs="Arial"/>
        </w:rPr>
        <w:t xml:space="preserve"> </w:t>
      </w:r>
      <w:r w:rsidRPr="00CD59CC">
        <w:rPr>
          <w:rFonts w:ascii="Arial" w:hAnsi="Arial" w:cs="Arial"/>
        </w:rPr>
        <w:t>principles;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definitions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used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p>
    <w:p w14:paraId="1120FA39" w14:textId="77777777" w:rsidR="00A40788" w:rsidRPr="00CD59CC" w:rsidRDefault="00A40788"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basic</w:t>
      </w:r>
      <w:r w:rsidR="007B7640" w:rsidRPr="00CD59CC">
        <w:rPr>
          <w:rFonts w:ascii="Arial" w:hAnsi="Arial" w:cs="Arial"/>
        </w:rPr>
        <w:t xml:space="preserve"> </w:t>
      </w:r>
      <w:r w:rsidRPr="00CD59CC">
        <w:rPr>
          <w:rFonts w:ascii="Arial" w:hAnsi="Arial" w:cs="Arial"/>
        </w:rPr>
        <w:t>principles</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contain</w:t>
      </w:r>
      <w:r w:rsidR="007B7640" w:rsidRPr="00CD59CC">
        <w:rPr>
          <w:rFonts w:ascii="Arial" w:hAnsi="Arial" w:cs="Arial"/>
        </w:rPr>
        <w:t xml:space="preserve"> </w:t>
      </w:r>
      <w:r w:rsidRPr="00CD59CC">
        <w:rPr>
          <w:rFonts w:ascii="Arial" w:hAnsi="Arial" w:cs="Arial"/>
        </w:rPr>
        <w:t>some</w:t>
      </w:r>
      <w:r w:rsidR="007B7640" w:rsidRPr="00CD59CC">
        <w:rPr>
          <w:rFonts w:ascii="Arial" w:hAnsi="Arial" w:cs="Arial"/>
        </w:rPr>
        <w:t xml:space="preserve"> </w:t>
      </w:r>
      <w:r w:rsidRPr="00CD59CC">
        <w:rPr>
          <w:rFonts w:ascii="Arial" w:hAnsi="Arial" w:cs="Arial"/>
        </w:rPr>
        <w:t>very</w:t>
      </w:r>
      <w:r w:rsidR="007B7640" w:rsidRPr="00CD59CC">
        <w:rPr>
          <w:rFonts w:ascii="Arial" w:hAnsi="Arial" w:cs="Arial"/>
        </w:rPr>
        <w:t xml:space="preserve"> </w:t>
      </w:r>
      <w:r w:rsidRPr="00CD59CC">
        <w:rPr>
          <w:rFonts w:ascii="Arial" w:hAnsi="Arial" w:cs="Arial"/>
        </w:rPr>
        <w:t>important</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one</w:t>
      </w:r>
      <w:r w:rsidR="007B7640" w:rsidRPr="00CD59CC">
        <w:rPr>
          <w:rFonts w:ascii="Arial" w:hAnsi="Arial" w:cs="Arial"/>
        </w:rPr>
        <w:t xml:space="preserve"> </w:t>
      </w:r>
      <w:r w:rsidRPr="00CD59CC">
        <w:rPr>
          <w:rFonts w:ascii="Arial" w:hAnsi="Arial" w:cs="Arial"/>
        </w:rPr>
        <w:t>prescribing</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course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planning</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decision-making</w:t>
      </w:r>
      <w:r w:rsidR="007B7640" w:rsidRPr="00CD59CC">
        <w:rPr>
          <w:rFonts w:ascii="Arial" w:hAnsi="Arial" w:cs="Arial"/>
        </w:rPr>
        <w:t xml:space="preserve"> </w:t>
      </w:r>
      <w:r w:rsidRPr="00CD59CC">
        <w:rPr>
          <w:rFonts w:ascii="Arial" w:hAnsi="Arial" w:cs="Arial"/>
        </w:rPr>
        <w:t>processes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given</w:t>
      </w:r>
      <w:r w:rsidR="007B7640" w:rsidRPr="00CD59CC">
        <w:rPr>
          <w:rFonts w:ascii="Arial" w:hAnsi="Arial" w:cs="Arial"/>
        </w:rPr>
        <w:t xml:space="preserve"> </w:t>
      </w:r>
      <w:r w:rsidRPr="00CD59CC">
        <w:rPr>
          <w:rFonts w:ascii="Arial" w:hAnsi="Arial" w:cs="Arial"/>
        </w:rPr>
        <w:t>particular</w:t>
      </w:r>
      <w:r w:rsidR="007B7640" w:rsidRPr="00CD59CC">
        <w:rPr>
          <w:rFonts w:ascii="Arial" w:hAnsi="Arial" w:cs="Arial"/>
        </w:rPr>
        <w:t xml:space="preserve"> </w:t>
      </w:r>
      <w:r w:rsidRPr="00CD59CC">
        <w:rPr>
          <w:rFonts w:ascii="Arial" w:hAnsi="Arial" w:cs="Arial"/>
        </w:rPr>
        <w:t>attention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must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account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able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advantage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possibilities</w:t>
      </w:r>
      <w:r w:rsidR="007B7640" w:rsidRPr="00CD59CC">
        <w:rPr>
          <w:rFonts w:ascii="Arial" w:hAnsi="Arial" w:cs="Arial"/>
        </w:rPr>
        <w:t xml:space="preserve"> </w:t>
      </w:r>
      <w:r w:rsidRPr="00CD59CC">
        <w:rPr>
          <w:rFonts w:ascii="Arial" w:hAnsi="Arial" w:cs="Arial"/>
        </w:rPr>
        <w:t>available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solutions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applied.</w:t>
      </w:r>
      <w:r w:rsidR="007B7640" w:rsidRPr="00CD59CC">
        <w:rPr>
          <w:rFonts w:ascii="Arial" w:hAnsi="Arial" w:cs="Arial"/>
        </w:rPr>
        <w:t xml:space="preserve"> </w:t>
      </w:r>
      <w:r w:rsidRPr="00CD59CC">
        <w:rPr>
          <w:rFonts w:ascii="Arial" w:hAnsi="Arial" w:cs="Arial"/>
        </w:rPr>
        <w:t>Furthermore,</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adopting</w:t>
      </w:r>
      <w:r w:rsidR="007B7640" w:rsidRPr="00CD59CC">
        <w:rPr>
          <w:rFonts w:ascii="Arial" w:hAnsi="Arial" w:cs="Arial"/>
        </w:rPr>
        <w:t xml:space="preserve"> </w:t>
      </w:r>
      <w:r w:rsidRPr="00CD59CC">
        <w:rPr>
          <w:rFonts w:ascii="Arial" w:hAnsi="Arial" w:cs="Arial"/>
        </w:rPr>
        <w:t>decisions</w:t>
      </w:r>
      <w:r w:rsidR="007B7640" w:rsidRPr="00CD59CC">
        <w:rPr>
          <w:rFonts w:ascii="Arial" w:hAnsi="Arial" w:cs="Arial"/>
        </w:rPr>
        <w:t xml:space="preserve"> </w:t>
      </w:r>
      <w:r w:rsidRPr="00CD59CC">
        <w:rPr>
          <w:rFonts w:ascii="Arial" w:hAnsi="Arial" w:cs="Arial"/>
        </w:rPr>
        <w:t>affecting</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must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account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members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society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community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reason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conditions</w:t>
      </w:r>
      <w:r w:rsidR="007B7640" w:rsidRPr="00CD59CC">
        <w:rPr>
          <w:rFonts w:ascii="Arial" w:hAnsi="Arial" w:cs="Arial"/>
        </w:rPr>
        <w:t xml:space="preserve"> </w:t>
      </w:r>
      <w:r w:rsidRPr="00CD59CC">
        <w:rPr>
          <w:rFonts w:ascii="Arial" w:hAnsi="Arial" w:cs="Arial"/>
        </w:rPr>
        <w:t>enabling</w:t>
      </w:r>
      <w:r w:rsidR="007B7640" w:rsidRPr="00CD59CC">
        <w:rPr>
          <w:rFonts w:ascii="Arial" w:hAnsi="Arial" w:cs="Arial"/>
        </w:rPr>
        <w:t xml:space="preserve"> </w:t>
      </w:r>
      <w:r w:rsidRPr="00CD59CC">
        <w:rPr>
          <w:rFonts w:ascii="Arial" w:hAnsi="Arial" w:cs="Arial"/>
        </w:rPr>
        <w:t>them</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participate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life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society</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created.</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w:t>
      </w:r>
      <w:r w:rsidR="007B7640" w:rsidRPr="00CD59CC">
        <w:rPr>
          <w:rFonts w:ascii="Arial" w:hAnsi="Arial" w:cs="Arial"/>
        </w:rPr>
        <w:t xml:space="preserve"> </w:t>
      </w:r>
      <w:r w:rsidRPr="00CD59CC">
        <w:rPr>
          <w:rFonts w:ascii="Arial" w:hAnsi="Arial" w:cs="Arial"/>
        </w:rPr>
        <w:t>declares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due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condition,</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less</w:t>
      </w:r>
      <w:r w:rsidR="007B7640" w:rsidRPr="00CD59CC">
        <w:rPr>
          <w:rFonts w:ascii="Arial" w:hAnsi="Arial" w:cs="Arial"/>
        </w:rPr>
        <w:t xml:space="preserve"> </w:t>
      </w:r>
      <w:r w:rsidRPr="00CD59CC">
        <w:rPr>
          <w:rFonts w:ascii="Arial" w:hAnsi="Arial" w:cs="Arial"/>
        </w:rPr>
        <w:t>able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exercise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entitled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everyone</w:t>
      </w:r>
      <w:r w:rsidR="007B7640" w:rsidRPr="00CD59CC">
        <w:rPr>
          <w:rFonts w:ascii="Arial" w:hAnsi="Arial" w:cs="Arial"/>
        </w:rPr>
        <w:t xml:space="preserve"> </w:t>
      </w:r>
      <w:r w:rsidRPr="00CD59CC">
        <w:rPr>
          <w:rFonts w:ascii="Arial" w:hAnsi="Arial" w:cs="Arial"/>
        </w:rPr>
        <w:t>else,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justified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should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supported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positive</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every</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p>
    <w:p w14:paraId="392C2371" w14:textId="77777777" w:rsidR="00A40788" w:rsidRPr="00CD59CC" w:rsidRDefault="00A40788" w:rsidP="00CD59CC">
      <w:pPr>
        <w:rPr>
          <w:rFonts w:ascii="Arial" w:hAnsi="Arial" w:cs="Arial"/>
        </w:rPr>
      </w:pPr>
    </w:p>
    <w:p w14:paraId="6D586B82" w14:textId="77777777" w:rsidR="00A40788" w:rsidRPr="00CD59CC" w:rsidRDefault="00A40788" w:rsidP="00CD59CC">
      <w:pPr>
        <w:rPr>
          <w:rFonts w:ascii="Arial" w:hAnsi="Arial" w:cs="Arial"/>
        </w:rPr>
      </w:pPr>
      <w:r w:rsidRPr="00CD59CC">
        <w:rPr>
          <w:rFonts w:ascii="Arial" w:hAnsi="Arial" w:cs="Arial"/>
          <w:b/>
        </w:rPr>
        <w:lastRenderedPageBreak/>
        <w:t>Chapter</w:t>
      </w:r>
      <w:r w:rsidR="007B7640" w:rsidRPr="00CD59CC">
        <w:rPr>
          <w:rFonts w:ascii="Arial" w:hAnsi="Arial" w:cs="Arial"/>
          <w:b/>
        </w:rPr>
        <w:t xml:space="preserve"> </w:t>
      </w:r>
      <w:r w:rsidRPr="00CD59CC">
        <w:rPr>
          <w:rFonts w:ascii="Arial" w:hAnsi="Arial" w:cs="Arial"/>
          <w:b/>
        </w:rPr>
        <w:t>II</w:t>
      </w:r>
      <w:r w:rsidR="007B7640" w:rsidRPr="00CD59CC">
        <w:rPr>
          <w:rFonts w:ascii="Arial" w:hAnsi="Arial" w:cs="Arial"/>
        </w:rPr>
        <w:t xml:space="preserve"> </w:t>
      </w:r>
      <w:r w:rsidRPr="00CD59CC">
        <w:rPr>
          <w:rFonts w:ascii="Arial" w:hAnsi="Arial" w:cs="Arial"/>
        </w:rPr>
        <w:t>sets</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include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safe</w:t>
      </w:r>
      <w:r w:rsidR="007B7640" w:rsidRPr="00CD59CC">
        <w:rPr>
          <w:rFonts w:ascii="Arial" w:hAnsi="Arial" w:cs="Arial"/>
        </w:rPr>
        <w:t xml:space="preserve"> </w:t>
      </w:r>
      <w:r w:rsidRPr="00CD59CC">
        <w:rPr>
          <w:rFonts w:ascii="Arial" w:hAnsi="Arial" w:cs="Arial"/>
        </w:rPr>
        <w:t>environment;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information;</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detail</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c);</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safe</w:t>
      </w:r>
      <w:r w:rsidR="007B7640" w:rsidRPr="00CD59CC">
        <w:rPr>
          <w:rFonts w:ascii="Arial" w:hAnsi="Arial" w:cs="Arial"/>
        </w:rPr>
        <w:t xml:space="preserve"> </w:t>
      </w:r>
      <w:r w:rsidRPr="00CD59CC">
        <w:rPr>
          <w:rFonts w:ascii="Arial" w:hAnsi="Arial" w:cs="Arial"/>
        </w:rPr>
        <w:t>transportation,</w:t>
      </w:r>
      <w:r w:rsidR="007B7640" w:rsidRPr="00CD59CC">
        <w:rPr>
          <w:rFonts w:ascii="Arial" w:hAnsi="Arial" w:cs="Arial"/>
        </w:rPr>
        <w:t xml:space="preserve"> </w:t>
      </w:r>
      <w:r w:rsidRPr="00CD59CC">
        <w:rPr>
          <w:rFonts w:ascii="Arial" w:hAnsi="Arial" w:cs="Arial"/>
        </w:rPr>
        <w:t>including</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network</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parking</w:t>
      </w:r>
      <w:r w:rsidR="007B7640" w:rsidRPr="00CD59CC">
        <w:rPr>
          <w:rFonts w:ascii="Arial" w:hAnsi="Arial" w:cs="Arial"/>
        </w:rPr>
        <w:t xml:space="preserve"> </w:t>
      </w:r>
      <w:r w:rsidRPr="00CD59CC">
        <w:rPr>
          <w:rFonts w:ascii="Arial" w:hAnsi="Arial" w:cs="Arial"/>
        </w:rPr>
        <w:t>spaces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supporting</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aids.</w:t>
      </w:r>
    </w:p>
    <w:p w14:paraId="742142AC" w14:textId="77777777" w:rsidR="00A40788" w:rsidRPr="00CD59CC" w:rsidRDefault="00A40788" w:rsidP="00CD59CC">
      <w:pPr>
        <w:rPr>
          <w:rFonts w:ascii="Arial" w:hAnsi="Arial" w:cs="Arial"/>
        </w:rPr>
      </w:pPr>
    </w:p>
    <w:p w14:paraId="3B07C8C8" w14:textId="77777777" w:rsidR="00A40788" w:rsidRPr="00CD59CC" w:rsidRDefault="00A40788" w:rsidP="00CD59CC">
      <w:pPr>
        <w:rPr>
          <w:rFonts w:ascii="Arial" w:hAnsi="Arial" w:cs="Arial"/>
        </w:rPr>
      </w:pPr>
      <w:r w:rsidRPr="00CD59CC">
        <w:rPr>
          <w:rFonts w:ascii="Arial" w:hAnsi="Arial" w:cs="Arial"/>
          <w:b/>
        </w:rPr>
        <w:t>Chapter</w:t>
      </w:r>
      <w:r w:rsidR="007B7640" w:rsidRPr="00CD59CC">
        <w:rPr>
          <w:rFonts w:ascii="Arial" w:hAnsi="Arial" w:cs="Arial"/>
          <w:b/>
        </w:rPr>
        <w:t xml:space="preserve"> </w:t>
      </w:r>
      <w:r w:rsidRPr="00CD59CC">
        <w:rPr>
          <w:rFonts w:ascii="Arial" w:hAnsi="Arial" w:cs="Arial"/>
          <w:b/>
        </w:rPr>
        <w:t>III</w:t>
      </w:r>
      <w:r w:rsidR="007B7640" w:rsidRPr="00CD59CC">
        <w:rPr>
          <w:rFonts w:ascii="Arial" w:hAnsi="Arial" w:cs="Arial"/>
        </w:rPr>
        <w:t xml:space="preserve"> </w:t>
      </w:r>
      <w:r w:rsidRPr="00CD59CC">
        <w:rPr>
          <w:rFonts w:ascii="Arial" w:hAnsi="Arial" w:cs="Arial"/>
        </w:rPr>
        <w:t>defines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target</w:t>
      </w:r>
      <w:r w:rsidR="007B7640" w:rsidRPr="00CD59CC">
        <w:rPr>
          <w:rFonts w:ascii="Arial" w:hAnsi="Arial" w:cs="Arial"/>
        </w:rPr>
        <w:t xml:space="preserve"> </w:t>
      </w:r>
      <w:r w:rsidRPr="00CD59CC">
        <w:rPr>
          <w:rFonts w:ascii="Arial" w:hAnsi="Arial" w:cs="Arial"/>
        </w:rPr>
        <w:t>areas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where</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required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creation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opportunities.</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care;</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training;</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accommodation;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culture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sports.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example,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prescribes</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13)</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advantageous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development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capabilities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keeping</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opinion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rehabilitation</w:t>
      </w:r>
      <w:r w:rsidR="007B7640" w:rsidRPr="00CD59CC">
        <w:rPr>
          <w:rFonts w:ascii="Arial" w:hAnsi="Arial" w:cs="Arial"/>
        </w:rPr>
        <w:t xml:space="preserve"> </w:t>
      </w:r>
      <w:r w:rsidRPr="00CD59CC">
        <w:rPr>
          <w:rFonts w:ascii="Arial" w:hAnsi="Arial" w:cs="Arial"/>
        </w:rPr>
        <w:t>committee</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up</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purpose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take</w:t>
      </w:r>
      <w:r w:rsidR="007B7640" w:rsidRPr="00CD59CC">
        <w:rPr>
          <w:rFonts w:ascii="Arial" w:hAnsi="Arial" w:cs="Arial"/>
        </w:rPr>
        <w:t xml:space="preserve"> </w:t>
      </w:r>
      <w:r w:rsidRPr="00CD59CC">
        <w:rPr>
          <w:rFonts w:ascii="Arial" w:hAnsi="Arial" w:cs="Arial"/>
        </w:rPr>
        <w:t>part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kindergarten</w:t>
      </w:r>
      <w:r w:rsidR="007B7640" w:rsidRPr="00CD59CC">
        <w:rPr>
          <w:rFonts w:ascii="Arial" w:hAnsi="Arial" w:cs="Arial"/>
        </w:rPr>
        <w:t xml:space="preserve"> </w:t>
      </w:r>
      <w:r w:rsidRPr="00CD59CC">
        <w:rPr>
          <w:rFonts w:ascii="Arial" w:hAnsi="Arial" w:cs="Arial"/>
        </w:rPr>
        <w:t>training</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school</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integrated</w:t>
      </w:r>
      <w:r w:rsidR="007B7640" w:rsidRPr="00CD59CC">
        <w:rPr>
          <w:rFonts w:ascii="Arial" w:hAnsi="Arial" w:cs="Arial"/>
        </w:rPr>
        <w:t xml:space="preserve"> </w:t>
      </w:r>
      <w:r w:rsidRPr="00CD59CC">
        <w:rPr>
          <w:rFonts w:ascii="Arial" w:hAnsi="Arial" w:cs="Arial"/>
        </w:rPr>
        <w:t>manner,</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together</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same</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school</w:t>
      </w:r>
      <w:r w:rsidR="007B7640" w:rsidRPr="00CD59CC">
        <w:rPr>
          <w:rFonts w:ascii="Arial" w:hAnsi="Arial" w:cs="Arial"/>
        </w:rPr>
        <w:t xml:space="preserve"> </w:t>
      </w:r>
      <w:r w:rsidRPr="00CD59CC">
        <w:rPr>
          <w:rFonts w:ascii="Arial" w:hAnsi="Arial" w:cs="Arial"/>
        </w:rPr>
        <w:t>class.</w:t>
      </w:r>
      <w:r w:rsidR="007B7640" w:rsidRPr="00CD59CC">
        <w:rPr>
          <w:rFonts w:ascii="Arial" w:hAnsi="Arial" w:cs="Arial"/>
        </w:rPr>
        <w:t xml:space="preserve"> </w:t>
      </w:r>
    </w:p>
    <w:p w14:paraId="34AE63B8" w14:textId="77777777" w:rsidR="00A40788" w:rsidRPr="00CD59CC" w:rsidRDefault="00A40788" w:rsidP="00CD59CC">
      <w:pPr>
        <w:rPr>
          <w:rFonts w:ascii="Arial" w:hAnsi="Arial" w:cs="Arial"/>
        </w:rPr>
      </w:pPr>
    </w:p>
    <w:p w14:paraId="21345320" w14:textId="77777777" w:rsidR="00A40788" w:rsidRPr="00CD59CC" w:rsidRDefault="00A40788"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relating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described</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(Here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mentioned</w:t>
      </w:r>
      <w:r w:rsidR="007B7640" w:rsidRPr="00CD59CC">
        <w:rPr>
          <w:rFonts w:ascii="Arial" w:hAnsi="Arial" w:cs="Arial"/>
        </w:rPr>
        <w:t xml:space="preserve"> </w:t>
      </w:r>
      <w:r w:rsidRPr="00CD59CC">
        <w:rPr>
          <w:rFonts w:ascii="Arial" w:hAnsi="Arial" w:cs="Arial"/>
        </w:rPr>
        <w:t>before</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language</w:t>
      </w:r>
      <w:r w:rsidR="007B7640" w:rsidRPr="00CD59CC">
        <w:rPr>
          <w:rFonts w:ascii="Arial" w:hAnsi="Arial" w:cs="Arial"/>
        </w:rPr>
        <w:t xml:space="preserve"> </w:t>
      </w:r>
      <w:r w:rsidRPr="00CD59CC">
        <w:rPr>
          <w:rFonts w:ascii="Arial" w:hAnsi="Arial" w:cs="Arial"/>
        </w:rPr>
        <w:t>gives</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softer</w:t>
      </w:r>
      <w:r w:rsidR="007B7640" w:rsidRPr="00CD59CC">
        <w:rPr>
          <w:rFonts w:ascii="Arial" w:hAnsi="Arial" w:cs="Arial"/>
        </w:rPr>
        <w:t xml:space="preserve"> </w:t>
      </w:r>
      <w:r w:rsidRPr="00CD59CC">
        <w:rPr>
          <w:rFonts w:ascii="Arial" w:hAnsi="Arial" w:cs="Arial"/>
        </w:rPr>
        <w:t>norms,</w:t>
      </w:r>
      <w:r w:rsidR="007B7640" w:rsidRPr="00CD59CC">
        <w:rPr>
          <w:rFonts w:ascii="Arial" w:hAnsi="Arial" w:cs="Arial"/>
        </w:rPr>
        <w:t xml:space="preserve"> </w:t>
      </w:r>
      <w:r w:rsidRPr="00CD59CC">
        <w:rPr>
          <w:rFonts w:ascii="Arial" w:hAnsi="Arial" w:cs="Arial"/>
        </w:rPr>
        <w:t>prescribing</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possible”.)</w:t>
      </w:r>
    </w:p>
    <w:p w14:paraId="6F65BED3" w14:textId="77777777" w:rsidR="00A40788" w:rsidRPr="00CD59CC" w:rsidRDefault="00A40788" w:rsidP="00CD59CC">
      <w:pPr>
        <w:rPr>
          <w:rFonts w:ascii="Arial" w:hAnsi="Arial" w:cs="Arial"/>
        </w:rPr>
      </w:pPr>
    </w:p>
    <w:p w14:paraId="2D569A71" w14:textId="77777777" w:rsidR="00A40788" w:rsidRPr="00CD59CC" w:rsidRDefault="00A40788" w:rsidP="00CD59CC">
      <w:pPr>
        <w:rPr>
          <w:rFonts w:ascii="Arial" w:hAnsi="Arial" w:cs="Arial"/>
        </w:rPr>
      </w:pP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culture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sports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prescribes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made</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visit</w:t>
      </w:r>
      <w:r w:rsidR="007B7640" w:rsidRPr="00CD59CC">
        <w:rPr>
          <w:rFonts w:ascii="Arial" w:hAnsi="Arial" w:cs="Arial"/>
        </w:rPr>
        <w:t xml:space="preserve"> </w:t>
      </w:r>
      <w:r w:rsidRPr="00CD59CC">
        <w:rPr>
          <w:rFonts w:ascii="Arial" w:hAnsi="Arial" w:cs="Arial"/>
        </w:rPr>
        <w:t>educational,</w:t>
      </w:r>
      <w:r w:rsidR="007B7640" w:rsidRPr="00CD59CC">
        <w:rPr>
          <w:rFonts w:ascii="Arial" w:hAnsi="Arial" w:cs="Arial"/>
        </w:rPr>
        <w:t xml:space="preserve"> </w:t>
      </w:r>
      <w:r w:rsidRPr="00CD59CC">
        <w:rPr>
          <w:rFonts w:ascii="Arial" w:hAnsi="Arial" w:cs="Arial"/>
        </w:rPr>
        <w:t>cultural,</w:t>
      </w:r>
      <w:r w:rsidR="007B7640" w:rsidRPr="00CD59CC">
        <w:rPr>
          <w:rFonts w:ascii="Arial" w:hAnsi="Arial" w:cs="Arial"/>
        </w:rPr>
        <w:t xml:space="preserve"> </w:t>
      </w:r>
      <w:r w:rsidRPr="00CD59CC">
        <w:rPr>
          <w:rFonts w:ascii="Arial" w:hAnsi="Arial" w:cs="Arial"/>
        </w:rPr>
        <w:t>sports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community</w:t>
      </w:r>
      <w:r w:rsidR="007B7640" w:rsidRPr="00CD59CC">
        <w:rPr>
          <w:rFonts w:ascii="Arial" w:hAnsi="Arial" w:cs="Arial"/>
        </w:rPr>
        <w:t xml:space="preserve"> </w:t>
      </w:r>
      <w:r w:rsidRPr="00CD59CC">
        <w:rPr>
          <w:rFonts w:ascii="Arial" w:hAnsi="Arial" w:cs="Arial"/>
        </w:rPr>
        <w:t>facilities.</w:t>
      </w:r>
      <w:r w:rsidR="007B7640" w:rsidRPr="00CD59CC">
        <w:rPr>
          <w:rFonts w:ascii="Arial" w:hAnsi="Arial" w:cs="Arial"/>
        </w:rPr>
        <w:t xml:space="preserve"> </w:t>
      </w:r>
    </w:p>
    <w:p w14:paraId="6E6FA934" w14:textId="77777777" w:rsidR="00A40788" w:rsidRPr="00CD59CC" w:rsidRDefault="00A40788" w:rsidP="00CD59CC">
      <w:pPr>
        <w:rPr>
          <w:rFonts w:ascii="Arial" w:hAnsi="Arial" w:cs="Arial"/>
        </w:rPr>
      </w:pPr>
    </w:p>
    <w:p w14:paraId="4CBB2D05" w14:textId="77777777" w:rsidR="00A40788" w:rsidRPr="00CD59CC" w:rsidRDefault="00A40788" w:rsidP="00CD59CC">
      <w:pPr>
        <w:rPr>
          <w:rFonts w:ascii="Arial" w:hAnsi="Arial" w:cs="Arial"/>
        </w:rPr>
      </w:pPr>
      <w:r w:rsidRPr="00CD59CC">
        <w:rPr>
          <w:rFonts w:ascii="Arial" w:hAnsi="Arial" w:cs="Arial"/>
          <w:b/>
        </w:rPr>
        <w:t>Chapter</w:t>
      </w:r>
      <w:r w:rsidR="007B7640" w:rsidRPr="00CD59CC">
        <w:rPr>
          <w:rFonts w:ascii="Arial" w:hAnsi="Arial" w:cs="Arial"/>
          <w:b/>
        </w:rPr>
        <w:t xml:space="preserve"> </w:t>
      </w:r>
      <w:r w:rsidRPr="00CD59CC">
        <w:rPr>
          <w:rFonts w:ascii="Arial" w:hAnsi="Arial" w:cs="Arial"/>
          <w:b/>
        </w:rPr>
        <w:t>IV</w:t>
      </w:r>
      <w:r w:rsidR="007B7640" w:rsidRPr="00CD59CC">
        <w:rPr>
          <w:rFonts w:ascii="Arial" w:hAnsi="Arial" w:cs="Arial"/>
        </w:rPr>
        <w:t xml:space="preserve"> </w:t>
      </w:r>
      <w:r w:rsidRPr="00CD59CC">
        <w:rPr>
          <w:rFonts w:ascii="Arial" w:hAnsi="Arial" w:cs="Arial"/>
        </w:rPr>
        <w:t>deals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issue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rehabilitation.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19</w:t>
      </w:r>
      <w:r w:rsidR="007B7640" w:rsidRPr="00CD59CC">
        <w:rPr>
          <w:rFonts w:ascii="Arial" w:hAnsi="Arial" w:cs="Arial"/>
        </w:rPr>
        <w:t xml:space="preserve"> </w:t>
      </w:r>
      <w:r w:rsidRPr="00CD59CC">
        <w:rPr>
          <w:rFonts w:ascii="Arial" w:hAnsi="Arial" w:cs="Arial"/>
        </w:rPr>
        <w:t>states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rehabilitation.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exercise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ensured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rehabilitation</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care.</w:t>
      </w:r>
      <w:r w:rsidR="007B7640" w:rsidRPr="00CD59CC">
        <w:rPr>
          <w:rFonts w:ascii="Arial" w:hAnsi="Arial" w:cs="Arial"/>
        </w:rPr>
        <w:t xml:space="preserve"> </w:t>
      </w:r>
    </w:p>
    <w:p w14:paraId="43BAFFD8" w14:textId="77777777" w:rsidR="00A40788" w:rsidRPr="00CD59CC" w:rsidRDefault="00A40788" w:rsidP="00CD59CC">
      <w:pPr>
        <w:rPr>
          <w:rFonts w:ascii="Arial" w:hAnsi="Arial" w:cs="Arial"/>
        </w:rPr>
      </w:pPr>
    </w:p>
    <w:p w14:paraId="77F5D1F0" w14:textId="32221995" w:rsidR="00A40788" w:rsidRPr="00CD59CC" w:rsidRDefault="00A40788"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order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provide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government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oblig</w:t>
      </w:r>
      <w:r w:rsidR="005F40F7" w:rsidRPr="00CD59CC">
        <w:rPr>
          <w:rFonts w:ascii="Arial" w:hAnsi="Arial" w:cs="Arial"/>
        </w:rPr>
        <w:t>ed</w:t>
      </w:r>
      <w:r w:rsidR="007B7640" w:rsidRPr="00CD59CC">
        <w:rPr>
          <w:rFonts w:ascii="Arial" w:hAnsi="Arial" w:cs="Arial"/>
        </w:rPr>
        <w:t xml:space="preserve"> </w:t>
      </w:r>
      <w:r w:rsidR="005F40F7" w:rsidRPr="00CD59CC">
        <w:rPr>
          <w:rFonts w:ascii="Arial" w:hAnsi="Arial" w:cs="Arial"/>
        </w:rPr>
        <w:t>under</w:t>
      </w:r>
      <w:r w:rsidR="007B7640" w:rsidRPr="00CD59CC">
        <w:rPr>
          <w:rFonts w:ascii="Arial" w:hAnsi="Arial" w:cs="Arial"/>
        </w:rPr>
        <w:t xml:space="preserve"> </w:t>
      </w:r>
      <w:r w:rsidR="005F40F7" w:rsidRPr="00CD59CC">
        <w:rPr>
          <w:rFonts w:ascii="Arial" w:hAnsi="Arial" w:cs="Arial"/>
        </w:rPr>
        <w:t>Article</w:t>
      </w:r>
      <w:r w:rsidR="007B7640" w:rsidRPr="00CD59CC">
        <w:rPr>
          <w:rFonts w:ascii="Arial" w:hAnsi="Arial" w:cs="Arial"/>
        </w:rPr>
        <w:t xml:space="preserve"> </w:t>
      </w:r>
      <w:r w:rsidR="005F40F7" w:rsidRPr="00CD59CC">
        <w:rPr>
          <w:rFonts w:ascii="Arial" w:hAnsi="Arial" w:cs="Arial"/>
        </w:rPr>
        <w:t>20</w:t>
      </w:r>
      <w:r w:rsidR="007B7640" w:rsidRPr="00CD59CC">
        <w:rPr>
          <w:rFonts w:ascii="Arial" w:hAnsi="Arial" w:cs="Arial"/>
        </w:rPr>
        <w:t xml:space="preserve"> </w:t>
      </w:r>
      <w:r w:rsidR="005F40F7" w:rsidRPr="00CD59CC">
        <w:rPr>
          <w:rFonts w:ascii="Arial" w:hAnsi="Arial" w:cs="Arial"/>
        </w:rPr>
        <w:t>to</w:t>
      </w:r>
      <w:r w:rsidR="007B7640" w:rsidRPr="00CD59CC">
        <w:rPr>
          <w:rFonts w:ascii="Arial" w:hAnsi="Arial" w:cs="Arial"/>
        </w:rPr>
        <w:t xml:space="preserve"> </w:t>
      </w:r>
      <w:r w:rsidR="005F40F7" w:rsidRPr="00CD59CC">
        <w:rPr>
          <w:rFonts w:ascii="Arial" w:hAnsi="Arial" w:cs="Arial"/>
        </w:rPr>
        <w:t>set</w:t>
      </w:r>
      <w:r w:rsidR="007B7640" w:rsidRPr="00CD59CC">
        <w:rPr>
          <w:rFonts w:ascii="Arial" w:hAnsi="Arial" w:cs="Arial"/>
        </w:rPr>
        <w:t xml:space="preserve"> </w:t>
      </w:r>
      <w:r w:rsidR="005F40F7" w:rsidRPr="00CD59CC">
        <w:rPr>
          <w:rFonts w:ascii="Arial" w:hAnsi="Arial" w:cs="Arial"/>
        </w:rPr>
        <w:t>up</w:t>
      </w:r>
      <w:r w:rsidR="007B7640" w:rsidRPr="00CD59CC">
        <w:rPr>
          <w:rFonts w:ascii="Arial" w:hAnsi="Arial" w:cs="Arial"/>
        </w:rPr>
        <w:t xml:space="preserve"> </w:t>
      </w:r>
      <w:r w:rsidR="005F40F7" w:rsidRPr="00CD59CC">
        <w:rPr>
          <w:rFonts w:ascii="Arial" w:hAnsi="Arial" w:cs="Arial"/>
        </w:rPr>
        <w:t>an</w:t>
      </w:r>
      <w:r w:rsidR="007B7640" w:rsidRPr="00CD59CC">
        <w:rPr>
          <w:rFonts w:ascii="Arial" w:hAnsi="Arial" w:cs="Arial"/>
        </w:rPr>
        <w:t xml:space="preserve"> </w:t>
      </w:r>
      <w:r w:rsidR="005F40F7" w:rsidRPr="00CD59CC">
        <w:rPr>
          <w:rFonts w:ascii="Arial" w:hAnsi="Arial" w:cs="Arial"/>
        </w:rPr>
        <w:t>organization</w:t>
      </w:r>
      <w:r w:rsidR="007B7640" w:rsidRPr="00CD59CC">
        <w:rPr>
          <w:rFonts w:ascii="Arial" w:hAnsi="Arial" w:cs="Arial"/>
        </w:rPr>
        <w:t xml:space="preserve"> </w:t>
      </w:r>
      <w:r w:rsidRPr="00CD59CC">
        <w:rPr>
          <w:rFonts w:ascii="Arial" w:hAnsi="Arial" w:cs="Arial"/>
        </w:rPr>
        <w:t>vested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tasks</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21).</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tasks</w:t>
      </w:r>
      <w:r w:rsidR="007B7640" w:rsidRPr="00CD59CC">
        <w:rPr>
          <w:rFonts w:ascii="Arial" w:hAnsi="Arial" w:cs="Arial"/>
        </w:rPr>
        <w:t xml:space="preserve"> </w:t>
      </w:r>
      <w:r w:rsidRPr="00CD59CC">
        <w:rPr>
          <w:rFonts w:ascii="Arial" w:hAnsi="Arial" w:cs="Arial"/>
        </w:rPr>
        <w:t>include</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others:</w:t>
      </w:r>
      <w:r w:rsidR="007B7640" w:rsidRPr="00CD59CC">
        <w:rPr>
          <w:rFonts w:ascii="Arial" w:hAnsi="Arial" w:cs="Arial"/>
        </w:rPr>
        <w:t xml:space="preserve"> </w:t>
      </w:r>
    </w:p>
    <w:p w14:paraId="2C83E78A" w14:textId="77777777" w:rsidR="00A40788" w:rsidRPr="00CD59CC" w:rsidRDefault="00A40788" w:rsidP="00CD59CC">
      <w:pPr>
        <w:rPr>
          <w:rFonts w:ascii="Arial" w:hAnsi="Arial" w:cs="Arial"/>
        </w:rPr>
      </w:pPr>
    </w:p>
    <w:p w14:paraId="5B565CA4" w14:textId="613C412B" w:rsidR="00A40788" w:rsidRPr="00CD59CC" w:rsidRDefault="00A40788" w:rsidP="00E34CF1">
      <w:pPr>
        <w:numPr>
          <w:ilvl w:val="0"/>
          <w:numId w:val="50"/>
        </w:numPr>
        <w:suppressAutoHyphens/>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organisation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benefits</w:t>
      </w:r>
      <w:r w:rsidR="007B7640" w:rsidRPr="00CD59CC">
        <w:rPr>
          <w:rFonts w:ascii="Arial" w:hAnsi="Arial" w:cs="Arial"/>
        </w:rPr>
        <w:t xml:space="preserve"> </w:t>
      </w:r>
      <w:r w:rsidRPr="00CD59CC">
        <w:rPr>
          <w:rFonts w:ascii="Arial" w:hAnsi="Arial" w:cs="Arial"/>
        </w:rPr>
        <w:t>specified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rehabilitation</w:t>
      </w:r>
      <w:r w:rsidR="007B7640" w:rsidRPr="00CD59CC">
        <w:rPr>
          <w:rFonts w:ascii="Arial" w:hAnsi="Arial" w:cs="Arial"/>
        </w:rPr>
        <w:t xml:space="preserve"> </w:t>
      </w:r>
      <w:r w:rsidRPr="00CD59CC">
        <w:rPr>
          <w:rFonts w:ascii="Arial" w:hAnsi="Arial" w:cs="Arial"/>
        </w:rPr>
        <w:t>program</w:t>
      </w:r>
      <w:r w:rsidR="007B7640" w:rsidRPr="00CD59CC">
        <w:rPr>
          <w:rFonts w:ascii="Arial" w:hAnsi="Arial" w:cs="Arial"/>
        </w:rPr>
        <w:t>me</w:t>
      </w:r>
      <w:r w:rsidRPr="00CD59CC">
        <w:rPr>
          <w:rFonts w:ascii="Arial" w:hAnsi="Arial" w:cs="Arial"/>
        </w:rPr>
        <w:t>;</w:t>
      </w:r>
      <w:r w:rsidR="007B7640" w:rsidRPr="00CD59CC">
        <w:rPr>
          <w:rFonts w:ascii="Arial" w:hAnsi="Arial" w:cs="Arial"/>
        </w:rPr>
        <w:t xml:space="preserve">  </w:t>
      </w:r>
    </w:p>
    <w:p w14:paraId="1B2CF2AC" w14:textId="77777777" w:rsidR="00A40788" w:rsidRPr="00CD59CC" w:rsidRDefault="00A40788" w:rsidP="00E34CF1">
      <w:pPr>
        <w:numPr>
          <w:ilvl w:val="0"/>
          <w:numId w:val="50"/>
        </w:numPr>
        <w:suppressAutoHyphens/>
        <w:rPr>
          <w:rFonts w:ascii="Arial" w:hAnsi="Arial" w:cs="Arial"/>
        </w:rPr>
      </w:pPr>
      <w:r w:rsidRPr="00CD59CC">
        <w:rPr>
          <w:rFonts w:ascii="Arial" w:hAnsi="Arial" w:cs="Arial"/>
        </w:rPr>
        <w:t>co-operation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organisations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taking</w:t>
      </w:r>
      <w:r w:rsidR="007B7640" w:rsidRPr="00CD59CC">
        <w:rPr>
          <w:rFonts w:ascii="Arial" w:hAnsi="Arial" w:cs="Arial"/>
        </w:rPr>
        <w:t xml:space="preserve"> </w:t>
      </w:r>
      <w:r w:rsidRPr="00CD59CC">
        <w:rPr>
          <w:rFonts w:ascii="Arial" w:hAnsi="Arial" w:cs="Arial"/>
        </w:rPr>
        <w:t>part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process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rehabilitation,</w:t>
      </w:r>
      <w:r w:rsidR="007B7640" w:rsidRPr="00CD59CC">
        <w:rPr>
          <w:rFonts w:ascii="Arial" w:hAnsi="Arial" w:cs="Arial"/>
        </w:rPr>
        <w:t xml:space="preserve"> </w:t>
      </w:r>
      <w:r w:rsidRPr="00CD59CC">
        <w:rPr>
          <w:rFonts w:ascii="Arial" w:hAnsi="Arial" w:cs="Arial"/>
        </w:rPr>
        <w:t>monitoring</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rehabilitation</w:t>
      </w:r>
      <w:r w:rsidR="007B7640" w:rsidRPr="00CD59CC">
        <w:rPr>
          <w:rFonts w:ascii="Arial" w:hAnsi="Arial" w:cs="Arial"/>
        </w:rPr>
        <w:t xml:space="preserve"> </w:t>
      </w:r>
      <w:r w:rsidRPr="00CD59CC">
        <w:rPr>
          <w:rFonts w:ascii="Arial" w:hAnsi="Arial" w:cs="Arial"/>
        </w:rPr>
        <w:t>activities;</w:t>
      </w:r>
      <w:r w:rsidR="007B7640" w:rsidRPr="00CD59CC">
        <w:rPr>
          <w:rFonts w:ascii="Arial" w:hAnsi="Arial" w:cs="Arial"/>
        </w:rPr>
        <w:t xml:space="preserve">  </w:t>
      </w:r>
    </w:p>
    <w:p w14:paraId="266663F6" w14:textId="77777777" w:rsidR="00A40788" w:rsidRPr="00CD59CC" w:rsidRDefault="00A40788" w:rsidP="00E34CF1">
      <w:pPr>
        <w:numPr>
          <w:ilvl w:val="0"/>
          <w:numId w:val="50"/>
        </w:numPr>
        <w:suppressAutoHyphens/>
        <w:rPr>
          <w:rFonts w:ascii="Arial" w:hAnsi="Arial" w:cs="Arial"/>
        </w:rPr>
      </w:pPr>
      <w:r w:rsidRPr="00CD59CC">
        <w:rPr>
          <w:rFonts w:ascii="Arial" w:hAnsi="Arial" w:cs="Arial"/>
        </w:rPr>
        <w:t>elaboration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guidelines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development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aids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supply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aids;</w:t>
      </w:r>
      <w:r w:rsidR="007B7640" w:rsidRPr="00CD59CC">
        <w:rPr>
          <w:rFonts w:ascii="Arial" w:hAnsi="Arial" w:cs="Arial"/>
        </w:rPr>
        <w:t xml:space="preserve">  </w:t>
      </w:r>
    </w:p>
    <w:p w14:paraId="4115A60A" w14:textId="77777777" w:rsidR="00A40788" w:rsidRPr="00CD59CC" w:rsidRDefault="00A40788" w:rsidP="00E34CF1">
      <w:pPr>
        <w:numPr>
          <w:ilvl w:val="0"/>
          <w:numId w:val="50"/>
        </w:numPr>
        <w:suppressAutoHyphens/>
        <w:rPr>
          <w:rFonts w:ascii="Arial" w:hAnsi="Arial" w:cs="Arial"/>
        </w:rPr>
      </w:pPr>
      <w:r w:rsidRPr="00CD59CC">
        <w:rPr>
          <w:rFonts w:ascii="Arial" w:hAnsi="Arial" w:cs="Arial"/>
        </w:rPr>
        <w:t>elaboration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professional-methodological</w:t>
      </w:r>
      <w:r w:rsidR="007B7640" w:rsidRPr="00CD59CC">
        <w:rPr>
          <w:rFonts w:ascii="Arial" w:hAnsi="Arial" w:cs="Arial"/>
        </w:rPr>
        <w:t xml:space="preserve"> </w:t>
      </w:r>
      <w:r w:rsidRPr="00CD59CC">
        <w:rPr>
          <w:rFonts w:ascii="Arial" w:hAnsi="Arial" w:cs="Arial"/>
        </w:rPr>
        <w:t>recommendations</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experiences</w:t>
      </w:r>
      <w:r w:rsidR="007B7640" w:rsidRPr="00CD59CC">
        <w:rPr>
          <w:rFonts w:ascii="Arial" w:hAnsi="Arial" w:cs="Arial"/>
        </w:rPr>
        <w:t xml:space="preserve"> </w:t>
      </w:r>
      <w:r w:rsidRPr="00CD59CC">
        <w:rPr>
          <w:rFonts w:ascii="Arial" w:hAnsi="Arial" w:cs="Arial"/>
        </w:rPr>
        <w:t>gained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rehabilitation</w:t>
      </w:r>
      <w:r w:rsidR="007B7640" w:rsidRPr="00CD59CC">
        <w:rPr>
          <w:rFonts w:ascii="Arial" w:hAnsi="Arial" w:cs="Arial"/>
        </w:rPr>
        <w:t xml:space="preserve"> </w:t>
      </w:r>
      <w:r w:rsidRPr="00CD59CC">
        <w:rPr>
          <w:rFonts w:ascii="Arial" w:hAnsi="Arial" w:cs="Arial"/>
        </w:rPr>
        <w:t>process.</w:t>
      </w:r>
    </w:p>
    <w:p w14:paraId="768FA705" w14:textId="77777777" w:rsidR="00A40788" w:rsidRPr="00CD59CC" w:rsidRDefault="00A40788" w:rsidP="00CD59CC">
      <w:pPr>
        <w:rPr>
          <w:rFonts w:ascii="Arial" w:hAnsi="Arial" w:cs="Arial"/>
        </w:rPr>
      </w:pPr>
    </w:p>
    <w:p w14:paraId="00075F69" w14:textId="53ECC594" w:rsidR="00A40788" w:rsidRPr="00CD59CC" w:rsidRDefault="00A40788" w:rsidP="00CD59CC">
      <w:pPr>
        <w:rPr>
          <w:rFonts w:ascii="Arial" w:hAnsi="Arial" w:cs="Arial"/>
        </w:rPr>
      </w:pPr>
      <w:r w:rsidRPr="00CD59CC">
        <w:rPr>
          <w:rFonts w:ascii="Arial" w:hAnsi="Arial" w:cs="Arial"/>
          <w:b/>
        </w:rPr>
        <w:t>Chapter</w:t>
      </w:r>
      <w:r w:rsidR="007B7640" w:rsidRPr="00CD59CC">
        <w:rPr>
          <w:rFonts w:ascii="Arial" w:hAnsi="Arial" w:cs="Arial"/>
          <w:b/>
        </w:rPr>
        <w:t xml:space="preserve"> </w:t>
      </w:r>
      <w:r w:rsidRPr="00CD59CC">
        <w:rPr>
          <w:rFonts w:ascii="Arial" w:hAnsi="Arial" w:cs="Arial"/>
          <w:b/>
        </w:rPr>
        <w:t>V</w:t>
      </w:r>
      <w:r w:rsidR="007B7640" w:rsidRPr="00CD59CC">
        <w:rPr>
          <w:rFonts w:ascii="Arial" w:hAnsi="Arial" w:cs="Arial"/>
        </w:rPr>
        <w:t xml:space="preserve"> </w:t>
      </w:r>
      <w:r w:rsidRPr="00CD59CC">
        <w:rPr>
          <w:rFonts w:ascii="Arial" w:hAnsi="Arial" w:cs="Arial"/>
        </w:rPr>
        <w:t>regulates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rules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so-called</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allowance”: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outlined</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1.1.1,</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22</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sets</w:t>
      </w:r>
      <w:r w:rsidR="007B7640" w:rsidRPr="00CD59CC">
        <w:rPr>
          <w:rFonts w:ascii="Arial" w:hAnsi="Arial" w:cs="Arial"/>
        </w:rPr>
        <w:t xml:space="preserve"> </w:t>
      </w:r>
      <w:r w:rsidRPr="00CD59CC">
        <w:rPr>
          <w:rFonts w:ascii="Arial" w:hAnsi="Arial" w:cs="Arial"/>
        </w:rPr>
        <w:t>forth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rules</w:t>
      </w:r>
      <w:r w:rsidR="007B7640" w:rsidRPr="00CD59CC">
        <w:rPr>
          <w:rFonts w:ascii="Arial" w:hAnsi="Arial" w:cs="Arial"/>
        </w:rPr>
        <w:t xml:space="preserve"> </w:t>
      </w:r>
      <w:r w:rsidRPr="00CD59CC">
        <w:rPr>
          <w:rFonts w:ascii="Arial" w:hAnsi="Arial" w:cs="Arial"/>
        </w:rPr>
        <w:t>pertaining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disab</w:t>
      </w:r>
      <w:r w:rsidR="005F40F7" w:rsidRPr="00CD59CC">
        <w:rPr>
          <w:rFonts w:ascii="Arial" w:hAnsi="Arial" w:cs="Arial"/>
        </w:rPr>
        <w:t>ility</w:t>
      </w:r>
      <w:r w:rsidR="007B7640" w:rsidRPr="00CD59CC">
        <w:rPr>
          <w:rFonts w:ascii="Arial" w:hAnsi="Arial" w:cs="Arial"/>
        </w:rPr>
        <w:t xml:space="preserve"> </w:t>
      </w:r>
      <w:r w:rsidRPr="00CD59CC">
        <w:rPr>
          <w:rFonts w:ascii="Arial" w:hAnsi="Arial" w:cs="Arial"/>
        </w:rPr>
        <w:t>allowance.</w:t>
      </w:r>
      <w:r w:rsidR="007B7640" w:rsidRPr="00CD59CC">
        <w:rPr>
          <w:rFonts w:ascii="Arial" w:hAnsi="Arial" w:cs="Arial"/>
        </w:rPr>
        <w:t xml:space="preserve"> </w:t>
      </w:r>
      <w:r w:rsidRPr="00CD59CC">
        <w:rPr>
          <w:rFonts w:ascii="Arial" w:hAnsi="Arial" w:cs="Arial"/>
        </w:rPr>
        <w:t>Disab</w:t>
      </w:r>
      <w:r w:rsidR="005F40F7" w:rsidRPr="00CD59CC">
        <w:rPr>
          <w:rFonts w:ascii="Arial" w:hAnsi="Arial" w:cs="Arial"/>
        </w:rPr>
        <w:t>ility</w:t>
      </w:r>
      <w:r w:rsidR="007B7640" w:rsidRPr="00CD59CC">
        <w:rPr>
          <w:rFonts w:ascii="Arial" w:hAnsi="Arial" w:cs="Arial"/>
        </w:rPr>
        <w:t xml:space="preserve"> </w:t>
      </w:r>
      <w:r w:rsidRPr="00CD59CC">
        <w:rPr>
          <w:rFonts w:ascii="Arial" w:hAnsi="Arial" w:cs="Arial"/>
        </w:rPr>
        <w:t>allowance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monthly</w:t>
      </w:r>
      <w:r w:rsidR="007B7640" w:rsidRPr="00CD59CC">
        <w:rPr>
          <w:rFonts w:ascii="Arial" w:hAnsi="Arial" w:cs="Arial"/>
        </w:rPr>
        <w:t xml:space="preserve"> </w:t>
      </w:r>
      <w:r w:rsidRPr="00CD59CC">
        <w:rPr>
          <w:rFonts w:ascii="Arial" w:hAnsi="Arial" w:cs="Arial"/>
        </w:rPr>
        <w:t>payment</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maintain</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opportunities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005F40F7" w:rsidRPr="00CD59CC">
        <w:rPr>
          <w:rFonts w:ascii="Arial" w:hAnsi="Arial" w:cs="Arial"/>
        </w:rPr>
        <w:t>with</w:t>
      </w:r>
      <w:r w:rsidR="007B7640" w:rsidRPr="00CD59CC">
        <w:rPr>
          <w:rFonts w:ascii="Arial" w:hAnsi="Arial" w:cs="Arial"/>
        </w:rPr>
        <w:t xml:space="preserve"> </w:t>
      </w:r>
      <w:r w:rsidR="005F40F7" w:rsidRPr="00CD59CC">
        <w:rPr>
          <w:rFonts w:ascii="Arial" w:hAnsi="Arial" w:cs="Arial"/>
        </w:rPr>
        <w:t>severe</w:t>
      </w:r>
      <w:r w:rsidR="007B7640" w:rsidRPr="00CD59CC">
        <w:rPr>
          <w:rFonts w:ascii="Arial" w:hAnsi="Arial" w:cs="Arial"/>
        </w:rPr>
        <w:t xml:space="preserve"> </w:t>
      </w:r>
      <w:r w:rsidR="005F40F7" w:rsidRPr="00CD59CC">
        <w:rPr>
          <w:rFonts w:ascii="Arial" w:hAnsi="Arial" w:cs="Arial"/>
        </w:rPr>
        <w:t>disabilities</w:t>
      </w:r>
      <w:r w:rsidRPr="00CD59CC">
        <w:rPr>
          <w:rFonts w:ascii="Arial" w:hAnsi="Arial" w:cs="Arial"/>
        </w:rPr>
        <w:t>.</w:t>
      </w:r>
      <w:r w:rsidR="007B7640" w:rsidRPr="00CD59CC">
        <w:rPr>
          <w:rFonts w:ascii="Arial" w:hAnsi="Arial" w:cs="Arial"/>
        </w:rPr>
        <w:t xml:space="preserve"> </w:t>
      </w:r>
    </w:p>
    <w:p w14:paraId="35E3E489" w14:textId="77777777" w:rsidR="00A40788" w:rsidRPr="00CD59CC" w:rsidRDefault="00A40788" w:rsidP="00CD59CC">
      <w:pPr>
        <w:rPr>
          <w:rFonts w:ascii="Arial" w:hAnsi="Arial" w:cs="Arial"/>
        </w:rPr>
      </w:pPr>
    </w:p>
    <w:p w14:paraId="02C327C1" w14:textId="77777777" w:rsidR="00A40788" w:rsidRPr="00CD59CC" w:rsidRDefault="00A40788" w:rsidP="00CD59CC">
      <w:pPr>
        <w:rPr>
          <w:rFonts w:ascii="Arial" w:hAnsi="Arial" w:cs="Arial"/>
        </w:rPr>
      </w:pPr>
      <w:r w:rsidRPr="00CD59CC">
        <w:rPr>
          <w:rFonts w:ascii="Arial" w:hAnsi="Arial" w:cs="Arial"/>
        </w:rPr>
        <w:lastRenderedPageBreak/>
        <w:t>The</w:t>
      </w:r>
      <w:r w:rsidR="007B7640" w:rsidRPr="00CD59CC">
        <w:rPr>
          <w:rFonts w:ascii="Arial" w:hAnsi="Arial" w:cs="Arial"/>
        </w:rPr>
        <w:t xml:space="preserve"> </w:t>
      </w:r>
      <w:r w:rsidRPr="00CD59CC">
        <w:rPr>
          <w:rFonts w:ascii="Arial" w:hAnsi="Arial" w:cs="Arial"/>
        </w:rPr>
        <w:t>aim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support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provide</w:t>
      </w:r>
      <w:r w:rsidR="007B7640" w:rsidRPr="00CD59CC">
        <w:rPr>
          <w:rFonts w:ascii="Arial" w:hAnsi="Arial" w:cs="Arial"/>
        </w:rPr>
        <w:t xml:space="preserve"> </w:t>
      </w:r>
      <w:r w:rsidRPr="00CD59CC">
        <w:rPr>
          <w:rFonts w:ascii="Arial" w:hAnsi="Arial" w:cs="Arial"/>
        </w:rPr>
        <w:t>financial</w:t>
      </w:r>
      <w:r w:rsidR="007B7640" w:rsidRPr="00CD59CC">
        <w:rPr>
          <w:rFonts w:ascii="Arial" w:hAnsi="Arial" w:cs="Arial"/>
        </w:rPr>
        <w:t xml:space="preserve"> </w:t>
      </w:r>
      <w:r w:rsidRPr="00CD59CC">
        <w:rPr>
          <w:rFonts w:ascii="Arial" w:hAnsi="Arial" w:cs="Arial"/>
        </w:rPr>
        <w:t>compensation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mitigate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disadvantages</w:t>
      </w:r>
      <w:r w:rsidR="007B7640" w:rsidRPr="00CD59CC">
        <w:rPr>
          <w:rFonts w:ascii="Arial" w:hAnsi="Arial" w:cs="Arial"/>
        </w:rPr>
        <w:t xml:space="preserve"> </w:t>
      </w:r>
      <w:r w:rsidRPr="00CD59CC">
        <w:rPr>
          <w:rFonts w:ascii="Arial" w:hAnsi="Arial" w:cs="Arial"/>
        </w:rPr>
        <w:t>resulting</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severely</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status,</w:t>
      </w:r>
      <w:r w:rsidR="007B7640" w:rsidRPr="00CD59CC">
        <w:rPr>
          <w:rFonts w:ascii="Arial" w:hAnsi="Arial" w:cs="Arial"/>
        </w:rPr>
        <w:t xml:space="preserve"> </w:t>
      </w:r>
      <w:r w:rsidRPr="00CD59CC">
        <w:rPr>
          <w:rFonts w:ascii="Arial" w:hAnsi="Arial" w:cs="Arial"/>
        </w:rPr>
        <w:t>irrespective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salary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severe</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“severely</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eligible.</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23</w:t>
      </w:r>
      <w:r w:rsidR="007B7640" w:rsidRPr="00CD59CC">
        <w:rPr>
          <w:rFonts w:ascii="Arial" w:hAnsi="Arial" w:cs="Arial"/>
        </w:rPr>
        <w:t xml:space="preserve"> </w:t>
      </w:r>
      <w:r w:rsidRPr="00CD59CC">
        <w:rPr>
          <w:rFonts w:ascii="Arial" w:hAnsi="Arial" w:cs="Arial"/>
        </w:rPr>
        <w:t>defines</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regarded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“severely</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eligible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support.</w:t>
      </w:r>
      <w:r w:rsidR="007B7640" w:rsidRPr="00CD59CC">
        <w:rPr>
          <w:rFonts w:ascii="Arial" w:hAnsi="Arial" w:cs="Arial"/>
        </w:rPr>
        <w:t xml:space="preserve"> </w:t>
      </w:r>
    </w:p>
    <w:p w14:paraId="13D8B8E9" w14:textId="77777777" w:rsidR="00A40788" w:rsidRPr="00CD59CC" w:rsidRDefault="00A40788" w:rsidP="00CD59CC">
      <w:pPr>
        <w:rPr>
          <w:rFonts w:ascii="Arial" w:hAnsi="Arial" w:cs="Arial"/>
        </w:rPr>
      </w:pPr>
    </w:p>
    <w:p w14:paraId="7C3A730C" w14:textId="665B335C" w:rsidR="00194342" w:rsidRPr="00CD59CC" w:rsidRDefault="00194342" w:rsidP="00CD59CC">
      <w:pPr>
        <w:rPr>
          <w:rFonts w:ascii="Arial" w:hAnsi="Arial" w:cs="Arial"/>
        </w:rPr>
      </w:pPr>
      <w:r w:rsidRPr="00CD59CC">
        <w:rPr>
          <w:rFonts w:ascii="Arial" w:hAnsi="Arial" w:cs="Arial"/>
        </w:rPr>
        <w:t>Until</w:t>
      </w:r>
      <w:r w:rsidR="007B7640" w:rsidRPr="00CD59CC">
        <w:rPr>
          <w:rFonts w:ascii="Arial" w:hAnsi="Arial" w:cs="Arial"/>
        </w:rPr>
        <w:t xml:space="preserve"> </w:t>
      </w:r>
      <w:r w:rsidRPr="00CD59CC">
        <w:rPr>
          <w:rFonts w:ascii="Arial" w:hAnsi="Arial" w:cs="Arial"/>
        </w:rPr>
        <w:t>30</w:t>
      </w:r>
      <w:r w:rsidR="007B7640" w:rsidRPr="00CD59CC">
        <w:rPr>
          <w:rFonts w:ascii="Arial" w:hAnsi="Arial" w:cs="Arial"/>
        </w:rPr>
        <w:t xml:space="preserve"> </w:t>
      </w:r>
      <w:r w:rsidRPr="00CD59CC">
        <w:rPr>
          <w:rFonts w:ascii="Arial" w:hAnsi="Arial" w:cs="Arial"/>
        </w:rPr>
        <w:t>September,</w:t>
      </w:r>
      <w:r w:rsidR="007B7640" w:rsidRPr="00CD59CC">
        <w:rPr>
          <w:rFonts w:ascii="Arial" w:hAnsi="Arial" w:cs="Arial"/>
          <w:b/>
        </w:rPr>
        <w:t xml:space="preserve"> </w:t>
      </w:r>
      <w:r w:rsidR="00A40788" w:rsidRPr="00CD59CC">
        <w:rPr>
          <w:rFonts w:ascii="Arial" w:hAnsi="Arial" w:cs="Arial"/>
          <w:b/>
        </w:rPr>
        <w:t>Chapter</w:t>
      </w:r>
      <w:r w:rsidR="007B7640" w:rsidRPr="00CD59CC">
        <w:rPr>
          <w:rFonts w:ascii="Arial" w:hAnsi="Arial" w:cs="Arial"/>
          <w:b/>
        </w:rPr>
        <w:t xml:space="preserve"> </w:t>
      </w:r>
      <w:r w:rsidR="00A40788" w:rsidRPr="00CD59CC">
        <w:rPr>
          <w:rFonts w:ascii="Arial" w:hAnsi="Arial" w:cs="Arial"/>
          <w:b/>
        </w:rPr>
        <w:t>VI</w:t>
      </w:r>
      <w:r w:rsidR="007B7640" w:rsidRPr="00CD59CC">
        <w:rPr>
          <w:rFonts w:ascii="Arial" w:hAnsi="Arial" w:cs="Arial"/>
          <w:b/>
        </w:rPr>
        <w:t xml:space="preserve"> </w:t>
      </w:r>
      <w:r w:rsidRPr="00CD59CC">
        <w:rPr>
          <w:rFonts w:ascii="Arial" w:hAnsi="Arial" w:cs="Arial"/>
        </w:rPr>
        <w:t>contained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rules</w:t>
      </w:r>
      <w:r w:rsidR="007B7640" w:rsidRPr="00CD59CC">
        <w:rPr>
          <w:rFonts w:ascii="Arial" w:hAnsi="Arial" w:cs="Arial"/>
        </w:rPr>
        <w:t xml:space="preserve"> </w:t>
      </w:r>
      <w:r w:rsidRPr="00CD59CC">
        <w:rPr>
          <w:rFonts w:ascii="Arial" w:hAnsi="Arial" w:cs="Arial"/>
        </w:rPr>
        <w:t>pertaining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00A40788" w:rsidRPr="00CD59CC">
        <w:rPr>
          <w:rFonts w:ascii="Arial" w:hAnsi="Arial" w:cs="Arial"/>
        </w:rPr>
        <w:t>the</w:t>
      </w:r>
      <w:r w:rsidR="007B7640" w:rsidRPr="00CD59CC">
        <w:rPr>
          <w:rFonts w:ascii="Arial" w:hAnsi="Arial" w:cs="Arial"/>
        </w:rPr>
        <w:t xml:space="preserve"> </w:t>
      </w:r>
      <w:r w:rsidR="00A40788" w:rsidRPr="00CD59CC">
        <w:rPr>
          <w:rFonts w:ascii="Arial" w:hAnsi="Arial" w:cs="Arial"/>
        </w:rPr>
        <w:t>National</w:t>
      </w:r>
      <w:r w:rsidR="007B7640" w:rsidRPr="00CD59CC">
        <w:rPr>
          <w:rFonts w:ascii="Arial" w:hAnsi="Arial" w:cs="Arial"/>
        </w:rPr>
        <w:t xml:space="preserve"> </w:t>
      </w:r>
      <w:r w:rsidR="00A40788" w:rsidRPr="00CD59CC">
        <w:rPr>
          <w:rFonts w:ascii="Arial" w:hAnsi="Arial" w:cs="Arial"/>
        </w:rPr>
        <w:t>Disability</w:t>
      </w:r>
      <w:r w:rsidR="007B7640" w:rsidRPr="00CD59CC">
        <w:rPr>
          <w:rFonts w:ascii="Arial" w:hAnsi="Arial" w:cs="Arial"/>
        </w:rPr>
        <w:t xml:space="preserve"> </w:t>
      </w:r>
      <w:r w:rsidR="00A40788" w:rsidRPr="00CD59CC">
        <w:rPr>
          <w:rFonts w:ascii="Arial" w:hAnsi="Arial" w:cs="Arial"/>
        </w:rPr>
        <w:t>Council</w:t>
      </w:r>
      <w:r w:rsidR="007B7640" w:rsidRPr="00CD59CC">
        <w:rPr>
          <w:rFonts w:ascii="Arial" w:hAnsi="Arial" w:cs="Arial"/>
        </w:rPr>
        <w:t xml:space="preserve"> </w:t>
      </w:r>
      <w:r w:rsidRPr="00CD59CC">
        <w:rPr>
          <w:rFonts w:ascii="Arial" w:hAnsi="Arial" w:cs="Arial"/>
        </w:rPr>
        <w:t>(NDC)</w:t>
      </w:r>
      <w:r w:rsidR="00A40788" w:rsidRPr="00CD59CC">
        <w:rPr>
          <w:rFonts w:ascii="Arial" w:hAnsi="Arial" w:cs="Arial"/>
        </w:rPr>
        <w:t>,</w:t>
      </w:r>
      <w:r w:rsidR="007B7640" w:rsidRPr="00CD59CC">
        <w:rPr>
          <w:rFonts w:ascii="Arial" w:hAnsi="Arial" w:cs="Arial"/>
        </w:rPr>
        <w:t xml:space="preserve"> </w:t>
      </w:r>
      <w:r w:rsidR="00A40788" w:rsidRPr="00CD59CC">
        <w:rPr>
          <w:rFonts w:ascii="Arial" w:hAnsi="Arial" w:cs="Arial"/>
        </w:rPr>
        <w:t>an</w:t>
      </w:r>
      <w:r w:rsidR="007B7640" w:rsidRPr="00CD59CC">
        <w:rPr>
          <w:rFonts w:ascii="Arial" w:hAnsi="Arial" w:cs="Arial"/>
        </w:rPr>
        <w:t xml:space="preserve"> </w:t>
      </w:r>
      <w:r w:rsidR="00A40788" w:rsidRPr="00CD59CC">
        <w:rPr>
          <w:rFonts w:ascii="Arial" w:hAnsi="Arial" w:cs="Arial"/>
        </w:rPr>
        <w:t>advisory</w:t>
      </w:r>
      <w:r w:rsidR="007B7640" w:rsidRPr="00CD59CC">
        <w:rPr>
          <w:rFonts w:ascii="Arial" w:hAnsi="Arial" w:cs="Arial"/>
        </w:rPr>
        <w:t xml:space="preserve"> </w:t>
      </w:r>
      <w:r w:rsidR="00A40788" w:rsidRPr="00CD59CC">
        <w:rPr>
          <w:rFonts w:ascii="Arial" w:hAnsi="Arial" w:cs="Arial"/>
        </w:rPr>
        <w:t>body</w:t>
      </w:r>
      <w:r w:rsidR="007B7640" w:rsidRPr="00CD59CC">
        <w:rPr>
          <w:rFonts w:ascii="Arial" w:hAnsi="Arial" w:cs="Arial"/>
        </w:rPr>
        <w:t xml:space="preserve"> </w:t>
      </w:r>
      <w:r w:rsidR="00A40788" w:rsidRPr="00CD59CC">
        <w:rPr>
          <w:rFonts w:ascii="Arial" w:hAnsi="Arial" w:cs="Arial"/>
        </w:rPr>
        <w:t>devised</w:t>
      </w:r>
      <w:r w:rsidR="007B7640" w:rsidRPr="00CD59CC">
        <w:rPr>
          <w:rFonts w:ascii="Arial" w:hAnsi="Arial" w:cs="Arial"/>
        </w:rPr>
        <w:t xml:space="preserve"> </w:t>
      </w:r>
      <w:r w:rsidR="00A40788" w:rsidRPr="00CD59CC">
        <w:rPr>
          <w:rFonts w:ascii="Arial" w:hAnsi="Arial" w:cs="Arial"/>
        </w:rPr>
        <w:t>to</w:t>
      </w:r>
      <w:r w:rsidR="007B7640" w:rsidRPr="00CD59CC">
        <w:rPr>
          <w:rFonts w:ascii="Arial" w:hAnsi="Arial" w:cs="Arial"/>
        </w:rPr>
        <w:t xml:space="preserve"> </w:t>
      </w:r>
      <w:r w:rsidR="00A40788" w:rsidRPr="00CD59CC">
        <w:rPr>
          <w:rFonts w:ascii="Arial" w:hAnsi="Arial" w:cs="Arial"/>
        </w:rPr>
        <w:t>assist</w:t>
      </w:r>
      <w:r w:rsidR="007B7640" w:rsidRPr="00CD59CC">
        <w:rPr>
          <w:rFonts w:ascii="Arial" w:hAnsi="Arial" w:cs="Arial"/>
        </w:rPr>
        <w:t xml:space="preserve"> </w:t>
      </w:r>
      <w:r w:rsidR="00A40788" w:rsidRPr="00CD59CC">
        <w:rPr>
          <w:rFonts w:ascii="Arial" w:hAnsi="Arial" w:cs="Arial"/>
        </w:rPr>
        <w:t>the</w:t>
      </w:r>
      <w:r w:rsidR="007B7640" w:rsidRPr="00CD59CC">
        <w:rPr>
          <w:rFonts w:ascii="Arial" w:hAnsi="Arial" w:cs="Arial"/>
        </w:rPr>
        <w:t xml:space="preserve"> </w:t>
      </w:r>
      <w:r w:rsidR="00A40788" w:rsidRPr="00CD59CC">
        <w:rPr>
          <w:rFonts w:ascii="Arial" w:hAnsi="Arial" w:cs="Arial"/>
        </w:rPr>
        <w:t>Government</w:t>
      </w:r>
      <w:r w:rsidR="007B7640" w:rsidRPr="00CD59CC">
        <w:rPr>
          <w:rFonts w:ascii="Arial" w:hAnsi="Arial" w:cs="Arial"/>
        </w:rPr>
        <w:t xml:space="preserve"> </w:t>
      </w:r>
      <w:r w:rsidR="00A40788" w:rsidRPr="00CD59CC">
        <w:rPr>
          <w:rFonts w:ascii="Arial" w:hAnsi="Arial" w:cs="Arial"/>
        </w:rPr>
        <w:t>in</w:t>
      </w:r>
      <w:r w:rsidR="007B7640" w:rsidRPr="00CD59CC">
        <w:rPr>
          <w:rFonts w:ascii="Arial" w:hAnsi="Arial" w:cs="Arial"/>
        </w:rPr>
        <w:t xml:space="preserve"> </w:t>
      </w:r>
      <w:r w:rsidR="00A40788" w:rsidRPr="00CD59CC">
        <w:rPr>
          <w:rFonts w:ascii="Arial" w:hAnsi="Arial" w:cs="Arial"/>
        </w:rPr>
        <w:t>carrying</w:t>
      </w:r>
      <w:r w:rsidR="007B7640" w:rsidRPr="00CD59CC">
        <w:rPr>
          <w:rFonts w:ascii="Arial" w:hAnsi="Arial" w:cs="Arial"/>
        </w:rPr>
        <w:t xml:space="preserve"> </w:t>
      </w:r>
      <w:r w:rsidR="00A40788" w:rsidRPr="00CD59CC">
        <w:rPr>
          <w:rFonts w:ascii="Arial" w:hAnsi="Arial" w:cs="Arial"/>
        </w:rPr>
        <w:t>out</w:t>
      </w:r>
      <w:r w:rsidR="007B7640" w:rsidRPr="00CD59CC">
        <w:rPr>
          <w:rFonts w:ascii="Arial" w:hAnsi="Arial" w:cs="Arial"/>
        </w:rPr>
        <w:t xml:space="preserve"> </w:t>
      </w:r>
      <w:r w:rsidR="00A40788" w:rsidRPr="00CD59CC">
        <w:rPr>
          <w:rFonts w:ascii="Arial" w:hAnsi="Arial" w:cs="Arial"/>
        </w:rPr>
        <w:t>its</w:t>
      </w:r>
      <w:r w:rsidR="007B7640" w:rsidRPr="00CD59CC">
        <w:rPr>
          <w:rFonts w:ascii="Arial" w:hAnsi="Arial" w:cs="Arial"/>
        </w:rPr>
        <w:t xml:space="preserve"> </w:t>
      </w:r>
      <w:r w:rsidR="00A40788" w:rsidRPr="00CD59CC">
        <w:rPr>
          <w:rFonts w:ascii="Arial" w:hAnsi="Arial" w:cs="Arial"/>
        </w:rPr>
        <w:t>tasks</w:t>
      </w:r>
      <w:r w:rsidR="007B7640" w:rsidRPr="00CD59CC">
        <w:rPr>
          <w:rFonts w:ascii="Arial" w:hAnsi="Arial" w:cs="Arial"/>
        </w:rPr>
        <w:t xml:space="preserve"> </w:t>
      </w:r>
      <w:r w:rsidR="00A40788" w:rsidRPr="00CD59CC">
        <w:rPr>
          <w:rFonts w:ascii="Arial" w:hAnsi="Arial" w:cs="Arial"/>
        </w:rPr>
        <w:t>related</w:t>
      </w:r>
      <w:r w:rsidR="007B7640" w:rsidRPr="00CD59CC">
        <w:rPr>
          <w:rFonts w:ascii="Arial" w:hAnsi="Arial" w:cs="Arial"/>
        </w:rPr>
        <w:t xml:space="preserve"> </w:t>
      </w:r>
      <w:r w:rsidR="00A40788" w:rsidRPr="00CD59CC">
        <w:rPr>
          <w:rFonts w:ascii="Arial" w:hAnsi="Arial" w:cs="Arial"/>
        </w:rPr>
        <w:t>to</w:t>
      </w:r>
      <w:r w:rsidR="007B7640" w:rsidRPr="00CD59CC">
        <w:rPr>
          <w:rFonts w:ascii="Arial" w:hAnsi="Arial" w:cs="Arial"/>
        </w:rPr>
        <w:t xml:space="preserve"> </w:t>
      </w:r>
      <w:r w:rsidR="00A40788" w:rsidRPr="00CD59CC">
        <w:rPr>
          <w:rFonts w:ascii="Arial" w:hAnsi="Arial" w:cs="Arial"/>
        </w:rPr>
        <w:t>disability</w:t>
      </w:r>
      <w:r w:rsidR="007B7640" w:rsidRPr="00CD59CC">
        <w:rPr>
          <w:rFonts w:ascii="Arial" w:hAnsi="Arial" w:cs="Arial"/>
        </w:rPr>
        <w:t xml:space="preserve"> </w:t>
      </w:r>
      <w:r w:rsidR="00A40788" w:rsidRPr="00CD59CC">
        <w:rPr>
          <w:rFonts w:ascii="Arial" w:hAnsi="Arial" w:cs="Arial"/>
        </w:rPr>
        <w:t>issues.</w:t>
      </w:r>
      <w:r w:rsidR="007B7640" w:rsidRPr="00CD59CC">
        <w:rPr>
          <w:rFonts w:ascii="Arial" w:hAnsi="Arial" w:cs="Arial"/>
        </w:rPr>
        <w:t xml:space="preserve"> </w:t>
      </w:r>
      <w:r w:rsidR="00A40788" w:rsidRPr="00CD59CC">
        <w:rPr>
          <w:rFonts w:ascii="Arial" w:hAnsi="Arial" w:cs="Arial"/>
        </w:rPr>
        <w:t>The</w:t>
      </w:r>
      <w:r w:rsidR="007B7640" w:rsidRPr="00CD59CC">
        <w:rPr>
          <w:rFonts w:ascii="Arial" w:hAnsi="Arial" w:cs="Arial"/>
        </w:rPr>
        <w:t xml:space="preserve"> </w:t>
      </w:r>
      <w:r w:rsidR="00A40788" w:rsidRPr="00CD59CC">
        <w:rPr>
          <w:rFonts w:ascii="Arial" w:hAnsi="Arial" w:cs="Arial"/>
        </w:rPr>
        <w:t>Council’s</w:t>
      </w:r>
      <w:r w:rsidR="007B7640" w:rsidRPr="00CD59CC">
        <w:rPr>
          <w:rFonts w:ascii="Arial" w:hAnsi="Arial" w:cs="Arial"/>
        </w:rPr>
        <w:t xml:space="preserve"> </w:t>
      </w:r>
      <w:r w:rsidR="00A40788" w:rsidRPr="00CD59CC">
        <w:rPr>
          <w:rFonts w:ascii="Arial" w:hAnsi="Arial" w:cs="Arial"/>
        </w:rPr>
        <w:t>tasks</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00A40788" w:rsidRPr="00CD59CC">
        <w:rPr>
          <w:rFonts w:ascii="Arial" w:hAnsi="Arial" w:cs="Arial"/>
        </w:rPr>
        <w:t>to</w:t>
      </w:r>
      <w:r w:rsidR="007B7640" w:rsidRPr="00CD59CC">
        <w:rPr>
          <w:rFonts w:ascii="Arial" w:hAnsi="Arial" w:cs="Arial"/>
        </w:rPr>
        <w:t xml:space="preserve"> </w:t>
      </w:r>
      <w:r w:rsidR="00A40788" w:rsidRPr="00CD59CC">
        <w:rPr>
          <w:rFonts w:ascii="Arial" w:hAnsi="Arial" w:cs="Arial"/>
        </w:rPr>
        <w:t>take</w:t>
      </w:r>
      <w:r w:rsidR="007B7640" w:rsidRPr="00CD59CC">
        <w:rPr>
          <w:rFonts w:ascii="Arial" w:hAnsi="Arial" w:cs="Arial"/>
        </w:rPr>
        <w:t xml:space="preserve"> </w:t>
      </w:r>
      <w:r w:rsidR="00A40788" w:rsidRPr="00CD59CC">
        <w:rPr>
          <w:rFonts w:ascii="Arial" w:hAnsi="Arial" w:cs="Arial"/>
        </w:rPr>
        <w:t>initiatives,</w:t>
      </w:r>
      <w:r w:rsidR="007B7640" w:rsidRPr="00CD59CC">
        <w:rPr>
          <w:rFonts w:ascii="Arial" w:hAnsi="Arial" w:cs="Arial"/>
        </w:rPr>
        <w:t xml:space="preserve"> </w:t>
      </w:r>
      <w:r w:rsidR="00A40788" w:rsidRPr="00CD59CC">
        <w:rPr>
          <w:rFonts w:ascii="Arial" w:hAnsi="Arial" w:cs="Arial"/>
        </w:rPr>
        <w:t>make</w:t>
      </w:r>
      <w:r w:rsidR="007B7640" w:rsidRPr="00CD59CC">
        <w:rPr>
          <w:rFonts w:ascii="Arial" w:hAnsi="Arial" w:cs="Arial"/>
        </w:rPr>
        <w:t xml:space="preserve"> </w:t>
      </w:r>
      <w:r w:rsidR="00A40788" w:rsidRPr="00CD59CC">
        <w:rPr>
          <w:rFonts w:ascii="Arial" w:hAnsi="Arial" w:cs="Arial"/>
        </w:rPr>
        <w:t>proposals,</w:t>
      </w:r>
      <w:r w:rsidR="007B7640" w:rsidRPr="00CD59CC">
        <w:rPr>
          <w:rFonts w:ascii="Arial" w:hAnsi="Arial" w:cs="Arial"/>
        </w:rPr>
        <w:t xml:space="preserve"> </w:t>
      </w:r>
      <w:r w:rsidR="00A40788" w:rsidRPr="00CD59CC">
        <w:rPr>
          <w:rFonts w:ascii="Arial" w:hAnsi="Arial" w:cs="Arial"/>
        </w:rPr>
        <w:t>give</w:t>
      </w:r>
      <w:r w:rsidR="007B7640" w:rsidRPr="00CD59CC">
        <w:rPr>
          <w:rFonts w:ascii="Arial" w:hAnsi="Arial" w:cs="Arial"/>
        </w:rPr>
        <w:t xml:space="preserve"> </w:t>
      </w:r>
      <w:r w:rsidR="00A40788" w:rsidRPr="00CD59CC">
        <w:rPr>
          <w:rFonts w:ascii="Arial" w:hAnsi="Arial" w:cs="Arial"/>
        </w:rPr>
        <w:t>opinions</w:t>
      </w:r>
      <w:r w:rsidR="007B7640" w:rsidRPr="00CD59CC">
        <w:rPr>
          <w:rFonts w:ascii="Arial" w:hAnsi="Arial" w:cs="Arial"/>
        </w:rPr>
        <w:t xml:space="preserve"> </w:t>
      </w:r>
      <w:r w:rsidR="00A40788" w:rsidRPr="00CD59CC">
        <w:rPr>
          <w:rFonts w:ascii="Arial" w:hAnsi="Arial" w:cs="Arial"/>
        </w:rPr>
        <w:t>and</w:t>
      </w:r>
      <w:r w:rsidR="007B7640" w:rsidRPr="00CD59CC">
        <w:rPr>
          <w:rFonts w:ascii="Arial" w:hAnsi="Arial" w:cs="Arial"/>
        </w:rPr>
        <w:t xml:space="preserve"> </w:t>
      </w:r>
      <w:r w:rsidR="00A40788" w:rsidRPr="00CD59CC">
        <w:rPr>
          <w:rFonts w:ascii="Arial" w:hAnsi="Arial" w:cs="Arial"/>
        </w:rPr>
        <w:t>co-ordinate</w:t>
      </w:r>
      <w:r w:rsidR="007B7640" w:rsidRPr="00CD59CC">
        <w:rPr>
          <w:rFonts w:ascii="Arial" w:hAnsi="Arial" w:cs="Arial"/>
        </w:rPr>
        <w:t xml:space="preserve"> </w:t>
      </w:r>
      <w:r w:rsidR="00A40788" w:rsidRPr="00CD59CC">
        <w:rPr>
          <w:rFonts w:ascii="Arial" w:hAnsi="Arial" w:cs="Arial"/>
        </w:rPr>
        <w:t>decision-making</w:t>
      </w:r>
      <w:r w:rsidR="007B7640" w:rsidRPr="00CD59CC">
        <w:rPr>
          <w:rFonts w:ascii="Arial" w:hAnsi="Arial" w:cs="Arial"/>
        </w:rPr>
        <w:t xml:space="preserve"> </w:t>
      </w:r>
      <w:r w:rsidR="00A40788" w:rsidRPr="00CD59CC">
        <w:rPr>
          <w:rFonts w:ascii="Arial" w:hAnsi="Arial" w:cs="Arial"/>
        </w:rPr>
        <w:t>related</w:t>
      </w:r>
      <w:r w:rsidR="007B7640" w:rsidRPr="00CD59CC">
        <w:rPr>
          <w:rFonts w:ascii="Arial" w:hAnsi="Arial" w:cs="Arial"/>
        </w:rPr>
        <w:t xml:space="preserve"> </w:t>
      </w:r>
      <w:r w:rsidR="00A40788" w:rsidRPr="00CD59CC">
        <w:rPr>
          <w:rFonts w:ascii="Arial" w:hAnsi="Arial" w:cs="Arial"/>
        </w:rPr>
        <w:t>to</w:t>
      </w:r>
      <w:r w:rsidR="007B7640" w:rsidRPr="00CD59CC">
        <w:rPr>
          <w:rFonts w:ascii="Arial" w:hAnsi="Arial" w:cs="Arial"/>
        </w:rPr>
        <w:t xml:space="preserve"> </w:t>
      </w:r>
      <w:r w:rsidR="00A40788" w:rsidRPr="00CD59CC">
        <w:rPr>
          <w:rFonts w:ascii="Arial" w:hAnsi="Arial" w:cs="Arial"/>
        </w:rPr>
        <w:t>persons</w:t>
      </w:r>
      <w:r w:rsidR="007B7640" w:rsidRPr="00CD59CC">
        <w:rPr>
          <w:rFonts w:ascii="Arial" w:hAnsi="Arial" w:cs="Arial"/>
        </w:rPr>
        <w:t xml:space="preserve"> </w:t>
      </w:r>
      <w:r w:rsidR="00A40788" w:rsidRPr="00CD59CC">
        <w:rPr>
          <w:rFonts w:ascii="Arial" w:hAnsi="Arial" w:cs="Arial"/>
        </w:rPr>
        <w:t>with</w:t>
      </w:r>
      <w:r w:rsidR="007B7640" w:rsidRPr="00CD59CC">
        <w:rPr>
          <w:rFonts w:ascii="Arial" w:hAnsi="Arial" w:cs="Arial"/>
        </w:rPr>
        <w:t xml:space="preserve"> </w:t>
      </w:r>
      <w:r w:rsidR="00A40788" w:rsidRPr="00CD59CC">
        <w:rPr>
          <w:rFonts w:ascii="Arial" w:hAnsi="Arial" w:cs="Arial"/>
        </w:rPr>
        <w:t>disabilities;</w:t>
      </w:r>
      <w:r w:rsidR="007B7640" w:rsidRPr="00CD59CC">
        <w:rPr>
          <w:rFonts w:ascii="Arial" w:hAnsi="Arial" w:cs="Arial"/>
        </w:rPr>
        <w:t xml:space="preserve"> </w:t>
      </w:r>
      <w:r w:rsidR="00A40788" w:rsidRPr="00CD59CC">
        <w:rPr>
          <w:rFonts w:ascii="Arial" w:hAnsi="Arial" w:cs="Arial"/>
        </w:rPr>
        <w:t>and</w:t>
      </w:r>
      <w:r w:rsidR="007B7640" w:rsidRPr="00CD59CC">
        <w:rPr>
          <w:rFonts w:ascii="Arial" w:hAnsi="Arial" w:cs="Arial"/>
        </w:rPr>
        <w:t xml:space="preserve"> </w:t>
      </w:r>
      <w:r w:rsidR="00A40788" w:rsidRPr="00CD59CC">
        <w:rPr>
          <w:rFonts w:ascii="Arial" w:hAnsi="Arial" w:cs="Arial"/>
        </w:rPr>
        <w:t>to</w:t>
      </w:r>
      <w:r w:rsidR="007B7640" w:rsidRPr="00CD59CC">
        <w:rPr>
          <w:rFonts w:ascii="Arial" w:hAnsi="Arial" w:cs="Arial"/>
        </w:rPr>
        <w:t xml:space="preserve"> </w:t>
      </w:r>
      <w:r w:rsidR="00A40788" w:rsidRPr="00CD59CC">
        <w:rPr>
          <w:rFonts w:ascii="Arial" w:hAnsi="Arial" w:cs="Arial"/>
        </w:rPr>
        <w:t>carry</w:t>
      </w:r>
      <w:r w:rsidR="007B7640" w:rsidRPr="00CD59CC">
        <w:rPr>
          <w:rFonts w:ascii="Arial" w:hAnsi="Arial" w:cs="Arial"/>
        </w:rPr>
        <w:t xml:space="preserve"> </w:t>
      </w:r>
      <w:r w:rsidR="00A40788" w:rsidRPr="00CD59CC">
        <w:rPr>
          <w:rFonts w:ascii="Arial" w:hAnsi="Arial" w:cs="Arial"/>
        </w:rPr>
        <w:t>out</w:t>
      </w:r>
      <w:r w:rsidR="007B7640" w:rsidRPr="00CD59CC">
        <w:rPr>
          <w:rFonts w:ascii="Arial" w:hAnsi="Arial" w:cs="Arial"/>
        </w:rPr>
        <w:t xml:space="preserve"> </w:t>
      </w:r>
      <w:r w:rsidR="00A40788" w:rsidRPr="00CD59CC">
        <w:rPr>
          <w:rFonts w:ascii="Arial" w:hAnsi="Arial" w:cs="Arial"/>
        </w:rPr>
        <w:t>analysis</w:t>
      </w:r>
      <w:r w:rsidR="007B7640" w:rsidRPr="00CD59CC">
        <w:rPr>
          <w:rFonts w:ascii="Arial" w:hAnsi="Arial" w:cs="Arial"/>
        </w:rPr>
        <w:t xml:space="preserve"> </w:t>
      </w:r>
      <w:r w:rsidR="00A40788" w:rsidRPr="00CD59CC">
        <w:rPr>
          <w:rFonts w:ascii="Arial" w:hAnsi="Arial" w:cs="Arial"/>
        </w:rPr>
        <w:t>and</w:t>
      </w:r>
      <w:r w:rsidR="007B7640" w:rsidRPr="00CD59CC">
        <w:rPr>
          <w:rFonts w:ascii="Arial" w:hAnsi="Arial" w:cs="Arial"/>
        </w:rPr>
        <w:t xml:space="preserve"> </w:t>
      </w:r>
      <w:r w:rsidR="00A40788" w:rsidRPr="00CD59CC">
        <w:rPr>
          <w:rFonts w:ascii="Arial" w:hAnsi="Arial" w:cs="Arial"/>
        </w:rPr>
        <w:t>evaluation</w:t>
      </w:r>
      <w:r w:rsidR="007B7640" w:rsidRPr="00CD59CC">
        <w:rPr>
          <w:rFonts w:ascii="Arial" w:hAnsi="Arial" w:cs="Arial"/>
        </w:rPr>
        <w:t xml:space="preserve"> </w:t>
      </w:r>
      <w:r w:rsidR="00A40788" w:rsidRPr="00CD59CC">
        <w:rPr>
          <w:rFonts w:ascii="Arial" w:hAnsi="Arial" w:cs="Arial"/>
        </w:rPr>
        <w:t>in</w:t>
      </w:r>
      <w:r w:rsidR="007B7640" w:rsidRPr="00CD59CC">
        <w:rPr>
          <w:rFonts w:ascii="Arial" w:hAnsi="Arial" w:cs="Arial"/>
        </w:rPr>
        <w:t xml:space="preserve"> </w:t>
      </w:r>
      <w:r w:rsidR="00A40788" w:rsidRPr="00CD59CC">
        <w:rPr>
          <w:rFonts w:ascii="Arial" w:hAnsi="Arial" w:cs="Arial"/>
        </w:rPr>
        <w:t>the</w:t>
      </w:r>
      <w:r w:rsidR="007B7640" w:rsidRPr="00CD59CC">
        <w:rPr>
          <w:rFonts w:ascii="Arial" w:hAnsi="Arial" w:cs="Arial"/>
        </w:rPr>
        <w:t xml:space="preserve"> </w:t>
      </w:r>
      <w:r w:rsidR="00A40788" w:rsidRPr="00CD59CC">
        <w:rPr>
          <w:rFonts w:ascii="Arial" w:hAnsi="Arial" w:cs="Arial"/>
        </w:rPr>
        <w:t>process</w:t>
      </w:r>
      <w:r w:rsidR="007B7640" w:rsidRPr="00CD59CC">
        <w:rPr>
          <w:rFonts w:ascii="Arial" w:hAnsi="Arial" w:cs="Arial"/>
        </w:rPr>
        <w:t xml:space="preserve"> </w:t>
      </w:r>
      <w:r w:rsidR="00A40788" w:rsidRPr="00CD59CC">
        <w:rPr>
          <w:rFonts w:ascii="Arial" w:hAnsi="Arial" w:cs="Arial"/>
        </w:rPr>
        <w:t>of</w:t>
      </w:r>
      <w:r w:rsidR="007B7640" w:rsidRPr="00CD59CC">
        <w:rPr>
          <w:rFonts w:ascii="Arial" w:hAnsi="Arial" w:cs="Arial"/>
        </w:rPr>
        <w:t xml:space="preserve"> </w:t>
      </w:r>
      <w:r w:rsidR="00A40788" w:rsidRPr="00CD59CC">
        <w:rPr>
          <w:rFonts w:ascii="Arial" w:hAnsi="Arial" w:cs="Arial"/>
        </w:rPr>
        <w:t>implementation</w:t>
      </w:r>
      <w:r w:rsidR="007B7640" w:rsidRPr="00CD59CC">
        <w:rPr>
          <w:rFonts w:ascii="Arial" w:hAnsi="Arial" w:cs="Arial"/>
        </w:rPr>
        <w:t xml:space="preserve"> </w:t>
      </w:r>
      <w:r w:rsidR="00A40788" w:rsidRPr="00CD59CC">
        <w:rPr>
          <w:rFonts w:ascii="Arial" w:hAnsi="Arial" w:cs="Arial"/>
        </w:rPr>
        <w:t>of</w:t>
      </w:r>
      <w:r w:rsidR="007B7640" w:rsidRPr="00CD59CC">
        <w:rPr>
          <w:rFonts w:ascii="Arial" w:hAnsi="Arial" w:cs="Arial"/>
        </w:rPr>
        <w:t xml:space="preserve"> </w:t>
      </w:r>
      <w:r w:rsidR="00A40788" w:rsidRPr="00CD59CC">
        <w:rPr>
          <w:rFonts w:ascii="Arial" w:hAnsi="Arial" w:cs="Arial"/>
        </w:rPr>
        <w:t>decisions.</w:t>
      </w:r>
      <w:r w:rsidR="007B7640" w:rsidRPr="00CD59CC">
        <w:rPr>
          <w:rFonts w:ascii="Arial" w:hAnsi="Arial" w:cs="Arial"/>
        </w:rPr>
        <w:t xml:space="preserve"> </w:t>
      </w:r>
    </w:p>
    <w:p w14:paraId="695C913D" w14:textId="77777777" w:rsidR="00194342" w:rsidRPr="00CD59CC" w:rsidRDefault="00194342" w:rsidP="00CD59CC">
      <w:pPr>
        <w:rPr>
          <w:rFonts w:ascii="Arial" w:hAnsi="Arial" w:cs="Arial"/>
        </w:rPr>
      </w:pPr>
    </w:p>
    <w:p w14:paraId="31B6E721" w14:textId="47D5C38C" w:rsidR="00194342" w:rsidRPr="00CD59CC" w:rsidRDefault="00194342" w:rsidP="00CD59CC">
      <w:pPr>
        <w:rPr>
          <w:rFonts w:ascii="Arial" w:hAnsi="Arial" w:cs="Arial"/>
        </w:rPr>
      </w:pPr>
      <w:r w:rsidRPr="00CD59CC">
        <w:rPr>
          <w:rFonts w:ascii="Arial" w:hAnsi="Arial" w:cs="Arial"/>
        </w:rPr>
        <w:t>However,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September</w:t>
      </w:r>
      <w:r w:rsidR="007B7640" w:rsidRPr="00CD59CC">
        <w:rPr>
          <w:rFonts w:ascii="Arial" w:hAnsi="Arial" w:cs="Arial"/>
        </w:rPr>
        <w:t xml:space="preserve"> </w:t>
      </w:r>
      <w:r w:rsidRPr="00CD59CC">
        <w:rPr>
          <w:rFonts w:ascii="Arial" w:hAnsi="Arial" w:cs="Arial"/>
        </w:rPr>
        <w:t>2012,</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concluding</w:t>
      </w:r>
      <w:r w:rsidR="007B7640" w:rsidRPr="00CD59CC">
        <w:rPr>
          <w:rFonts w:ascii="Arial" w:hAnsi="Arial" w:cs="Arial"/>
        </w:rPr>
        <w:t xml:space="preserve"> </w:t>
      </w:r>
      <w:r w:rsidRPr="00CD59CC">
        <w:rPr>
          <w:rFonts w:ascii="Arial" w:hAnsi="Arial" w:cs="Arial"/>
        </w:rPr>
        <w:t>observations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initial</w:t>
      </w:r>
      <w:r w:rsidR="007B7640" w:rsidRPr="00CD59CC">
        <w:rPr>
          <w:rFonts w:ascii="Arial" w:hAnsi="Arial" w:cs="Arial"/>
        </w:rPr>
        <w:t xml:space="preserve"> </w:t>
      </w:r>
      <w:r w:rsidRPr="00CD59CC">
        <w:rPr>
          <w:rFonts w:ascii="Arial" w:hAnsi="Arial" w:cs="Arial"/>
        </w:rPr>
        <w:t>periodic</w:t>
      </w:r>
      <w:r w:rsidR="007B7640" w:rsidRPr="00CD59CC">
        <w:rPr>
          <w:rFonts w:ascii="Arial" w:hAnsi="Arial" w:cs="Arial"/>
        </w:rPr>
        <w:t xml:space="preserve"> </w:t>
      </w:r>
      <w:r w:rsidRPr="00CD59CC">
        <w:rPr>
          <w:rFonts w:ascii="Arial" w:hAnsi="Arial" w:cs="Arial"/>
        </w:rPr>
        <w:t>report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CRPD</w:t>
      </w:r>
      <w:r w:rsidR="007B7640" w:rsidRPr="00CD59CC">
        <w:rPr>
          <w:rFonts w:ascii="Arial" w:hAnsi="Arial" w:cs="Arial"/>
        </w:rPr>
        <w:t xml:space="preserve"> </w:t>
      </w:r>
      <w:r w:rsidRPr="00CD59CC">
        <w:rPr>
          <w:rFonts w:ascii="Arial" w:hAnsi="Arial" w:cs="Arial"/>
        </w:rPr>
        <w:t>Committee</w:t>
      </w:r>
      <w:r w:rsidR="007B7640" w:rsidRPr="00CD59CC">
        <w:rPr>
          <w:rFonts w:ascii="Arial" w:hAnsi="Arial" w:cs="Arial"/>
        </w:rPr>
        <w:t xml:space="preserve"> </w:t>
      </w:r>
      <w:r w:rsidRPr="00CD59CC">
        <w:rPr>
          <w:rFonts w:ascii="Arial" w:hAnsi="Arial" w:cs="Arial"/>
        </w:rPr>
        <w:t>noted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composition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NDC</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designated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function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independent</w:t>
      </w:r>
      <w:r w:rsidR="007B7640" w:rsidRPr="00CD59CC">
        <w:rPr>
          <w:rFonts w:ascii="Arial" w:hAnsi="Arial" w:cs="Arial"/>
        </w:rPr>
        <w:t xml:space="preserve"> </w:t>
      </w:r>
      <w:r w:rsidRPr="00CD59CC">
        <w:rPr>
          <w:rFonts w:ascii="Arial" w:hAnsi="Arial" w:cs="Arial"/>
          <w:bCs/>
        </w:rPr>
        <w:t>monitoring</w:t>
      </w:r>
      <w:r w:rsidR="007B7640" w:rsidRPr="00CD59CC">
        <w:rPr>
          <w:rFonts w:ascii="Arial" w:hAnsi="Arial" w:cs="Arial"/>
          <w:bCs/>
        </w:rPr>
        <w:t xml:space="preserve"> </w:t>
      </w:r>
      <w:r w:rsidRPr="00CD59CC">
        <w:rPr>
          <w:rFonts w:ascii="Arial" w:hAnsi="Arial" w:cs="Arial"/>
          <w:bCs/>
        </w:rPr>
        <w:t>mechanism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CRPD</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compliance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33</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Convention.</w:t>
      </w:r>
      <w:r w:rsidRPr="00CD59CC">
        <w:rPr>
          <w:rStyle w:val="FootnoteReference"/>
          <w:rFonts w:ascii="Arial" w:hAnsi="Arial" w:cs="Arial"/>
        </w:rPr>
        <w:footnoteReference w:id="60"/>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NGO</w:t>
      </w:r>
      <w:r w:rsidR="0038057B" w:rsidRPr="00CD59CC">
        <w:rPr>
          <w:rFonts w:ascii="Arial" w:hAnsi="Arial" w:cs="Arial"/>
        </w:rPr>
        <w:t>’</w:t>
      </w:r>
      <w:r w:rsidRPr="00CD59CC">
        <w:rPr>
          <w:rFonts w:ascii="Arial" w:hAnsi="Arial" w:cs="Arial"/>
        </w:rPr>
        <w:t>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international</w:t>
      </w:r>
      <w:r w:rsidR="007B7640" w:rsidRPr="00CD59CC">
        <w:rPr>
          <w:rFonts w:ascii="Arial" w:hAnsi="Arial" w:cs="Arial"/>
        </w:rPr>
        <w:t xml:space="preserve"> </w:t>
      </w:r>
      <w:r w:rsidRPr="00CD59CC">
        <w:rPr>
          <w:rFonts w:ascii="Arial" w:hAnsi="Arial" w:cs="Arial"/>
        </w:rPr>
        <w:t>organizations</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voiced</w:t>
      </w:r>
      <w:r w:rsidR="007B7640" w:rsidRPr="00CD59CC">
        <w:rPr>
          <w:rFonts w:ascii="Arial" w:hAnsi="Arial" w:cs="Arial"/>
        </w:rPr>
        <w:t xml:space="preserve"> </w:t>
      </w:r>
      <w:r w:rsidRPr="00CD59CC">
        <w:rPr>
          <w:rFonts w:ascii="Arial" w:hAnsi="Arial" w:cs="Arial"/>
        </w:rPr>
        <w:t>criticism</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NDC.</w:t>
      </w:r>
      <w:r w:rsidR="007B7640" w:rsidRPr="00CD59CC">
        <w:rPr>
          <w:rFonts w:ascii="Arial" w:hAnsi="Arial" w:cs="Arial"/>
        </w:rPr>
        <w:t xml:space="preserve"> </w:t>
      </w:r>
      <w:r w:rsidRPr="00CD59CC">
        <w:rPr>
          <w:rFonts w:ascii="Arial" w:hAnsi="Arial" w:cs="Arial"/>
        </w:rPr>
        <w:t>According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38057B" w:rsidRPr="00CD59CC">
        <w:rPr>
          <w:rFonts w:ascii="Arial" w:hAnsi="Arial" w:cs="Arial"/>
        </w:rPr>
        <w:t>NGO’s</w:t>
      </w:r>
      <w:r w:rsidRPr="00CD59CC">
        <w:rPr>
          <w:rFonts w:ascii="Arial" w:hAnsi="Arial" w:cs="Arial"/>
        </w:rPr>
        <w: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NCD</w:t>
      </w:r>
      <w:r w:rsidR="007B7640" w:rsidRPr="00CD59CC">
        <w:rPr>
          <w:rFonts w:ascii="Arial" w:hAnsi="Arial" w:cs="Arial"/>
        </w:rPr>
        <w:t xml:space="preserve"> </w:t>
      </w:r>
      <w:r w:rsidRPr="00CD59CC">
        <w:rPr>
          <w:rFonts w:ascii="Arial" w:hAnsi="Arial" w:cs="Arial"/>
        </w:rPr>
        <w:t>cannot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considered</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independent</w:t>
      </w:r>
      <w:r w:rsidR="007B7640" w:rsidRPr="00CD59CC">
        <w:rPr>
          <w:rFonts w:ascii="Arial" w:hAnsi="Arial" w:cs="Arial"/>
        </w:rPr>
        <w:t xml:space="preserve"> </w:t>
      </w:r>
      <w:r w:rsidRPr="00CD59CC">
        <w:rPr>
          <w:rFonts w:ascii="Arial" w:hAnsi="Arial" w:cs="Arial"/>
        </w:rPr>
        <w:t>mechanism,</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008E4605" w:rsidRPr="00CD59CC">
        <w:rPr>
          <w:rFonts w:ascii="Arial" w:hAnsi="Arial" w:cs="Arial"/>
        </w:rPr>
        <w:t>[the</w:t>
      </w:r>
      <w:r w:rsidR="007B7640" w:rsidRPr="00CD59CC">
        <w:rPr>
          <w:rFonts w:ascii="Arial" w:hAnsi="Arial" w:cs="Arial"/>
        </w:rPr>
        <w:t xml:space="preserve"> </w:t>
      </w:r>
      <w:r w:rsidR="008E4605" w:rsidRPr="00CD59CC">
        <w:rPr>
          <w:rFonts w:ascii="Arial" w:hAnsi="Arial" w:cs="Arial"/>
        </w:rPr>
        <w:t>NCD]</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represents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government</w:t>
      </w:r>
      <w:r w:rsidR="0038057B" w:rsidRPr="00CD59CC">
        <w:rPr>
          <w:rFonts w:ascii="Arial" w:hAnsi="Arial" w:cs="Arial"/>
        </w:rPr>
        <w:t>”,</w:t>
      </w:r>
      <w:r w:rsidR="007B7640" w:rsidRPr="00CD59CC">
        <w:rPr>
          <w:rFonts w:ascii="Arial" w:hAnsi="Arial" w:cs="Arial"/>
        </w:rPr>
        <w:t xml:space="preserve"> </w:t>
      </w:r>
      <w:r w:rsidR="0038057B" w:rsidRPr="00CD59CC">
        <w:rPr>
          <w:rFonts w:ascii="Arial" w:hAnsi="Arial" w:cs="Arial"/>
        </w:rPr>
        <w:t>since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008E4605" w:rsidRPr="00CD59CC">
        <w:rPr>
          <w:rFonts w:ascii="Arial" w:hAnsi="Arial" w:cs="Arial"/>
        </w:rPr>
        <w:t>body</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chaired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Minister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Resources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government</w:t>
      </w:r>
      <w:r w:rsidR="007B7640" w:rsidRPr="00CD59CC">
        <w:rPr>
          <w:rFonts w:ascii="Arial" w:hAnsi="Arial" w:cs="Arial"/>
        </w:rPr>
        <w:t xml:space="preserve"> </w:t>
      </w:r>
      <w:r w:rsidRPr="00CD59CC">
        <w:rPr>
          <w:rFonts w:ascii="Arial" w:hAnsi="Arial" w:cs="Arial"/>
        </w:rPr>
        <w:t>representatives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members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it</w:t>
      </w:r>
      <w:r w:rsidR="0038057B" w:rsidRPr="00CD59CC">
        <w:rPr>
          <w:rFonts w:ascii="Arial" w:hAnsi="Arial" w:cs="Arial"/>
        </w:rPr>
        <w:t>,</w:t>
      </w:r>
      <w:r w:rsidR="0038057B" w:rsidRPr="00CD59CC">
        <w:rPr>
          <w:rStyle w:val="FootnoteReference"/>
          <w:rFonts w:ascii="Arial" w:hAnsi="Arial" w:cs="Arial"/>
        </w:rPr>
        <w:footnoteReference w:id="61"/>
      </w:r>
      <w:r w:rsidR="007B7640" w:rsidRPr="00CD59CC">
        <w:rPr>
          <w:rFonts w:ascii="Arial" w:hAnsi="Arial" w:cs="Arial"/>
        </w:rPr>
        <w:t xml:space="preserve"> </w:t>
      </w:r>
      <w:r w:rsidR="0038057B" w:rsidRPr="00CD59CC">
        <w:rPr>
          <w:rFonts w:ascii="Arial" w:hAnsi="Arial" w:cs="Arial"/>
        </w:rPr>
        <w:t>and</w:t>
      </w:r>
      <w:r w:rsidR="007B7640" w:rsidRPr="00CD59CC">
        <w:rPr>
          <w:rFonts w:ascii="Arial" w:hAnsi="Arial" w:cs="Arial"/>
        </w:rPr>
        <w:t xml:space="preserve"> </w:t>
      </w:r>
      <w:r w:rsidR="0038057B" w:rsidRPr="00CD59CC">
        <w:rPr>
          <w:rFonts w:ascii="Arial" w:hAnsi="Arial" w:cs="Arial"/>
        </w:rPr>
        <w:t>the</w:t>
      </w:r>
      <w:r w:rsidR="007B7640" w:rsidRPr="00CD59CC">
        <w:rPr>
          <w:rFonts w:ascii="Arial" w:hAnsi="Arial" w:cs="Arial"/>
        </w:rPr>
        <w:t xml:space="preserve"> </w:t>
      </w:r>
      <w:hyperlink r:id="rId18" w:history="1">
        <w:r w:rsidRPr="00CD59CC">
          <w:rPr>
            <w:rStyle w:val="Hyperlink"/>
            <w:rFonts w:ascii="Arial" w:hAnsi="Arial" w:cs="Arial"/>
            <w:color w:val="auto"/>
            <w:u w:val="none"/>
          </w:rPr>
          <w:t>Office</w:t>
        </w:r>
        <w:r w:rsidR="007B7640" w:rsidRPr="00CD59CC">
          <w:rPr>
            <w:rStyle w:val="Hyperlink"/>
            <w:rFonts w:ascii="Arial" w:hAnsi="Arial" w:cs="Arial"/>
            <w:color w:val="auto"/>
            <w:u w:val="none"/>
          </w:rPr>
          <w:t xml:space="preserve"> </w:t>
        </w:r>
        <w:r w:rsidRPr="00CD59CC">
          <w:rPr>
            <w:rStyle w:val="Hyperlink"/>
            <w:rFonts w:ascii="Arial" w:hAnsi="Arial" w:cs="Arial"/>
            <w:color w:val="auto"/>
            <w:u w:val="none"/>
          </w:rPr>
          <w:t>of</w:t>
        </w:r>
        <w:r w:rsidR="007B7640" w:rsidRPr="00CD59CC">
          <w:rPr>
            <w:rStyle w:val="Hyperlink"/>
            <w:rFonts w:ascii="Arial" w:hAnsi="Arial" w:cs="Arial"/>
            <w:color w:val="auto"/>
            <w:u w:val="none"/>
          </w:rPr>
          <w:t xml:space="preserve"> </w:t>
        </w:r>
        <w:r w:rsidRPr="00CD59CC">
          <w:rPr>
            <w:rStyle w:val="Hyperlink"/>
            <w:rFonts w:ascii="Arial" w:hAnsi="Arial" w:cs="Arial"/>
            <w:color w:val="auto"/>
            <w:u w:val="none"/>
          </w:rPr>
          <w:t>the</w:t>
        </w:r>
        <w:r w:rsidR="007B7640" w:rsidRPr="00CD59CC">
          <w:rPr>
            <w:rStyle w:val="Hyperlink"/>
            <w:rFonts w:ascii="Arial" w:hAnsi="Arial" w:cs="Arial"/>
            <w:color w:val="auto"/>
            <w:u w:val="none"/>
          </w:rPr>
          <w:t xml:space="preserve"> </w:t>
        </w:r>
        <w:r w:rsidRPr="00CD59CC">
          <w:rPr>
            <w:rStyle w:val="Hyperlink"/>
            <w:rFonts w:ascii="Arial" w:hAnsi="Arial" w:cs="Arial"/>
            <w:color w:val="auto"/>
            <w:u w:val="none"/>
          </w:rPr>
          <w:t>UN</w:t>
        </w:r>
        <w:r w:rsidR="007B7640" w:rsidRPr="00CD59CC">
          <w:rPr>
            <w:rStyle w:val="Hyperlink"/>
            <w:rFonts w:ascii="Arial" w:hAnsi="Arial" w:cs="Arial"/>
            <w:color w:val="auto"/>
            <w:u w:val="none"/>
          </w:rPr>
          <w:t xml:space="preserve"> </w:t>
        </w:r>
        <w:r w:rsidRPr="00CD59CC">
          <w:rPr>
            <w:rStyle w:val="Hyperlink"/>
            <w:rFonts w:ascii="Arial" w:hAnsi="Arial" w:cs="Arial"/>
            <w:color w:val="auto"/>
            <w:u w:val="none"/>
          </w:rPr>
          <w:t>High</w:t>
        </w:r>
        <w:r w:rsidR="007B7640" w:rsidRPr="00CD59CC">
          <w:rPr>
            <w:rStyle w:val="Hyperlink"/>
            <w:rFonts w:ascii="Arial" w:hAnsi="Arial" w:cs="Arial"/>
            <w:color w:val="auto"/>
            <w:u w:val="none"/>
          </w:rPr>
          <w:t xml:space="preserve"> </w:t>
        </w:r>
        <w:r w:rsidRPr="00CD59CC">
          <w:rPr>
            <w:rStyle w:val="Hyperlink"/>
            <w:rFonts w:ascii="Arial" w:hAnsi="Arial" w:cs="Arial"/>
            <w:color w:val="auto"/>
            <w:u w:val="none"/>
          </w:rPr>
          <w:t>Commissioner</w:t>
        </w:r>
        <w:r w:rsidR="007B7640" w:rsidRPr="00CD59CC">
          <w:rPr>
            <w:rStyle w:val="Hyperlink"/>
            <w:rFonts w:ascii="Arial" w:hAnsi="Arial" w:cs="Arial"/>
            <w:color w:val="auto"/>
            <w:u w:val="none"/>
          </w:rPr>
          <w:t xml:space="preserve"> </w:t>
        </w:r>
        <w:r w:rsidRPr="00CD59CC">
          <w:rPr>
            <w:rStyle w:val="Hyperlink"/>
            <w:rFonts w:ascii="Arial" w:hAnsi="Arial" w:cs="Arial"/>
            <w:color w:val="auto"/>
            <w:u w:val="none"/>
          </w:rPr>
          <w:t>for</w:t>
        </w:r>
        <w:r w:rsidR="007B7640" w:rsidRPr="00CD59CC">
          <w:rPr>
            <w:rStyle w:val="Hyperlink"/>
            <w:rFonts w:ascii="Arial" w:hAnsi="Arial" w:cs="Arial"/>
            <w:color w:val="auto"/>
            <w:u w:val="none"/>
          </w:rPr>
          <w:t xml:space="preserve"> </w:t>
        </w:r>
        <w:r w:rsidRPr="00CD59CC">
          <w:rPr>
            <w:rStyle w:val="Hyperlink"/>
            <w:rFonts w:ascii="Arial" w:hAnsi="Arial" w:cs="Arial"/>
            <w:color w:val="auto"/>
            <w:u w:val="none"/>
          </w:rPr>
          <w:t>Human</w:t>
        </w:r>
        <w:r w:rsidR="007B7640" w:rsidRPr="00CD59CC">
          <w:rPr>
            <w:rStyle w:val="Hyperlink"/>
            <w:rFonts w:ascii="Arial" w:hAnsi="Arial" w:cs="Arial"/>
            <w:color w:val="auto"/>
            <w:u w:val="none"/>
          </w:rPr>
          <w:t xml:space="preserve"> </w:t>
        </w:r>
        <w:r w:rsidRPr="00CD59CC">
          <w:rPr>
            <w:rStyle w:val="Hyperlink"/>
            <w:rFonts w:ascii="Arial" w:hAnsi="Arial" w:cs="Arial"/>
            <w:color w:val="auto"/>
            <w:u w:val="none"/>
          </w:rPr>
          <w:t>Rights</w:t>
        </w:r>
      </w:hyperlink>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voiced</w:t>
      </w:r>
      <w:r w:rsidR="007B7640" w:rsidRPr="00CD59CC">
        <w:rPr>
          <w:rFonts w:ascii="Arial" w:hAnsi="Arial" w:cs="Arial"/>
        </w:rPr>
        <w:t xml:space="preserve"> </w:t>
      </w:r>
      <w:r w:rsidRPr="00CD59CC">
        <w:rPr>
          <w:rFonts w:ascii="Arial" w:hAnsi="Arial" w:cs="Arial"/>
        </w:rPr>
        <w:t>criticism</w:t>
      </w:r>
      <w:bookmarkStart w:id="103" w:name="_ftnref5"/>
      <w:r w:rsidR="007B7640" w:rsidRPr="00CD59CC">
        <w:rPr>
          <w:rFonts w:ascii="Arial" w:hAnsi="Arial" w:cs="Arial"/>
        </w:rPr>
        <w:t xml:space="preserve"> </w:t>
      </w:r>
      <w:r w:rsidR="0038057B" w:rsidRPr="00CD59CC">
        <w:rPr>
          <w:rFonts w:ascii="Arial" w:hAnsi="Arial" w:cs="Arial"/>
        </w:rPr>
        <w:t>in</w:t>
      </w:r>
      <w:r w:rsidR="007B7640" w:rsidRPr="00CD59CC">
        <w:rPr>
          <w:rFonts w:ascii="Arial" w:hAnsi="Arial" w:cs="Arial"/>
        </w:rPr>
        <w:t xml:space="preserve"> </w:t>
      </w:r>
      <w:r w:rsidR="0038057B" w:rsidRPr="00CD59CC">
        <w:rPr>
          <w:rFonts w:ascii="Arial" w:hAnsi="Arial" w:cs="Arial"/>
        </w:rPr>
        <w:t>this</w:t>
      </w:r>
      <w:r w:rsidR="007B7640" w:rsidRPr="00CD59CC">
        <w:rPr>
          <w:rFonts w:ascii="Arial" w:hAnsi="Arial" w:cs="Arial"/>
        </w:rPr>
        <w:t xml:space="preserve"> </w:t>
      </w:r>
      <w:r w:rsidR="0038057B" w:rsidRPr="00CD59CC">
        <w:rPr>
          <w:rFonts w:ascii="Arial" w:hAnsi="Arial" w:cs="Arial"/>
        </w:rPr>
        <w:t>regard.</w:t>
      </w:r>
      <w:r w:rsidR="0038057B" w:rsidRPr="00CD59CC">
        <w:rPr>
          <w:rStyle w:val="FootnoteReference"/>
          <w:rFonts w:ascii="Arial" w:hAnsi="Arial" w:cs="Arial"/>
        </w:rPr>
        <w:footnoteReference w:id="62"/>
      </w:r>
      <w:hyperlink r:id="rId19" w:anchor="_ftn5" w:history="1"/>
      <w:bookmarkEnd w:id="103"/>
      <w:r w:rsidR="00592BD1">
        <w:rPr>
          <w:rFonts w:ascii="Arial" w:hAnsi="Arial" w:cs="Arial"/>
        </w:rPr>
        <w:t xml:space="preserve"> </w:t>
      </w:r>
    </w:p>
    <w:p w14:paraId="50CDA2E5" w14:textId="77777777" w:rsidR="00194342" w:rsidRPr="00CD59CC" w:rsidRDefault="007B7640" w:rsidP="00CD59CC">
      <w:pPr>
        <w:rPr>
          <w:rFonts w:ascii="Arial" w:hAnsi="Arial" w:cs="Arial"/>
        </w:rPr>
      </w:pPr>
      <w:r w:rsidRPr="00CD59CC">
        <w:rPr>
          <w:rFonts w:ascii="Arial" w:hAnsi="Arial" w:cs="Arial"/>
        </w:rPr>
        <w:t xml:space="preserve"> </w:t>
      </w:r>
    </w:p>
    <w:p w14:paraId="7BEF1716" w14:textId="77777777" w:rsidR="00194342" w:rsidRPr="00CD59CC" w:rsidRDefault="0038057B"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response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criticism,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NDC</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deleted</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00194342" w:rsidRPr="00CD59CC">
        <w:rPr>
          <w:rFonts w:ascii="Arial" w:hAnsi="Arial" w:cs="Arial"/>
        </w:rPr>
        <w:t>and</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new</w:t>
      </w:r>
      <w:r w:rsidR="007B7640" w:rsidRPr="00CD59CC">
        <w:rPr>
          <w:rFonts w:ascii="Arial" w:hAnsi="Arial" w:cs="Arial"/>
        </w:rPr>
        <w:t xml:space="preserve"> </w:t>
      </w:r>
      <w:r w:rsidRPr="00CD59CC">
        <w:rPr>
          <w:rFonts w:ascii="Arial" w:hAnsi="Arial" w:cs="Arial"/>
        </w:rPr>
        <w:t>body</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up</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Government</w:t>
      </w:r>
      <w:r w:rsidR="007B7640" w:rsidRPr="00CD59CC">
        <w:rPr>
          <w:rFonts w:ascii="Arial" w:hAnsi="Arial" w:cs="Arial"/>
        </w:rPr>
        <w:t xml:space="preserve"> </w:t>
      </w:r>
      <w:r w:rsidRPr="00CD59CC">
        <w:rPr>
          <w:rFonts w:ascii="Arial" w:hAnsi="Arial" w:cs="Arial"/>
          <w:lang w:val="en-US"/>
        </w:rPr>
        <w:t>Resolution</w:t>
      </w:r>
      <w:r w:rsidR="007B7640" w:rsidRPr="00CD59CC">
        <w:rPr>
          <w:rFonts w:ascii="Arial" w:hAnsi="Arial" w:cs="Arial"/>
          <w:lang w:val="en-US"/>
        </w:rPr>
        <w:t xml:space="preserve"> </w:t>
      </w:r>
      <w:r w:rsidRPr="00CD59CC">
        <w:rPr>
          <w:rFonts w:ascii="Arial" w:hAnsi="Arial" w:cs="Arial"/>
          <w:lang w:val="en-US"/>
        </w:rPr>
        <w:t>1330/2013</w:t>
      </w:r>
      <w:r w:rsidR="007B7640" w:rsidRPr="00CD59CC">
        <w:rPr>
          <w:rFonts w:ascii="Arial" w:hAnsi="Arial" w:cs="Arial"/>
          <w:lang w:val="en-US"/>
        </w:rPr>
        <w:t xml:space="preserve"> </w:t>
      </w:r>
      <w:r w:rsidRPr="00CD59CC">
        <w:rPr>
          <w:rFonts w:ascii="Arial" w:hAnsi="Arial" w:cs="Arial"/>
          <w:lang w:val="en-US"/>
        </w:rPr>
        <w:t>on</w:t>
      </w:r>
      <w:r w:rsidR="007B7640" w:rsidRPr="00CD59CC">
        <w:rPr>
          <w:rFonts w:ascii="Arial" w:hAnsi="Arial" w:cs="Arial"/>
          <w:lang w:val="en-US"/>
        </w:rPr>
        <w:t xml:space="preserve"> </w:t>
      </w:r>
      <w:r w:rsidRPr="00CD59CC">
        <w:rPr>
          <w:rFonts w:ascii="Arial" w:hAnsi="Arial" w:cs="Arial"/>
          <w:lang w:val="en-US"/>
        </w:rPr>
        <w:t>the</w:t>
      </w:r>
      <w:r w:rsidR="007B7640" w:rsidRPr="00CD59CC">
        <w:rPr>
          <w:rFonts w:ascii="Arial" w:hAnsi="Arial" w:cs="Arial"/>
          <w:lang w:val="en-US"/>
        </w:rPr>
        <w:t xml:space="preserve"> </w:t>
      </w:r>
      <w:r w:rsidRPr="00CD59CC">
        <w:rPr>
          <w:rFonts w:ascii="Arial" w:hAnsi="Arial" w:cs="Arial"/>
          <w:lang w:val="en-US"/>
        </w:rPr>
        <w:t>National</w:t>
      </w:r>
      <w:r w:rsidR="007B7640" w:rsidRPr="00CD59CC">
        <w:rPr>
          <w:rFonts w:ascii="Arial" w:hAnsi="Arial" w:cs="Arial"/>
          <w:lang w:val="en-US"/>
        </w:rPr>
        <w:t xml:space="preserve"> </w:t>
      </w:r>
      <w:r w:rsidRPr="00CD59CC">
        <w:rPr>
          <w:rFonts w:ascii="Arial" w:hAnsi="Arial" w:cs="Arial"/>
          <w:lang w:val="en-US"/>
        </w:rPr>
        <w:t>Disability</w:t>
      </w:r>
      <w:r w:rsidR="007B7640" w:rsidRPr="00CD59CC">
        <w:rPr>
          <w:rFonts w:ascii="Arial" w:hAnsi="Arial" w:cs="Arial"/>
          <w:lang w:val="en-US"/>
        </w:rPr>
        <w:t xml:space="preserve"> </w:t>
      </w:r>
      <w:r w:rsidRPr="00CD59CC">
        <w:rPr>
          <w:rFonts w:ascii="Arial" w:hAnsi="Arial" w:cs="Arial"/>
          <w:lang w:val="en-US"/>
        </w:rPr>
        <w:t>Council</w:t>
      </w:r>
      <w:r w:rsidR="007B7640" w:rsidRPr="00CD59CC">
        <w:rPr>
          <w:rFonts w:ascii="Arial" w:hAnsi="Arial" w:cs="Arial"/>
          <w:lang w:val="en-US"/>
        </w:rPr>
        <w:t xml:space="preserve"> </w:t>
      </w:r>
      <w:r w:rsidRPr="00CD59CC">
        <w:rPr>
          <w:rFonts w:ascii="Arial" w:hAnsi="Arial" w:cs="Arial"/>
          <w:lang w:val="en-US"/>
        </w:rPr>
        <w:t>(NDC2).</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noted</w:t>
      </w:r>
      <w:r w:rsidR="007B7640" w:rsidRPr="00CD59CC">
        <w:rPr>
          <w:rFonts w:ascii="Arial" w:hAnsi="Arial" w:cs="Arial"/>
        </w:rPr>
        <w:t xml:space="preserve"> </w:t>
      </w:r>
      <w:r w:rsidRPr="00CD59CC">
        <w:rPr>
          <w:rFonts w:ascii="Arial" w:hAnsi="Arial" w:cs="Arial"/>
        </w:rPr>
        <w:t>tha</w:t>
      </w:r>
      <w:r w:rsidR="008E4605" w:rsidRPr="00CD59CC">
        <w:rPr>
          <w:rFonts w:ascii="Arial" w:hAnsi="Arial" w:cs="Arial"/>
        </w:rPr>
        <w:t>t</w:t>
      </w:r>
      <w:r w:rsidR="007B7640" w:rsidRPr="00CD59CC">
        <w:rPr>
          <w:rFonts w:ascii="Arial" w:hAnsi="Arial" w:cs="Arial"/>
        </w:rPr>
        <w:t xml:space="preserve"> </w:t>
      </w:r>
      <w:r w:rsidRPr="00CD59CC">
        <w:rPr>
          <w:rFonts w:ascii="Arial" w:hAnsi="Arial" w:cs="Arial"/>
        </w:rPr>
        <w:t>some</w:t>
      </w:r>
      <w:r w:rsidR="007B7640" w:rsidRPr="00CD59CC">
        <w:rPr>
          <w:rFonts w:ascii="Arial" w:hAnsi="Arial" w:cs="Arial"/>
        </w:rPr>
        <w:t xml:space="preserve"> </w:t>
      </w:r>
      <w:r w:rsidR="00194342" w:rsidRPr="00CD59CC">
        <w:rPr>
          <w:rFonts w:ascii="Arial" w:hAnsi="Arial" w:cs="Arial"/>
        </w:rPr>
        <w:t>NGOs,</w:t>
      </w:r>
      <w:r w:rsidR="007B7640" w:rsidRPr="00CD59CC">
        <w:rPr>
          <w:rFonts w:ascii="Arial" w:hAnsi="Arial" w:cs="Arial"/>
        </w:rPr>
        <w:t xml:space="preserve"> </w:t>
      </w:r>
      <w:r w:rsidR="00194342" w:rsidRPr="00CD59CC">
        <w:rPr>
          <w:rFonts w:ascii="Arial" w:hAnsi="Arial" w:cs="Arial"/>
        </w:rPr>
        <w:t>e.g.</w:t>
      </w:r>
      <w:r w:rsidR="007B7640" w:rsidRPr="00CD59CC">
        <w:rPr>
          <w:rFonts w:ascii="Arial" w:hAnsi="Arial" w:cs="Arial"/>
        </w:rPr>
        <w:t xml:space="preserve"> </w:t>
      </w:r>
      <w:r w:rsidR="00194342" w:rsidRPr="00CD59CC">
        <w:rPr>
          <w:rFonts w:ascii="Arial" w:hAnsi="Arial" w:cs="Arial"/>
        </w:rPr>
        <w:t>the</w:t>
      </w:r>
      <w:r w:rsidR="007B7640" w:rsidRPr="00CD59CC">
        <w:rPr>
          <w:rFonts w:ascii="Arial" w:hAnsi="Arial" w:cs="Arial"/>
        </w:rPr>
        <w:t xml:space="preserve"> </w:t>
      </w:r>
      <w:r w:rsidR="00194342" w:rsidRPr="00CD59CC">
        <w:rPr>
          <w:rFonts w:ascii="Arial" w:hAnsi="Arial" w:cs="Arial"/>
        </w:rPr>
        <w:t>National</w:t>
      </w:r>
      <w:r w:rsidR="007B7640" w:rsidRPr="00CD59CC">
        <w:rPr>
          <w:rFonts w:ascii="Arial" w:hAnsi="Arial" w:cs="Arial"/>
        </w:rPr>
        <w:t xml:space="preserve"> </w:t>
      </w:r>
      <w:r w:rsidR="00194342" w:rsidRPr="00CD59CC">
        <w:rPr>
          <w:rFonts w:ascii="Arial" w:hAnsi="Arial" w:cs="Arial"/>
        </w:rPr>
        <w:t>Association</w:t>
      </w:r>
      <w:r w:rsidR="007B7640" w:rsidRPr="00CD59CC">
        <w:rPr>
          <w:rFonts w:ascii="Arial" w:hAnsi="Arial" w:cs="Arial"/>
        </w:rPr>
        <w:t xml:space="preserve"> </w:t>
      </w:r>
      <w:r w:rsidR="00194342" w:rsidRPr="00CD59CC">
        <w:rPr>
          <w:rFonts w:ascii="Arial" w:hAnsi="Arial" w:cs="Arial"/>
        </w:rPr>
        <w:t>of</w:t>
      </w:r>
      <w:r w:rsidR="007B7640" w:rsidRPr="00CD59CC">
        <w:rPr>
          <w:rFonts w:ascii="Arial" w:hAnsi="Arial" w:cs="Arial"/>
        </w:rPr>
        <w:t xml:space="preserve"> </w:t>
      </w:r>
      <w:r w:rsidR="00194342" w:rsidRPr="00CD59CC">
        <w:rPr>
          <w:rFonts w:ascii="Arial" w:hAnsi="Arial" w:cs="Arial"/>
        </w:rPr>
        <w:t>People</w:t>
      </w:r>
      <w:r w:rsidR="007B7640" w:rsidRPr="00CD59CC">
        <w:rPr>
          <w:rFonts w:ascii="Arial" w:hAnsi="Arial" w:cs="Arial"/>
        </w:rPr>
        <w:t xml:space="preserve"> </w:t>
      </w:r>
      <w:r w:rsidR="00194342" w:rsidRPr="00CD59CC">
        <w:rPr>
          <w:rFonts w:ascii="Arial" w:hAnsi="Arial" w:cs="Arial"/>
        </w:rPr>
        <w:t>Living</w:t>
      </w:r>
      <w:r w:rsidR="007B7640" w:rsidRPr="00CD59CC">
        <w:rPr>
          <w:rFonts w:ascii="Arial" w:hAnsi="Arial" w:cs="Arial"/>
        </w:rPr>
        <w:t xml:space="preserve"> </w:t>
      </w:r>
      <w:r w:rsidR="00194342" w:rsidRPr="00CD59CC">
        <w:rPr>
          <w:rFonts w:ascii="Arial" w:hAnsi="Arial" w:cs="Arial"/>
        </w:rPr>
        <w:t>with</w:t>
      </w:r>
      <w:r w:rsidR="007B7640" w:rsidRPr="00CD59CC">
        <w:rPr>
          <w:rFonts w:ascii="Arial" w:hAnsi="Arial" w:cs="Arial"/>
        </w:rPr>
        <w:t xml:space="preserve"> </w:t>
      </w:r>
      <w:r w:rsidR="00194342" w:rsidRPr="00CD59CC">
        <w:rPr>
          <w:rFonts w:ascii="Arial" w:hAnsi="Arial" w:cs="Arial"/>
        </w:rPr>
        <w:t>Autism</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view</w:t>
      </w:r>
      <w:r w:rsidR="007B7640" w:rsidRPr="00CD59CC">
        <w:rPr>
          <w:rFonts w:ascii="Arial" w:hAnsi="Arial" w:cs="Arial"/>
        </w:rPr>
        <w:t xml:space="preserve"> </w:t>
      </w:r>
      <w:r w:rsidR="00194342" w:rsidRPr="00CD59CC">
        <w:rPr>
          <w:rFonts w:ascii="Arial" w:hAnsi="Arial" w:cs="Arial"/>
        </w:rPr>
        <w:t>that</w:t>
      </w:r>
      <w:r w:rsidR="007B7640" w:rsidRPr="00CD59CC">
        <w:rPr>
          <w:rFonts w:ascii="Arial" w:hAnsi="Arial" w:cs="Arial"/>
        </w:rPr>
        <w:t xml:space="preserve"> </w:t>
      </w:r>
      <w:r w:rsidR="00194342" w:rsidRPr="00CD59CC">
        <w:rPr>
          <w:rFonts w:ascii="Arial" w:hAnsi="Arial" w:cs="Arial"/>
        </w:rPr>
        <w:t>the</w:t>
      </w:r>
      <w:r w:rsidR="007B7640" w:rsidRPr="00CD59CC">
        <w:rPr>
          <w:rFonts w:ascii="Arial" w:hAnsi="Arial" w:cs="Arial"/>
        </w:rPr>
        <w:t xml:space="preserve"> </w:t>
      </w:r>
      <w:r w:rsidR="00194342" w:rsidRPr="00CD59CC">
        <w:rPr>
          <w:rFonts w:ascii="Arial" w:hAnsi="Arial" w:cs="Arial"/>
        </w:rPr>
        <w:t>level</w:t>
      </w:r>
      <w:r w:rsidR="007B7640" w:rsidRPr="00CD59CC">
        <w:rPr>
          <w:rFonts w:ascii="Arial" w:hAnsi="Arial" w:cs="Arial"/>
        </w:rPr>
        <w:t xml:space="preserve"> </w:t>
      </w:r>
      <w:r w:rsidR="00194342" w:rsidRPr="00CD59CC">
        <w:rPr>
          <w:rFonts w:ascii="Arial" w:hAnsi="Arial" w:cs="Arial"/>
        </w:rPr>
        <w:t>of</w:t>
      </w:r>
      <w:r w:rsidR="007B7640" w:rsidRPr="00CD59CC">
        <w:rPr>
          <w:rFonts w:ascii="Arial" w:hAnsi="Arial" w:cs="Arial"/>
        </w:rPr>
        <w:t xml:space="preserve"> </w:t>
      </w:r>
      <w:r w:rsidR="00194342" w:rsidRPr="00CD59CC">
        <w:rPr>
          <w:rFonts w:ascii="Arial" w:hAnsi="Arial" w:cs="Arial"/>
        </w:rPr>
        <w:t>legislation</w:t>
      </w:r>
      <w:r w:rsidR="007B7640" w:rsidRPr="00CD59CC">
        <w:rPr>
          <w:rFonts w:ascii="Arial" w:hAnsi="Arial" w:cs="Arial"/>
        </w:rPr>
        <w:t xml:space="preserve"> </w:t>
      </w:r>
      <w:r w:rsidR="00194342" w:rsidRPr="00CD59CC">
        <w:rPr>
          <w:rFonts w:ascii="Arial" w:hAnsi="Arial" w:cs="Arial"/>
        </w:rPr>
        <w:t>is</w:t>
      </w:r>
      <w:r w:rsidR="007B7640" w:rsidRPr="00CD59CC">
        <w:rPr>
          <w:rFonts w:ascii="Arial" w:hAnsi="Arial" w:cs="Arial"/>
        </w:rPr>
        <w:t xml:space="preserve"> </w:t>
      </w:r>
      <w:r w:rsidR="00194342" w:rsidRPr="00CD59CC">
        <w:rPr>
          <w:rFonts w:ascii="Arial" w:hAnsi="Arial" w:cs="Arial"/>
        </w:rPr>
        <w:t>inappropriate</w:t>
      </w:r>
      <w:r w:rsidRPr="00CD59CC">
        <w:rPr>
          <w:rFonts w:ascii="Arial" w:hAnsi="Arial" w:cs="Arial"/>
          <w:iCs/>
        </w:rPr>
        <w:t>,</w:t>
      </w:r>
      <w:r w:rsidR="007B7640" w:rsidRPr="00CD59CC">
        <w:rPr>
          <w:rFonts w:ascii="Arial" w:hAnsi="Arial" w:cs="Arial"/>
        </w:rPr>
        <w:t xml:space="preserve"> </w:t>
      </w:r>
      <w:r w:rsidR="00194342" w:rsidRPr="00CD59CC">
        <w:rPr>
          <w:rFonts w:ascii="Arial" w:hAnsi="Arial" w:cs="Arial"/>
        </w:rPr>
        <w:t>as</w:t>
      </w:r>
      <w:r w:rsidR="007B7640" w:rsidRPr="00CD59CC">
        <w:rPr>
          <w:rFonts w:ascii="Arial" w:hAnsi="Arial" w:cs="Arial"/>
        </w:rPr>
        <w:t xml:space="preserve"> </w:t>
      </w:r>
      <w:r w:rsidR="00194342" w:rsidRPr="00CD59CC">
        <w:rPr>
          <w:rFonts w:ascii="Arial" w:hAnsi="Arial" w:cs="Arial"/>
        </w:rPr>
        <w:t>the</w:t>
      </w:r>
      <w:r w:rsidR="007B7640" w:rsidRPr="00CD59CC">
        <w:rPr>
          <w:rFonts w:ascii="Arial" w:hAnsi="Arial" w:cs="Arial"/>
        </w:rPr>
        <w:t xml:space="preserve"> </w:t>
      </w:r>
      <w:r w:rsidR="00194342" w:rsidRPr="00CD59CC">
        <w:rPr>
          <w:rFonts w:ascii="Arial" w:hAnsi="Arial" w:cs="Arial"/>
        </w:rPr>
        <w:t>NDC</w:t>
      </w:r>
      <w:r w:rsidRPr="00CD59CC">
        <w:rPr>
          <w:rFonts w:ascii="Arial" w:hAnsi="Arial" w:cs="Arial"/>
        </w:rPr>
        <w:t>2</w:t>
      </w:r>
      <w:r w:rsidR="007B7640" w:rsidRPr="00CD59CC">
        <w:rPr>
          <w:rFonts w:ascii="Arial" w:hAnsi="Arial" w:cs="Arial"/>
        </w:rPr>
        <w:t xml:space="preserve"> </w:t>
      </w:r>
      <w:r w:rsidR="00194342" w:rsidRPr="00CD59CC">
        <w:rPr>
          <w:rFonts w:ascii="Arial" w:hAnsi="Arial" w:cs="Arial"/>
        </w:rPr>
        <w:t>should</w:t>
      </w:r>
      <w:r w:rsidR="007B7640" w:rsidRPr="00CD59CC">
        <w:rPr>
          <w:rFonts w:ascii="Arial" w:hAnsi="Arial" w:cs="Arial"/>
        </w:rPr>
        <w:t xml:space="preserve"> </w:t>
      </w:r>
      <w:r w:rsidR="00194342" w:rsidRPr="00CD59CC">
        <w:rPr>
          <w:rFonts w:ascii="Arial" w:hAnsi="Arial" w:cs="Arial"/>
        </w:rPr>
        <w:t>have</w:t>
      </w:r>
      <w:r w:rsidR="007B7640" w:rsidRPr="00CD59CC">
        <w:rPr>
          <w:rFonts w:ascii="Arial" w:hAnsi="Arial" w:cs="Arial"/>
        </w:rPr>
        <w:t xml:space="preserve"> </w:t>
      </w:r>
      <w:r w:rsidR="00194342" w:rsidRPr="00CD59CC">
        <w:rPr>
          <w:rFonts w:ascii="Arial" w:hAnsi="Arial" w:cs="Arial"/>
        </w:rPr>
        <w:t>been</w:t>
      </w:r>
      <w:r w:rsidR="007B7640" w:rsidRPr="00CD59CC">
        <w:rPr>
          <w:rFonts w:ascii="Arial" w:hAnsi="Arial" w:cs="Arial"/>
        </w:rPr>
        <w:t xml:space="preserve"> </w:t>
      </w:r>
      <w:r w:rsidR="00194342" w:rsidRPr="00CD59CC">
        <w:rPr>
          <w:rFonts w:ascii="Arial" w:hAnsi="Arial" w:cs="Arial"/>
        </w:rPr>
        <w:t>established</w:t>
      </w:r>
      <w:r w:rsidR="007B7640" w:rsidRPr="00CD59CC">
        <w:rPr>
          <w:rFonts w:ascii="Arial" w:hAnsi="Arial" w:cs="Arial"/>
        </w:rPr>
        <w:t xml:space="preserve"> </w:t>
      </w:r>
      <w:r w:rsidR="00194342" w:rsidRPr="00CD59CC">
        <w:rPr>
          <w:rFonts w:ascii="Arial" w:hAnsi="Arial" w:cs="Arial"/>
        </w:rPr>
        <w:t>by</w:t>
      </w:r>
      <w:r w:rsidR="007B7640" w:rsidRPr="00CD59CC">
        <w:rPr>
          <w:rFonts w:ascii="Arial" w:hAnsi="Arial" w:cs="Arial"/>
        </w:rPr>
        <w:t xml:space="preserve"> </w:t>
      </w:r>
      <w:r w:rsidR="00194342" w:rsidRPr="00CD59CC">
        <w:rPr>
          <w:rFonts w:ascii="Arial" w:hAnsi="Arial" w:cs="Arial"/>
        </w:rPr>
        <w:t>an</w:t>
      </w:r>
      <w:r w:rsidR="007B7640" w:rsidRPr="00CD59CC">
        <w:rPr>
          <w:rFonts w:ascii="Arial" w:hAnsi="Arial" w:cs="Arial"/>
        </w:rPr>
        <w:t xml:space="preserve"> </w:t>
      </w:r>
      <w:r w:rsidRPr="00CD59CC">
        <w:rPr>
          <w:rFonts w:ascii="Arial" w:hAnsi="Arial" w:cs="Arial"/>
        </w:rPr>
        <w:t>A</w:t>
      </w:r>
      <w:r w:rsidR="00194342" w:rsidRPr="00CD59CC">
        <w:rPr>
          <w:rFonts w:ascii="Arial" w:hAnsi="Arial" w:cs="Arial"/>
        </w:rPr>
        <w:t>ct</w:t>
      </w:r>
      <w:r w:rsidR="007B7640" w:rsidRPr="00CD59CC">
        <w:rPr>
          <w:rFonts w:ascii="Arial" w:hAnsi="Arial" w:cs="Arial"/>
        </w:rPr>
        <w:t xml:space="preserve"> </w:t>
      </w:r>
      <w:r w:rsidR="00194342" w:rsidRPr="00CD59CC">
        <w:rPr>
          <w:rFonts w:ascii="Arial" w:hAnsi="Arial" w:cs="Arial"/>
        </w:rPr>
        <w:t>of</w:t>
      </w:r>
      <w:r w:rsidR="007B7640" w:rsidRPr="00CD59CC">
        <w:rPr>
          <w:rFonts w:ascii="Arial" w:hAnsi="Arial" w:cs="Arial"/>
        </w:rPr>
        <w:t xml:space="preserve"> </w:t>
      </w:r>
      <w:r w:rsidR="00194342" w:rsidRPr="00CD59CC">
        <w:rPr>
          <w:rFonts w:ascii="Arial" w:hAnsi="Arial" w:cs="Arial"/>
        </w:rPr>
        <w:t>the</w:t>
      </w:r>
      <w:r w:rsidR="007B7640" w:rsidRPr="00CD59CC">
        <w:rPr>
          <w:rFonts w:ascii="Arial" w:hAnsi="Arial" w:cs="Arial"/>
        </w:rPr>
        <w:t xml:space="preserve"> </w:t>
      </w:r>
      <w:r w:rsidR="00194342" w:rsidRPr="00CD59CC">
        <w:rPr>
          <w:rFonts w:ascii="Arial" w:hAnsi="Arial" w:cs="Arial"/>
        </w:rPr>
        <w:t>Parliament</w:t>
      </w:r>
      <w:r w:rsidR="007B7640" w:rsidRPr="00CD59CC">
        <w:rPr>
          <w:rFonts w:ascii="Arial" w:hAnsi="Arial" w:cs="Arial"/>
        </w:rPr>
        <w:t xml:space="preserve"> </w:t>
      </w:r>
      <w:r w:rsidR="00194342" w:rsidRPr="00CD59CC">
        <w:rPr>
          <w:rFonts w:ascii="Arial" w:hAnsi="Arial" w:cs="Arial"/>
        </w:rPr>
        <w:t>rather</w:t>
      </w:r>
      <w:r w:rsidR="007B7640" w:rsidRPr="00CD59CC">
        <w:rPr>
          <w:rFonts w:ascii="Arial" w:hAnsi="Arial" w:cs="Arial"/>
        </w:rPr>
        <w:t xml:space="preserve"> </w:t>
      </w:r>
      <w:r w:rsidR="00194342" w:rsidRPr="00CD59CC">
        <w:rPr>
          <w:rFonts w:ascii="Arial" w:hAnsi="Arial" w:cs="Arial"/>
        </w:rPr>
        <w:t>than</w:t>
      </w:r>
      <w:r w:rsidR="007B7640" w:rsidRPr="00CD59CC">
        <w:rPr>
          <w:rFonts w:ascii="Arial" w:hAnsi="Arial" w:cs="Arial"/>
        </w:rPr>
        <w:t xml:space="preserve"> </w:t>
      </w:r>
      <w:r w:rsidR="00194342" w:rsidRPr="00CD59CC">
        <w:rPr>
          <w:rFonts w:ascii="Arial" w:hAnsi="Arial" w:cs="Arial"/>
        </w:rPr>
        <w:t>by</w:t>
      </w:r>
      <w:r w:rsidR="007B7640" w:rsidRPr="00CD59CC">
        <w:rPr>
          <w:rFonts w:ascii="Arial" w:hAnsi="Arial" w:cs="Arial"/>
        </w:rPr>
        <w:t xml:space="preserve"> </w:t>
      </w:r>
      <w:r w:rsidR="00194342" w:rsidRPr="00CD59CC">
        <w:rPr>
          <w:rFonts w:ascii="Arial" w:hAnsi="Arial" w:cs="Arial"/>
        </w:rPr>
        <w:t>a</w:t>
      </w:r>
      <w:r w:rsidR="007B7640" w:rsidRPr="00CD59CC">
        <w:rPr>
          <w:rFonts w:ascii="Arial" w:hAnsi="Arial" w:cs="Arial"/>
        </w:rPr>
        <w:t xml:space="preserve"> </w:t>
      </w:r>
      <w:r w:rsidR="00194342" w:rsidRPr="00CD59CC">
        <w:rPr>
          <w:rFonts w:ascii="Arial" w:hAnsi="Arial" w:cs="Arial"/>
        </w:rPr>
        <w:t>government</w:t>
      </w:r>
      <w:r w:rsidR="007B7640" w:rsidRPr="00CD59CC">
        <w:rPr>
          <w:rFonts w:ascii="Arial" w:hAnsi="Arial" w:cs="Arial"/>
        </w:rPr>
        <w:t xml:space="preserve"> </w:t>
      </w:r>
      <w:r w:rsidR="00194342" w:rsidRPr="00CD59CC">
        <w:rPr>
          <w:rFonts w:ascii="Arial" w:hAnsi="Arial" w:cs="Arial"/>
        </w:rPr>
        <w:t>decision</w:t>
      </w:r>
      <w:r w:rsidR="00D103A3" w:rsidRPr="00CD59CC">
        <w:rPr>
          <w:rFonts w:ascii="Arial" w:hAnsi="Arial" w:cs="Arial"/>
        </w:rPr>
        <w:t>.</w:t>
      </w:r>
      <w:r w:rsidRPr="00CD59CC">
        <w:rPr>
          <w:rStyle w:val="FootnoteReference"/>
          <w:rFonts w:ascii="Arial" w:hAnsi="Arial" w:cs="Arial"/>
        </w:rPr>
        <w:footnoteReference w:id="63"/>
      </w:r>
      <w:r w:rsidR="00004A11">
        <w:rPr>
          <w:rFonts w:ascii="Arial" w:hAnsi="Arial" w:cs="Arial"/>
        </w:rPr>
        <w:t>)</w:t>
      </w:r>
      <w:r w:rsidR="00592BD1">
        <w:rPr>
          <w:rFonts w:ascii="Arial" w:hAnsi="Arial" w:cs="Arial"/>
        </w:rPr>
        <w:t xml:space="preserve"> </w:t>
      </w:r>
    </w:p>
    <w:p w14:paraId="1E55966A" w14:textId="77777777" w:rsidR="005568DD" w:rsidRPr="00CD59CC" w:rsidRDefault="005568DD" w:rsidP="00CD59CC">
      <w:pPr>
        <w:rPr>
          <w:rFonts w:ascii="Arial" w:hAnsi="Arial" w:cs="Arial"/>
        </w:rPr>
      </w:pPr>
    </w:p>
    <w:p w14:paraId="547817E1" w14:textId="77777777" w:rsidR="00D103A3" w:rsidRDefault="0038057B" w:rsidP="00CD59CC">
      <w:pPr>
        <w:rPr>
          <w:rFonts w:ascii="Arial" w:hAnsi="Arial" w:cs="Arial"/>
        </w:rPr>
      </w:pPr>
      <w:r w:rsidRPr="00CD59CC">
        <w:rPr>
          <w:rFonts w:ascii="Arial" w:hAnsi="Arial" w:cs="Arial"/>
        </w:rPr>
        <w:t>O</w:t>
      </w:r>
      <w:r w:rsidR="00194342" w:rsidRPr="00CD59CC">
        <w:rPr>
          <w:rFonts w:ascii="Arial" w:hAnsi="Arial" w:cs="Arial"/>
        </w:rPr>
        <w:t>ut</w:t>
      </w:r>
      <w:r w:rsidR="007B7640" w:rsidRPr="00CD59CC">
        <w:rPr>
          <w:rFonts w:ascii="Arial" w:hAnsi="Arial" w:cs="Arial"/>
        </w:rPr>
        <w:t xml:space="preserve"> </w:t>
      </w:r>
      <w:r w:rsidR="00194342" w:rsidRPr="00CD59CC">
        <w:rPr>
          <w:rFonts w:ascii="Arial" w:hAnsi="Arial" w:cs="Arial"/>
        </w:rPr>
        <w:t>of</w:t>
      </w:r>
      <w:r w:rsidR="007B7640" w:rsidRPr="00CD59CC">
        <w:rPr>
          <w:rFonts w:ascii="Arial" w:hAnsi="Arial" w:cs="Arial"/>
        </w:rPr>
        <w:t xml:space="preserve"> </w:t>
      </w:r>
      <w:r w:rsidR="00194342" w:rsidRPr="00CD59CC">
        <w:rPr>
          <w:rFonts w:ascii="Arial" w:hAnsi="Arial" w:cs="Arial"/>
        </w:rPr>
        <w:t>the</w:t>
      </w:r>
      <w:r w:rsidR="007B7640" w:rsidRPr="00CD59CC">
        <w:rPr>
          <w:rFonts w:ascii="Arial" w:hAnsi="Arial" w:cs="Arial"/>
        </w:rPr>
        <w:t xml:space="preserve"> </w:t>
      </w:r>
      <w:r w:rsidR="00194342" w:rsidRPr="00CD59CC">
        <w:rPr>
          <w:rFonts w:ascii="Arial" w:hAnsi="Arial" w:cs="Arial"/>
        </w:rPr>
        <w:t>15</w:t>
      </w:r>
      <w:r w:rsidR="007B7640" w:rsidRPr="00CD59CC">
        <w:rPr>
          <w:rFonts w:ascii="Arial" w:hAnsi="Arial" w:cs="Arial"/>
        </w:rPr>
        <w:t xml:space="preserve"> </w:t>
      </w:r>
      <w:r w:rsidR="00194342" w:rsidRPr="00CD59CC">
        <w:rPr>
          <w:rFonts w:ascii="Arial" w:hAnsi="Arial" w:cs="Arial"/>
        </w:rPr>
        <w:t>NDC</w:t>
      </w:r>
      <w:r w:rsidRPr="00CD59CC">
        <w:rPr>
          <w:rFonts w:ascii="Arial" w:hAnsi="Arial" w:cs="Arial"/>
        </w:rPr>
        <w:t>2</w:t>
      </w:r>
      <w:r w:rsidR="007B7640" w:rsidRPr="00CD59CC">
        <w:rPr>
          <w:rFonts w:ascii="Arial" w:hAnsi="Arial" w:cs="Arial"/>
        </w:rPr>
        <w:t xml:space="preserve"> </w:t>
      </w:r>
      <w:r w:rsidR="00194342" w:rsidRPr="00CD59CC">
        <w:rPr>
          <w:rFonts w:ascii="Arial" w:hAnsi="Arial" w:cs="Arial"/>
        </w:rPr>
        <w:t>members</w:t>
      </w:r>
      <w:r w:rsidR="007B7640" w:rsidRPr="00CD59CC">
        <w:rPr>
          <w:rFonts w:ascii="Arial" w:hAnsi="Arial" w:cs="Arial"/>
        </w:rPr>
        <w:t xml:space="preserve"> </w:t>
      </w:r>
      <w:r w:rsidR="00194342" w:rsidRPr="00CD59CC">
        <w:rPr>
          <w:rFonts w:ascii="Arial" w:hAnsi="Arial" w:cs="Arial"/>
        </w:rPr>
        <w:t>only</w:t>
      </w:r>
      <w:r w:rsidR="007B7640" w:rsidRPr="00CD59CC">
        <w:rPr>
          <w:rFonts w:ascii="Arial" w:hAnsi="Arial" w:cs="Arial"/>
        </w:rPr>
        <w:t xml:space="preserve"> </w:t>
      </w:r>
      <w:r w:rsidR="00194342" w:rsidRPr="00CD59CC">
        <w:rPr>
          <w:rFonts w:ascii="Arial" w:hAnsi="Arial" w:cs="Arial"/>
        </w:rPr>
        <w:t>the</w:t>
      </w:r>
      <w:r w:rsidR="007B7640" w:rsidRPr="00CD59CC">
        <w:rPr>
          <w:rFonts w:ascii="Arial" w:hAnsi="Arial" w:cs="Arial"/>
        </w:rPr>
        <w:t xml:space="preserve"> </w:t>
      </w:r>
      <w:r w:rsidR="00194342" w:rsidRPr="00CD59CC">
        <w:rPr>
          <w:rFonts w:ascii="Arial" w:hAnsi="Arial" w:cs="Arial"/>
        </w:rPr>
        <w:t>chair</w:t>
      </w:r>
      <w:r w:rsidR="007B7640" w:rsidRPr="00CD59CC">
        <w:rPr>
          <w:rFonts w:ascii="Arial" w:hAnsi="Arial" w:cs="Arial"/>
        </w:rPr>
        <w:t xml:space="preserve"> </w:t>
      </w:r>
      <w:r w:rsidR="00194342" w:rsidRPr="00CD59CC">
        <w:rPr>
          <w:rFonts w:ascii="Arial" w:hAnsi="Arial" w:cs="Arial"/>
        </w:rPr>
        <w:t>represents</w:t>
      </w:r>
      <w:r w:rsidR="007B7640" w:rsidRPr="00CD59CC">
        <w:rPr>
          <w:rFonts w:ascii="Arial" w:hAnsi="Arial" w:cs="Arial"/>
        </w:rPr>
        <w:t xml:space="preserve"> </w:t>
      </w:r>
      <w:r w:rsidR="00194342" w:rsidRPr="00CD59CC">
        <w:rPr>
          <w:rFonts w:ascii="Arial" w:hAnsi="Arial" w:cs="Arial"/>
        </w:rPr>
        <w:t>the</w:t>
      </w:r>
      <w:r w:rsidR="007B7640" w:rsidRPr="00CD59CC">
        <w:rPr>
          <w:rFonts w:ascii="Arial" w:hAnsi="Arial" w:cs="Arial"/>
        </w:rPr>
        <w:t xml:space="preserve"> </w:t>
      </w:r>
      <w:r w:rsidR="00194342" w:rsidRPr="00CD59CC">
        <w:rPr>
          <w:rFonts w:ascii="Arial" w:hAnsi="Arial" w:cs="Arial"/>
        </w:rPr>
        <w:t>government,</w:t>
      </w:r>
      <w:r w:rsidR="007B7640" w:rsidRPr="00CD59CC">
        <w:rPr>
          <w:rFonts w:ascii="Arial" w:hAnsi="Arial" w:cs="Arial"/>
        </w:rPr>
        <w:t xml:space="preserve"> </w:t>
      </w:r>
      <w:r w:rsidR="00194342" w:rsidRPr="00CD59CC">
        <w:rPr>
          <w:rFonts w:ascii="Arial" w:hAnsi="Arial" w:cs="Arial"/>
        </w:rPr>
        <w:t>whilst</w:t>
      </w:r>
      <w:r w:rsidR="007B7640" w:rsidRPr="00CD59CC">
        <w:rPr>
          <w:rFonts w:ascii="Arial" w:hAnsi="Arial" w:cs="Arial"/>
        </w:rPr>
        <w:t xml:space="preserve"> </w:t>
      </w:r>
      <w:r w:rsidR="00194342" w:rsidRPr="00CD59CC">
        <w:rPr>
          <w:rFonts w:ascii="Arial" w:hAnsi="Arial" w:cs="Arial"/>
        </w:rPr>
        <w:t>the</w:t>
      </w:r>
      <w:r w:rsidR="007B7640" w:rsidRPr="00CD59CC">
        <w:rPr>
          <w:rFonts w:ascii="Arial" w:hAnsi="Arial" w:cs="Arial"/>
        </w:rPr>
        <w:t xml:space="preserve"> </w:t>
      </w:r>
      <w:r w:rsidR="00194342" w:rsidRPr="00CD59CC">
        <w:rPr>
          <w:rFonts w:ascii="Arial" w:hAnsi="Arial" w:cs="Arial"/>
        </w:rPr>
        <w:t>other</w:t>
      </w:r>
      <w:r w:rsidR="007B7640" w:rsidRPr="00CD59CC">
        <w:rPr>
          <w:rFonts w:ascii="Arial" w:hAnsi="Arial" w:cs="Arial"/>
        </w:rPr>
        <w:t xml:space="preserve"> </w:t>
      </w:r>
      <w:r w:rsidR="00194342" w:rsidRPr="00CD59CC">
        <w:rPr>
          <w:rFonts w:ascii="Arial" w:hAnsi="Arial" w:cs="Arial"/>
        </w:rPr>
        <w:t>14</w:t>
      </w:r>
      <w:r w:rsidR="007B7640" w:rsidRPr="00CD59CC">
        <w:rPr>
          <w:rFonts w:ascii="Arial" w:hAnsi="Arial" w:cs="Arial"/>
        </w:rPr>
        <w:t xml:space="preserve"> </w:t>
      </w:r>
      <w:r w:rsidR="00194342" w:rsidRPr="00CD59CC">
        <w:rPr>
          <w:rFonts w:ascii="Arial" w:hAnsi="Arial" w:cs="Arial"/>
        </w:rPr>
        <w:t>members</w:t>
      </w:r>
      <w:r w:rsidR="007B7640" w:rsidRPr="00CD59CC">
        <w:rPr>
          <w:rFonts w:ascii="Arial" w:hAnsi="Arial" w:cs="Arial"/>
        </w:rPr>
        <w:t xml:space="preserve"> </w:t>
      </w:r>
      <w:r w:rsidR="00194342" w:rsidRPr="00CD59CC">
        <w:rPr>
          <w:rFonts w:ascii="Arial" w:hAnsi="Arial" w:cs="Arial"/>
        </w:rPr>
        <w:t>are</w:t>
      </w:r>
      <w:r w:rsidR="007B7640" w:rsidRPr="00CD59CC">
        <w:rPr>
          <w:rFonts w:ascii="Arial" w:hAnsi="Arial" w:cs="Arial"/>
        </w:rPr>
        <w:t xml:space="preserve"> </w:t>
      </w:r>
      <w:r w:rsidR="00194342" w:rsidRPr="00CD59CC">
        <w:rPr>
          <w:rFonts w:ascii="Arial" w:hAnsi="Arial" w:cs="Arial"/>
        </w:rPr>
        <w:t>delegated</w:t>
      </w:r>
      <w:r w:rsidR="007B7640" w:rsidRPr="00CD59CC">
        <w:rPr>
          <w:rFonts w:ascii="Arial" w:hAnsi="Arial" w:cs="Arial"/>
        </w:rPr>
        <w:t xml:space="preserve"> </w:t>
      </w:r>
      <w:r w:rsidR="00194342" w:rsidRPr="00CD59CC">
        <w:rPr>
          <w:rFonts w:ascii="Arial" w:hAnsi="Arial" w:cs="Arial"/>
        </w:rPr>
        <w:t>by</w:t>
      </w:r>
      <w:r w:rsidR="007B7640" w:rsidRPr="00CD59CC">
        <w:rPr>
          <w:rFonts w:ascii="Arial" w:hAnsi="Arial" w:cs="Arial"/>
        </w:rPr>
        <w:t xml:space="preserve"> </w:t>
      </w:r>
      <w:r w:rsidR="00194342" w:rsidRPr="00CD59CC">
        <w:rPr>
          <w:rFonts w:ascii="Arial" w:hAnsi="Arial" w:cs="Arial"/>
        </w:rPr>
        <w:t>the</w:t>
      </w:r>
      <w:r w:rsidR="007B7640" w:rsidRPr="00CD59CC">
        <w:rPr>
          <w:rFonts w:ascii="Arial" w:hAnsi="Arial" w:cs="Arial"/>
        </w:rPr>
        <w:t xml:space="preserve"> </w:t>
      </w:r>
      <w:r w:rsidR="00194342" w:rsidRPr="00CD59CC">
        <w:rPr>
          <w:rFonts w:ascii="Arial" w:hAnsi="Arial" w:cs="Arial"/>
        </w:rPr>
        <w:t>largest</w:t>
      </w:r>
      <w:r w:rsidR="007B7640" w:rsidRPr="00CD59CC">
        <w:rPr>
          <w:rFonts w:ascii="Arial" w:hAnsi="Arial" w:cs="Arial"/>
        </w:rPr>
        <w:t xml:space="preserve"> </w:t>
      </w:r>
      <w:r w:rsidR="00194342" w:rsidRPr="00CD59CC">
        <w:rPr>
          <w:rFonts w:ascii="Arial" w:hAnsi="Arial" w:cs="Arial"/>
        </w:rPr>
        <w:t>members</w:t>
      </w:r>
      <w:r w:rsidR="007B7640" w:rsidRPr="00CD59CC">
        <w:rPr>
          <w:rFonts w:ascii="Arial" w:hAnsi="Arial" w:cs="Arial"/>
        </w:rPr>
        <w:t xml:space="preserve"> </w:t>
      </w:r>
      <w:r w:rsidR="00194342" w:rsidRPr="00CD59CC">
        <w:rPr>
          <w:rFonts w:ascii="Arial" w:hAnsi="Arial" w:cs="Arial"/>
        </w:rPr>
        <w:t>of</w:t>
      </w:r>
      <w:r w:rsidR="007B7640" w:rsidRPr="00CD59CC">
        <w:rPr>
          <w:rFonts w:ascii="Arial" w:hAnsi="Arial" w:cs="Arial"/>
        </w:rPr>
        <w:t xml:space="preserve"> </w:t>
      </w:r>
      <w:r w:rsidR="00194342" w:rsidRPr="00CD59CC">
        <w:rPr>
          <w:rFonts w:ascii="Arial" w:hAnsi="Arial" w:cs="Arial"/>
        </w:rPr>
        <w:t>disabled</w:t>
      </w:r>
      <w:r w:rsidR="007B7640" w:rsidRPr="00CD59CC">
        <w:rPr>
          <w:rFonts w:ascii="Arial" w:hAnsi="Arial" w:cs="Arial"/>
        </w:rPr>
        <w:t xml:space="preserve"> </w:t>
      </w:r>
      <w:r w:rsidR="00194342" w:rsidRPr="00CD59CC">
        <w:rPr>
          <w:rFonts w:ascii="Arial" w:hAnsi="Arial" w:cs="Arial"/>
        </w:rPr>
        <w:t>peoples’</w:t>
      </w:r>
      <w:r w:rsidR="007B7640" w:rsidRPr="00CD59CC">
        <w:rPr>
          <w:rFonts w:ascii="Arial" w:hAnsi="Arial" w:cs="Arial"/>
        </w:rPr>
        <w:t xml:space="preserve"> </w:t>
      </w:r>
      <w:r w:rsidR="00194342" w:rsidRPr="00CD59CC">
        <w:rPr>
          <w:rFonts w:ascii="Arial" w:hAnsi="Arial" w:cs="Arial"/>
        </w:rPr>
        <w:lastRenderedPageBreak/>
        <w:t>organizations</w:t>
      </w:r>
      <w:r w:rsidR="007B7640" w:rsidRPr="00CD59CC">
        <w:rPr>
          <w:rFonts w:ascii="Arial" w:hAnsi="Arial" w:cs="Arial"/>
        </w:rPr>
        <w:t xml:space="preserve"> </w:t>
      </w:r>
      <w:r w:rsidR="00194342" w:rsidRPr="00CD59CC">
        <w:rPr>
          <w:rFonts w:ascii="Arial" w:hAnsi="Arial" w:cs="Arial"/>
        </w:rPr>
        <w:t>(hereafter:</w:t>
      </w:r>
      <w:r w:rsidR="007B7640" w:rsidRPr="00CD59CC">
        <w:rPr>
          <w:rFonts w:ascii="Arial" w:hAnsi="Arial" w:cs="Arial"/>
        </w:rPr>
        <w:t xml:space="preserve"> </w:t>
      </w:r>
      <w:r w:rsidR="00194342" w:rsidRPr="00CD59CC">
        <w:rPr>
          <w:rFonts w:ascii="Arial" w:hAnsi="Arial" w:cs="Arial"/>
        </w:rPr>
        <w:t>DPOs)</w:t>
      </w:r>
      <w:r w:rsidR="007B7640" w:rsidRPr="00CD59CC">
        <w:rPr>
          <w:rFonts w:ascii="Arial" w:hAnsi="Arial" w:cs="Arial"/>
        </w:rPr>
        <w:t xml:space="preserve"> </w:t>
      </w:r>
      <w:r w:rsidR="00194342" w:rsidRPr="00CD59CC">
        <w:rPr>
          <w:rFonts w:ascii="Arial" w:hAnsi="Arial" w:cs="Arial"/>
        </w:rPr>
        <w:t>or</w:t>
      </w:r>
      <w:r w:rsidR="007B7640" w:rsidRPr="00CD59CC">
        <w:rPr>
          <w:rFonts w:ascii="Arial" w:hAnsi="Arial" w:cs="Arial"/>
        </w:rPr>
        <w:t xml:space="preserve"> </w:t>
      </w:r>
      <w:r w:rsidR="00194342" w:rsidRPr="00CD59CC">
        <w:rPr>
          <w:rFonts w:ascii="Arial" w:hAnsi="Arial" w:cs="Arial"/>
        </w:rPr>
        <w:t>by</w:t>
      </w:r>
      <w:r w:rsidR="007B7640" w:rsidRPr="00CD59CC">
        <w:rPr>
          <w:rFonts w:ascii="Arial" w:hAnsi="Arial" w:cs="Arial"/>
        </w:rPr>
        <w:t xml:space="preserve"> </w:t>
      </w:r>
      <w:r w:rsidR="00194342" w:rsidRPr="00CD59CC">
        <w:rPr>
          <w:rFonts w:ascii="Arial" w:hAnsi="Arial" w:cs="Arial"/>
        </w:rPr>
        <w:t>the</w:t>
      </w:r>
      <w:r w:rsidR="007B7640" w:rsidRPr="00CD59CC">
        <w:rPr>
          <w:rFonts w:ascii="Arial" w:hAnsi="Arial" w:cs="Arial"/>
        </w:rPr>
        <w:t xml:space="preserve"> </w:t>
      </w:r>
      <w:r w:rsidR="00194342" w:rsidRPr="00CD59CC">
        <w:rPr>
          <w:rFonts w:ascii="Arial" w:hAnsi="Arial" w:cs="Arial"/>
        </w:rPr>
        <w:t>alliance</w:t>
      </w:r>
      <w:r w:rsidR="007B7640" w:rsidRPr="00CD59CC">
        <w:rPr>
          <w:rFonts w:ascii="Arial" w:hAnsi="Arial" w:cs="Arial"/>
        </w:rPr>
        <w:t xml:space="preserve"> </w:t>
      </w:r>
      <w:r w:rsidR="00194342" w:rsidRPr="00CD59CC">
        <w:rPr>
          <w:rFonts w:ascii="Arial" w:hAnsi="Arial" w:cs="Arial"/>
        </w:rPr>
        <w:t>of</w:t>
      </w:r>
      <w:r w:rsidR="007B7640" w:rsidRPr="00CD59CC">
        <w:rPr>
          <w:rFonts w:ascii="Arial" w:hAnsi="Arial" w:cs="Arial"/>
        </w:rPr>
        <w:t xml:space="preserve"> </w:t>
      </w:r>
      <w:r w:rsidR="00194342" w:rsidRPr="00CD59CC">
        <w:rPr>
          <w:rFonts w:ascii="Arial" w:hAnsi="Arial" w:cs="Arial"/>
        </w:rPr>
        <w:t>smaller</w:t>
      </w:r>
      <w:r w:rsidR="007B7640" w:rsidRPr="00CD59CC">
        <w:rPr>
          <w:rFonts w:ascii="Arial" w:hAnsi="Arial" w:cs="Arial"/>
        </w:rPr>
        <w:t xml:space="preserve"> </w:t>
      </w:r>
      <w:r w:rsidR="00194342" w:rsidRPr="00CD59CC">
        <w:rPr>
          <w:rFonts w:ascii="Arial" w:hAnsi="Arial" w:cs="Arial"/>
        </w:rPr>
        <w:t>DPOs.</w:t>
      </w:r>
      <w:r w:rsidR="007B7640" w:rsidRPr="00CD59CC">
        <w:rPr>
          <w:rFonts w:ascii="Arial" w:hAnsi="Arial" w:cs="Arial"/>
        </w:rPr>
        <w:t xml:space="preserve"> </w:t>
      </w:r>
      <w:r w:rsidR="00D103A3" w:rsidRPr="00CD59CC">
        <w:rPr>
          <w:rFonts w:ascii="Arial" w:hAnsi="Arial" w:cs="Arial"/>
        </w:rPr>
        <w:t>T</w:t>
      </w:r>
      <w:r w:rsidR="00194342" w:rsidRPr="00CD59CC">
        <w:rPr>
          <w:rFonts w:ascii="Arial" w:hAnsi="Arial" w:cs="Arial"/>
        </w:rPr>
        <w:t>he</w:t>
      </w:r>
      <w:r w:rsidR="007B7640" w:rsidRPr="00CD59CC">
        <w:rPr>
          <w:rFonts w:ascii="Arial" w:hAnsi="Arial" w:cs="Arial"/>
        </w:rPr>
        <w:t xml:space="preserve"> </w:t>
      </w:r>
      <w:r w:rsidR="00194342" w:rsidRPr="00CD59CC">
        <w:rPr>
          <w:rFonts w:ascii="Arial" w:hAnsi="Arial" w:cs="Arial"/>
        </w:rPr>
        <w:t>composition</w:t>
      </w:r>
      <w:r w:rsidR="007B7640" w:rsidRPr="00CD59CC">
        <w:rPr>
          <w:rFonts w:ascii="Arial" w:hAnsi="Arial" w:cs="Arial"/>
        </w:rPr>
        <w:t xml:space="preserve"> </w:t>
      </w:r>
      <w:r w:rsidR="00194342" w:rsidRPr="00CD59CC">
        <w:rPr>
          <w:rFonts w:ascii="Arial" w:hAnsi="Arial" w:cs="Arial"/>
        </w:rPr>
        <w:t>of</w:t>
      </w:r>
      <w:r w:rsidR="007B7640" w:rsidRPr="00CD59CC">
        <w:rPr>
          <w:rFonts w:ascii="Arial" w:hAnsi="Arial" w:cs="Arial"/>
        </w:rPr>
        <w:t xml:space="preserve"> </w:t>
      </w:r>
      <w:r w:rsidR="00194342" w:rsidRPr="00CD59CC">
        <w:rPr>
          <w:rFonts w:ascii="Arial" w:hAnsi="Arial" w:cs="Arial"/>
        </w:rPr>
        <w:t>NCD</w:t>
      </w:r>
      <w:r w:rsidR="007B7640" w:rsidRPr="00CD59CC">
        <w:rPr>
          <w:rFonts w:ascii="Arial" w:hAnsi="Arial" w:cs="Arial"/>
        </w:rPr>
        <w:t xml:space="preserve"> </w:t>
      </w:r>
      <w:r w:rsidR="00194342" w:rsidRPr="00CD59CC">
        <w:rPr>
          <w:rFonts w:ascii="Arial" w:hAnsi="Arial" w:cs="Arial"/>
        </w:rPr>
        <w:t>members</w:t>
      </w:r>
      <w:r w:rsidR="007B7640" w:rsidRPr="00CD59CC">
        <w:rPr>
          <w:rFonts w:ascii="Arial" w:hAnsi="Arial" w:cs="Arial"/>
        </w:rPr>
        <w:t xml:space="preserve"> </w:t>
      </w:r>
      <w:r w:rsidR="00194342" w:rsidRPr="00CD59CC">
        <w:rPr>
          <w:rFonts w:ascii="Arial" w:hAnsi="Arial" w:cs="Arial"/>
        </w:rPr>
        <w:t>was</w:t>
      </w:r>
      <w:r w:rsidR="007B7640" w:rsidRPr="00CD59CC">
        <w:rPr>
          <w:rFonts w:ascii="Arial" w:hAnsi="Arial" w:cs="Arial"/>
        </w:rPr>
        <w:t xml:space="preserve"> </w:t>
      </w:r>
      <w:r w:rsidR="00194342" w:rsidRPr="00CD59CC">
        <w:rPr>
          <w:rFonts w:ascii="Arial" w:hAnsi="Arial" w:cs="Arial"/>
        </w:rPr>
        <w:t>also</w:t>
      </w:r>
      <w:r w:rsidR="007B7640" w:rsidRPr="00CD59CC">
        <w:rPr>
          <w:rFonts w:ascii="Arial" w:hAnsi="Arial" w:cs="Arial"/>
        </w:rPr>
        <w:t xml:space="preserve"> </w:t>
      </w:r>
      <w:r w:rsidR="00194342" w:rsidRPr="00CD59CC">
        <w:rPr>
          <w:rFonts w:ascii="Arial" w:hAnsi="Arial" w:cs="Arial"/>
        </w:rPr>
        <w:t>criticized</w:t>
      </w:r>
      <w:r w:rsidR="007B7640" w:rsidRPr="00CD59CC">
        <w:rPr>
          <w:rFonts w:ascii="Arial" w:hAnsi="Arial" w:cs="Arial"/>
        </w:rPr>
        <w:t xml:space="preserve"> </w:t>
      </w:r>
      <w:r w:rsidR="00194342" w:rsidRPr="00CD59CC">
        <w:rPr>
          <w:rFonts w:ascii="Arial" w:hAnsi="Arial" w:cs="Arial"/>
        </w:rPr>
        <w:t>by</w:t>
      </w:r>
      <w:r w:rsidR="007B7640" w:rsidRPr="00CD59CC">
        <w:rPr>
          <w:rFonts w:ascii="Arial" w:hAnsi="Arial" w:cs="Arial"/>
        </w:rPr>
        <w:t xml:space="preserve"> </w:t>
      </w:r>
      <w:r w:rsidR="00194342" w:rsidRPr="00CD59CC">
        <w:rPr>
          <w:rFonts w:ascii="Arial" w:hAnsi="Arial" w:cs="Arial"/>
        </w:rPr>
        <w:t>some</w:t>
      </w:r>
      <w:r w:rsidR="007B7640" w:rsidRPr="00CD59CC">
        <w:rPr>
          <w:rFonts w:ascii="Arial" w:hAnsi="Arial" w:cs="Arial"/>
        </w:rPr>
        <w:t xml:space="preserve"> </w:t>
      </w:r>
      <w:r w:rsidR="00194342" w:rsidRPr="00CD59CC">
        <w:rPr>
          <w:rFonts w:ascii="Arial" w:hAnsi="Arial" w:cs="Arial"/>
        </w:rPr>
        <w:t>DPOs</w:t>
      </w:r>
      <w:r w:rsidR="007B7640" w:rsidRPr="00CD59CC">
        <w:rPr>
          <w:rFonts w:ascii="Arial" w:hAnsi="Arial" w:cs="Arial"/>
        </w:rPr>
        <w:t xml:space="preserve"> </w:t>
      </w:r>
      <w:r w:rsidR="00D103A3" w:rsidRPr="00CD59CC">
        <w:rPr>
          <w:rFonts w:ascii="Arial" w:hAnsi="Arial" w:cs="Arial"/>
        </w:rPr>
        <w:t>for</w:t>
      </w:r>
      <w:r w:rsidR="007B7640" w:rsidRPr="00CD59CC">
        <w:rPr>
          <w:rFonts w:ascii="Arial" w:hAnsi="Arial" w:cs="Arial"/>
        </w:rPr>
        <w:t xml:space="preserve"> </w:t>
      </w:r>
      <w:r w:rsidR="00D103A3" w:rsidRPr="00CD59CC">
        <w:rPr>
          <w:rFonts w:ascii="Arial" w:hAnsi="Arial" w:cs="Arial"/>
        </w:rPr>
        <w:t>being</w:t>
      </w:r>
      <w:r w:rsidR="007B7640" w:rsidRPr="00CD59CC">
        <w:rPr>
          <w:rFonts w:ascii="Arial" w:hAnsi="Arial" w:cs="Arial"/>
        </w:rPr>
        <w:t xml:space="preserve"> </w:t>
      </w:r>
      <w:r w:rsidR="00D103A3" w:rsidRPr="00CD59CC">
        <w:rPr>
          <w:rFonts w:ascii="Arial" w:hAnsi="Arial" w:cs="Arial"/>
        </w:rPr>
        <w:t>somewhat</w:t>
      </w:r>
      <w:r w:rsidR="007B7640" w:rsidRPr="00CD59CC">
        <w:rPr>
          <w:rFonts w:ascii="Arial" w:hAnsi="Arial" w:cs="Arial"/>
        </w:rPr>
        <w:t xml:space="preserve"> </w:t>
      </w:r>
      <w:r w:rsidR="00D103A3" w:rsidRPr="00CD59CC">
        <w:rPr>
          <w:rFonts w:ascii="Arial" w:hAnsi="Arial" w:cs="Arial"/>
        </w:rPr>
        <w:t>arbitrary</w:t>
      </w:r>
      <w:r w:rsidR="007B7640" w:rsidRPr="00CD59CC">
        <w:rPr>
          <w:rFonts w:ascii="Arial" w:hAnsi="Arial" w:cs="Arial"/>
        </w:rPr>
        <w:t xml:space="preserve"> </w:t>
      </w:r>
      <w:r w:rsidR="00D103A3" w:rsidRPr="00CD59CC">
        <w:rPr>
          <w:rFonts w:ascii="Arial" w:hAnsi="Arial" w:cs="Arial"/>
        </w:rPr>
        <w:t>(e.g.</w:t>
      </w:r>
      <w:r w:rsidR="007B7640" w:rsidRPr="00CD59CC">
        <w:rPr>
          <w:rFonts w:ascii="Arial" w:hAnsi="Arial" w:cs="Arial"/>
        </w:rPr>
        <w:t xml:space="preserve"> </w:t>
      </w:r>
      <w:r w:rsidR="00D103A3" w:rsidRPr="00CD59CC">
        <w:rPr>
          <w:rFonts w:ascii="Arial" w:hAnsi="Arial" w:cs="Arial"/>
        </w:rPr>
        <w:t>the</w:t>
      </w:r>
      <w:r w:rsidR="007B7640" w:rsidRPr="00CD59CC">
        <w:rPr>
          <w:rFonts w:ascii="Arial" w:hAnsi="Arial" w:cs="Arial"/>
        </w:rPr>
        <w:t xml:space="preserve"> </w:t>
      </w:r>
      <w:r w:rsidR="00D103A3" w:rsidRPr="00CD59CC">
        <w:rPr>
          <w:rFonts w:ascii="Arial" w:hAnsi="Arial" w:cs="Arial"/>
        </w:rPr>
        <w:t>Hungarian</w:t>
      </w:r>
      <w:r w:rsidR="007B7640" w:rsidRPr="00CD59CC">
        <w:rPr>
          <w:rFonts w:ascii="Arial" w:hAnsi="Arial" w:cs="Arial"/>
        </w:rPr>
        <w:t xml:space="preserve"> </w:t>
      </w:r>
      <w:r w:rsidR="00D103A3" w:rsidRPr="00CD59CC">
        <w:rPr>
          <w:rFonts w:ascii="Arial" w:hAnsi="Arial" w:cs="Arial"/>
        </w:rPr>
        <w:t>Olympic</w:t>
      </w:r>
      <w:r w:rsidR="007B7640" w:rsidRPr="00CD59CC">
        <w:rPr>
          <w:rFonts w:ascii="Arial" w:hAnsi="Arial" w:cs="Arial"/>
        </w:rPr>
        <w:t xml:space="preserve"> </w:t>
      </w:r>
      <w:r w:rsidR="00D103A3" w:rsidRPr="00CD59CC">
        <w:rPr>
          <w:rFonts w:ascii="Arial" w:hAnsi="Arial" w:cs="Arial"/>
        </w:rPr>
        <w:t>Committee</w:t>
      </w:r>
      <w:r w:rsidR="007B7640" w:rsidRPr="00CD59CC">
        <w:rPr>
          <w:rFonts w:ascii="Arial" w:hAnsi="Arial" w:cs="Arial"/>
        </w:rPr>
        <w:t xml:space="preserve"> </w:t>
      </w:r>
      <w:r w:rsidR="00D103A3" w:rsidRPr="00CD59CC">
        <w:rPr>
          <w:rFonts w:ascii="Arial" w:hAnsi="Arial" w:cs="Arial"/>
        </w:rPr>
        <w:t>is</w:t>
      </w:r>
      <w:r w:rsidR="007B7640" w:rsidRPr="00CD59CC">
        <w:rPr>
          <w:rFonts w:ascii="Arial" w:hAnsi="Arial" w:cs="Arial"/>
        </w:rPr>
        <w:t xml:space="preserve"> </w:t>
      </w:r>
      <w:r w:rsidR="00D103A3" w:rsidRPr="00CD59CC">
        <w:rPr>
          <w:rFonts w:ascii="Arial" w:hAnsi="Arial" w:cs="Arial"/>
        </w:rPr>
        <w:t>among</w:t>
      </w:r>
      <w:r w:rsidR="007B7640" w:rsidRPr="00CD59CC">
        <w:rPr>
          <w:rFonts w:ascii="Arial" w:hAnsi="Arial" w:cs="Arial"/>
        </w:rPr>
        <w:t xml:space="preserve"> </w:t>
      </w:r>
      <w:r w:rsidR="00D103A3" w:rsidRPr="00CD59CC">
        <w:rPr>
          <w:rFonts w:ascii="Arial" w:hAnsi="Arial" w:cs="Arial"/>
        </w:rPr>
        <w:t>those</w:t>
      </w:r>
      <w:r w:rsidR="007B7640" w:rsidRPr="00CD59CC">
        <w:rPr>
          <w:rFonts w:ascii="Arial" w:hAnsi="Arial" w:cs="Arial"/>
        </w:rPr>
        <w:t xml:space="preserve"> </w:t>
      </w:r>
      <w:r w:rsidR="00D103A3" w:rsidRPr="00CD59CC">
        <w:rPr>
          <w:rFonts w:ascii="Arial" w:hAnsi="Arial" w:cs="Arial"/>
        </w:rPr>
        <w:t>organisations</w:t>
      </w:r>
      <w:r w:rsidR="007B7640" w:rsidRPr="00CD59CC">
        <w:rPr>
          <w:rFonts w:ascii="Arial" w:hAnsi="Arial" w:cs="Arial"/>
        </w:rPr>
        <w:t xml:space="preserve"> </w:t>
      </w:r>
      <w:r w:rsidR="00D103A3" w:rsidRPr="00CD59CC">
        <w:rPr>
          <w:rFonts w:ascii="Arial" w:hAnsi="Arial" w:cs="Arial"/>
        </w:rPr>
        <w:t>which</w:t>
      </w:r>
      <w:r w:rsidR="007B7640" w:rsidRPr="00CD59CC">
        <w:rPr>
          <w:rFonts w:ascii="Arial" w:hAnsi="Arial" w:cs="Arial"/>
        </w:rPr>
        <w:t xml:space="preserve"> </w:t>
      </w:r>
      <w:r w:rsidR="00D103A3" w:rsidRPr="00CD59CC">
        <w:rPr>
          <w:rFonts w:ascii="Arial" w:hAnsi="Arial" w:cs="Arial"/>
        </w:rPr>
        <w:t>can</w:t>
      </w:r>
      <w:r w:rsidR="007B7640" w:rsidRPr="00CD59CC">
        <w:rPr>
          <w:rFonts w:ascii="Arial" w:hAnsi="Arial" w:cs="Arial"/>
        </w:rPr>
        <w:t xml:space="preserve"> </w:t>
      </w:r>
      <w:r w:rsidR="00D103A3" w:rsidRPr="00CD59CC">
        <w:rPr>
          <w:rFonts w:ascii="Arial" w:hAnsi="Arial" w:cs="Arial"/>
        </w:rPr>
        <w:t>delegate</w:t>
      </w:r>
      <w:r w:rsidR="007B7640" w:rsidRPr="00CD59CC">
        <w:rPr>
          <w:rFonts w:ascii="Arial" w:hAnsi="Arial" w:cs="Arial"/>
        </w:rPr>
        <w:t xml:space="preserve"> </w:t>
      </w:r>
      <w:r w:rsidR="00D103A3" w:rsidRPr="00CD59CC">
        <w:rPr>
          <w:rFonts w:ascii="Arial" w:hAnsi="Arial" w:cs="Arial"/>
        </w:rPr>
        <w:t>a</w:t>
      </w:r>
      <w:r w:rsidR="007B7640" w:rsidRPr="00CD59CC">
        <w:rPr>
          <w:rFonts w:ascii="Arial" w:hAnsi="Arial" w:cs="Arial"/>
        </w:rPr>
        <w:t xml:space="preserve"> </w:t>
      </w:r>
      <w:r w:rsidR="00D103A3" w:rsidRPr="00CD59CC">
        <w:rPr>
          <w:rFonts w:ascii="Arial" w:hAnsi="Arial" w:cs="Arial"/>
        </w:rPr>
        <w:t>members,</w:t>
      </w:r>
      <w:r w:rsidR="007B7640" w:rsidRPr="00CD59CC">
        <w:rPr>
          <w:rFonts w:ascii="Arial" w:hAnsi="Arial" w:cs="Arial"/>
        </w:rPr>
        <w:t xml:space="preserve"> </w:t>
      </w:r>
      <w:r w:rsidR="00D103A3" w:rsidRPr="00CD59CC">
        <w:rPr>
          <w:rFonts w:ascii="Arial" w:hAnsi="Arial" w:cs="Arial"/>
        </w:rPr>
        <w:t>while</w:t>
      </w:r>
      <w:r w:rsidR="007B7640" w:rsidRPr="00CD59CC">
        <w:rPr>
          <w:rFonts w:ascii="Arial" w:hAnsi="Arial" w:cs="Arial"/>
        </w:rPr>
        <w:t xml:space="preserve"> </w:t>
      </w:r>
      <w:r w:rsidR="00194342" w:rsidRPr="00CD59CC">
        <w:rPr>
          <w:rFonts w:ascii="Arial" w:hAnsi="Arial" w:cs="Arial"/>
        </w:rPr>
        <w:t>organi</w:t>
      </w:r>
      <w:r w:rsidR="00D103A3" w:rsidRPr="00CD59CC">
        <w:rPr>
          <w:rFonts w:ascii="Arial" w:hAnsi="Arial" w:cs="Arial"/>
        </w:rPr>
        <w:t>s</w:t>
      </w:r>
      <w:r w:rsidR="00194342" w:rsidRPr="00CD59CC">
        <w:rPr>
          <w:rFonts w:ascii="Arial" w:hAnsi="Arial" w:cs="Arial"/>
        </w:rPr>
        <w:t>ations</w:t>
      </w:r>
      <w:r w:rsidR="007B7640" w:rsidRPr="00CD59CC">
        <w:rPr>
          <w:rFonts w:ascii="Arial" w:hAnsi="Arial" w:cs="Arial"/>
        </w:rPr>
        <w:t xml:space="preserve"> </w:t>
      </w:r>
      <w:r w:rsidR="00194342" w:rsidRPr="00CD59CC">
        <w:rPr>
          <w:rFonts w:ascii="Arial" w:hAnsi="Arial" w:cs="Arial"/>
        </w:rPr>
        <w:t>representing</w:t>
      </w:r>
      <w:r w:rsidR="007B7640" w:rsidRPr="00CD59CC">
        <w:rPr>
          <w:rFonts w:ascii="Arial" w:hAnsi="Arial" w:cs="Arial"/>
        </w:rPr>
        <w:t xml:space="preserve"> </w:t>
      </w:r>
      <w:r w:rsidR="00194342" w:rsidRPr="00CD59CC">
        <w:rPr>
          <w:rFonts w:ascii="Arial" w:hAnsi="Arial" w:cs="Arial"/>
        </w:rPr>
        <w:t>women</w:t>
      </w:r>
      <w:r w:rsidR="007B7640" w:rsidRPr="00CD59CC">
        <w:rPr>
          <w:rFonts w:ascii="Arial" w:hAnsi="Arial" w:cs="Arial"/>
        </w:rPr>
        <w:t xml:space="preserve"> </w:t>
      </w:r>
      <w:r w:rsidR="00194342" w:rsidRPr="00CD59CC">
        <w:rPr>
          <w:rFonts w:ascii="Arial" w:hAnsi="Arial" w:cs="Arial"/>
        </w:rPr>
        <w:t>or</w:t>
      </w:r>
      <w:r w:rsidR="007B7640" w:rsidRPr="00CD59CC">
        <w:rPr>
          <w:rFonts w:ascii="Arial" w:hAnsi="Arial" w:cs="Arial"/>
        </w:rPr>
        <w:t xml:space="preserve"> </w:t>
      </w:r>
      <w:r w:rsidR="00194342" w:rsidRPr="00CD59CC">
        <w:rPr>
          <w:rFonts w:ascii="Arial" w:hAnsi="Arial" w:cs="Arial"/>
        </w:rPr>
        <w:t>children</w:t>
      </w:r>
      <w:r w:rsidR="007B7640" w:rsidRPr="00CD59CC">
        <w:rPr>
          <w:rFonts w:ascii="Arial" w:hAnsi="Arial" w:cs="Arial"/>
        </w:rPr>
        <w:t xml:space="preserve"> </w:t>
      </w:r>
      <w:r w:rsidR="00194342" w:rsidRPr="00CD59CC">
        <w:rPr>
          <w:rFonts w:ascii="Arial" w:hAnsi="Arial" w:cs="Arial"/>
        </w:rPr>
        <w:t>living</w:t>
      </w:r>
      <w:r w:rsidR="007B7640" w:rsidRPr="00CD59CC">
        <w:rPr>
          <w:rFonts w:ascii="Arial" w:hAnsi="Arial" w:cs="Arial"/>
        </w:rPr>
        <w:t xml:space="preserve"> </w:t>
      </w:r>
      <w:r w:rsidR="00194342" w:rsidRPr="00CD59CC">
        <w:rPr>
          <w:rFonts w:ascii="Arial" w:hAnsi="Arial" w:cs="Arial"/>
        </w:rPr>
        <w:t>with</w:t>
      </w:r>
      <w:r w:rsidR="007B7640" w:rsidRPr="00CD59CC">
        <w:rPr>
          <w:rFonts w:ascii="Arial" w:hAnsi="Arial" w:cs="Arial"/>
        </w:rPr>
        <w:t xml:space="preserve"> </w:t>
      </w:r>
      <w:r w:rsidR="00194342" w:rsidRPr="00CD59CC">
        <w:rPr>
          <w:rFonts w:ascii="Arial" w:hAnsi="Arial" w:cs="Arial"/>
        </w:rPr>
        <w:t>disabilities</w:t>
      </w:r>
      <w:r w:rsidR="007B7640" w:rsidRPr="00CD59CC">
        <w:rPr>
          <w:rFonts w:ascii="Arial" w:hAnsi="Arial" w:cs="Arial"/>
        </w:rPr>
        <w:t xml:space="preserve"> </w:t>
      </w:r>
      <w:r w:rsidR="00D103A3" w:rsidRPr="00CD59CC">
        <w:rPr>
          <w:rFonts w:ascii="Arial" w:hAnsi="Arial" w:cs="Arial"/>
        </w:rPr>
        <w:t>have</w:t>
      </w:r>
      <w:r w:rsidR="007B7640" w:rsidRPr="00CD59CC">
        <w:rPr>
          <w:rFonts w:ascii="Arial" w:hAnsi="Arial" w:cs="Arial"/>
        </w:rPr>
        <w:t xml:space="preserve"> </w:t>
      </w:r>
      <w:r w:rsidR="00D103A3" w:rsidRPr="00CD59CC">
        <w:rPr>
          <w:rFonts w:ascii="Arial" w:hAnsi="Arial" w:cs="Arial"/>
        </w:rPr>
        <w:t>not</w:t>
      </w:r>
      <w:r w:rsidR="007B7640" w:rsidRPr="00CD59CC">
        <w:rPr>
          <w:rFonts w:ascii="Arial" w:hAnsi="Arial" w:cs="Arial"/>
        </w:rPr>
        <w:t xml:space="preserve"> </w:t>
      </w:r>
      <w:r w:rsidR="00D103A3" w:rsidRPr="00CD59CC">
        <w:rPr>
          <w:rFonts w:ascii="Arial" w:hAnsi="Arial" w:cs="Arial"/>
        </w:rPr>
        <w:t>been</w:t>
      </w:r>
      <w:r w:rsidR="007B7640" w:rsidRPr="00CD59CC">
        <w:rPr>
          <w:rFonts w:ascii="Arial" w:hAnsi="Arial" w:cs="Arial"/>
        </w:rPr>
        <w:t xml:space="preserve"> </w:t>
      </w:r>
      <w:r w:rsidR="00D103A3" w:rsidRPr="00CD59CC">
        <w:rPr>
          <w:rFonts w:ascii="Arial" w:hAnsi="Arial" w:cs="Arial"/>
        </w:rPr>
        <w:t>included)</w:t>
      </w:r>
      <w:r w:rsidR="00194342" w:rsidRPr="00CD59CC">
        <w:rPr>
          <w:rFonts w:ascii="Arial" w:hAnsi="Arial" w:cs="Arial"/>
        </w:rPr>
        <w:t>.</w:t>
      </w:r>
      <w:bookmarkStart w:id="107" w:name="_ftnref13"/>
      <w:r w:rsidR="00D103A3" w:rsidRPr="00CD59CC">
        <w:rPr>
          <w:rStyle w:val="FootnoteReference"/>
          <w:rFonts w:ascii="Arial" w:hAnsi="Arial" w:cs="Arial"/>
        </w:rPr>
        <w:footnoteReference w:id="64"/>
      </w:r>
      <w:bookmarkEnd w:id="107"/>
    </w:p>
    <w:p w14:paraId="1E38F57F" w14:textId="77777777" w:rsidR="00B97ED3" w:rsidRPr="00CD59CC" w:rsidRDefault="00B97ED3" w:rsidP="00CD59CC">
      <w:pPr>
        <w:rPr>
          <w:rFonts w:ascii="Arial" w:hAnsi="Arial" w:cs="Arial"/>
        </w:rPr>
      </w:pPr>
    </w:p>
    <w:p w14:paraId="0A2ECC0D" w14:textId="77777777" w:rsidR="00D103A3" w:rsidRPr="00CD59CC" w:rsidRDefault="00194342" w:rsidP="00CD59CC">
      <w:pPr>
        <w:rPr>
          <w:rFonts w:ascii="Arial" w:hAnsi="Arial" w:cs="Arial"/>
          <w:lang w:val="en-US"/>
        </w:rPr>
      </w:pPr>
      <w:r w:rsidRPr="00CD59CC">
        <w:rPr>
          <w:rFonts w:ascii="Arial" w:hAnsi="Arial" w:cs="Arial"/>
        </w:rPr>
        <w:t>NDC</w:t>
      </w:r>
      <w:r w:rsidR="00D103A3" w:rsidRPr="00CD59CC">
        <w:rPr>
          <w:rFonts w:ascii="Arial" w:hAnsi="Arial" w:cs="Arial"/>
        </w:rPr>
        <w:t>2</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00D103A3" w:rsidRPr="00CD59CC">
        <w:rPr>
          <w:rFonts w:ascii="Arial" w:hAnsi="Arial" w:cs="Arial"/>
        </w:rPr>
        <w:t>also</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lang w:val="en-US"/>
        </w:rPr>
        <w:t>consultative</w:t>
      </w:r>
      <w:r w:rsidR="007B7640" w:rsidRPr="00CD59CC">
        <w:rPr>
          <w:rFonts w:ascii="Arial" w:hAnsi="Arial" w:cs="Arial"/>
          <w:lang w:val="en-US"/>
        </w:rPr>
        <w:t xml:space="preserve"> </w:t>
      </w:r>
      <w:r w:rsidRPr="00CD59CC">
        <w:rPr>
          <w:rFonts w:ascii="Arial" w:hAnsi="Arial" w:cs="Arial"/>
          <w:lang w:val="en-US"/>
        </w:rPr>
        <w:t>forum;</w:t>
      </w:r>
      <w:r w:rsidR="007B7640" w:rsidRPr="00CD59CC">
        <w:rPr>
          <w:rFonts w:ascii="Arial" w:hAnsi="Arial" w:cs="Arial"/>
          <w:lang w:val="en-US"/>
        </w:rPr>
        <w:t xml:space="preserve"> </w:t>
      </w:r>
      <w:r w:rsidRPr="00CD59CC">
        <w:rPr>
          <w:rFonts w:ascii="Arial" w:hAnsi="Arial" w:cs="Arial"/>
          <w:lang w:val="en-US"/>
        </w:rPr>
        <w:t>it</w:t>
      </w:r>
      <w:r w:rsidR="007B7640" w:rsidRPr="00CD59CC">
        <w:rPr>
          <w:rFonts w:ascii="Arial" w:hAnsi="Arial" w:cs="Arial"/>
          <w:lang w:val="en-US"/>
        </w:rPr>
        <w:t xml:space="preserve"> </w:t>
      </w:r>
      <w:r w:rsidRPr="00CD59CC">
        <w:rPr>
          <w:rFonts w:ascii="Arial" w:hAnsi="Arial" w:cs="Arial"/>
          <w:lang w:val="en-US"/>
        </w:rPr>
        <w:t>provides</w:t>
      </w:r>
      <w:r w:rsidR="007B7640" w:rsidRPr="00CD59CC">
        <w:rPr>
          <w:rFonts w:ascii="Arial" w:hAnsi="Arial" w:cs="Arial"/>
          <w:lang w:val="en-US"/>
        </w:rPr>
        <w:t xml:space="preserve"> </w:t>
      </w:r>
      <w:r w:rsidRPr="00CD59CC">
        <w:rPr>
          <w:rFonts w:ascii="Arial" w:hAnsi="Arial" w:cs="Arial"/>
          <w:lang w:val="en-US"/>
        </w:rPr>
        <w:t>the</w:t>
      </w:r>
      <w:r w:rsidR="007B7640" w:rsidRPr="00CD59CC">
        <w:rPr>
          <w:rFonts w:ascii="Arial" w:hAnsi="Arial" w:cs="Arial"/>
          <w:lang w:val="en-US"/>
        </w:rPr>
        <w:t xml:space="preserve"> </w:t>
      </w:r>
      <w:r w:rsidRPr="00CD59CC">
        <w:rPr>
          <w:rFonts w:ascii="Arial" w:hAnsi="Arial" w:cs="Arial"/>
          <w:lang w:val="en-US"/>
        </w:rPr>
        <w:t>Government</w:t>
      </w:r>
      <w:r w:rsidR="007B7640" w:rsidRPr="00CD59CC">
        <w:rPr>
          <w:rFonts w:ascii="Arial" w:hAnsi="Arial" w:cs="Arial"/>
          <w:lang w:val="en-US"/>
        </w:rPr>
        <w:t xml:space="preserve"> </w:t>
      </w:r>
      <w:r w:rsidRPr="00CD59CC">
        <w:rPr>
          <w:rFonts w:ascii="Arial" w:hAnsi="Arial" w:cs="Arial"/>
          <w:lang w:val="en-US"/>
        </w:rPr>
        <w:t>and</w:t>
      </w:r>
      <w:r w:rsidR="007B7640" w:rsidRPr="00CD59CC">
        <w:rPr>
          <w:rFonts w:ascii="Arial" w:hAnsi="Arial" w:cs="Arial"/>
          <w:lang w:val="en-US"/>
        </w:rPr>
        <w:t xml:space="preserve"> </w:t>
      </w:r>
      <w:r w:rsidRPr="00CD59CC">
        <w:rPr>
          <w:rFonts w:ascii="Arial" w:hAnsi="Arial" w:cs="Arial"/>
          <w:lang w:val="en-US"/>
        </w:rPr>
        <w:t>the</w:t>
      </w:r>
      <w:r w:rsidR="007B7640" w:rsidRPr="00CD59CC">
        <w:rPr>
          <w:rFonts w:ascii="Arial" w:hAnsi="Arial" w:cs="Arial"/>
          <w:lang w:val="en-US"/>
        </w:rPr>
        <w:t xml:space="preserve"> </w:t>
      </w:r>
      <w:r w:rsidRPr="00CD59CC">
        <w:rPr>
          <w:rFonts w:ascii="Arial" w:hAnsi="Arial" w:cs="Arial"/>
          <w:lang w:val="en-US"/>
        </w:rPr>
        <w:t>Minister</w:t>
      </w:r>
      <w:r w:rsidR="007B7640" w:rsidRPr="00CD59CC">
        <w:rPr>
          <w:rFonts w:ascii="Arial" w:hAnsi="Arial" w:cs="Arial"/>
          <w:lang w:val="en-US"/>
        </w:rPr>
        <w:t xml:space="preserve"> </w:t>
      </w:r>
      <w:r w:rsidRPr="00CD59CC">
        <w:rPr>
          <w:rFonts w:ascii="Arial" w:hAnsi="Arial" w:cs="Arial"/>
          <w:lang w:val="en-US"/>
        </w:rPr>
        <w:t>responsible</w:t>
      </w:r>
      <w:r w:rsidR="007B7640" w:rsidRPr="00CD59CC">
        <w:rPr>
          <w:rFonts w:ascii="Arial" w:hAnsi="Arial" w:cs="Arial"/>
          <w:lang w:val="en-US"/>
        </w:rPr>
        <w:t xml:space="preserve"> </w:t>
      </w:r>
      <w:r w:rsidRPr="00CD59CC">
        <w:rPr>
          <w:rFonts w:ascii="Arial" w:hAnsi="Arial" w:cs="Arial"/>
          <w:lang w:val="en-US"/>
        </w:rPr>
        <w:t>for</w:t>
      </w:r>
      <w:r w:rsidR="007B7640" w:rsidRPr="00CD59CC">
        <w:rPr>
          <w:rFonts w:ascii="Arial" w:hAnsi="Arial" w:cs="Arial"/>
          <w:lang w:val="en-US"/>
        </w:rPr>
        <w:t xml:space="preserve"> </w:t>
      </w:r>
      <w:r w:rsidRPr="00CD59CC">
        <w:rPr>
          <w:rFonts w:ascii="Arial" w:hAnsi="Arial" w:cs="Arial"/>
          <w:lang w:val="en-US"/>
        </w:rPr>
        <w:t>promoting</w:t>
      </w:r>
      <w:r w:rsidR="007B7640" w:rsidRPr="00CD59CC">
        <w:rPr>
          <w:rFonts w:ascii="Arial" w:hAnsi="Arial" w:cs="Arial"/>
          <w:lang w:val="en-US"/>
        </w:rPr>
        <w:t xml:space="preserve"> </w:t>
      </w:r>
      <w:r w:rsidRPr="00CD59CC">
        <w:rPr>
          <w:rFonts w:ascii="Arial" w:hAnsi="Arial" w:cs="Arial"/>
          <w:lang w:val="en-US"/>
        </w:rPr>
        <w:t>equal</w:t>
      </w:r>
      <w:r w:rsidR="007B7640" w:rsidRPr="00CD59CC">
        <w:rPr>
          <w:rFonts w:ascii="Arial" w:hAnsi="Arial" w:cs="Arial"/>
          <w:lang w:val="en-US"/>
        </w:rPr>
        <w:t xml:space="preserve"> </w:t>
      </w:r>
      <w:r w:rsidRPr="00CD59CC">
        <w:rPr>
          <w:rFonts w:ascii="Arial" w:hAnsi="Arial" w:cs="Arial"/>
          <w:lang w:val="en-US"/>
        </w:rPr>
        <w:t>opportunities</w:t>
      </w:r>
      <w:r w:rsidR="007B7640" w:rsidRPr="00CD59CC">
        <w:rPr>
          <w:rFonts w:ascii="Arial" w:hAnsi="Arial" w:cs="Arial"/>
          <w:lang w:val="en-US"/>
        </w:rPr>
        <w:t xml:space="preserve"> </w:t>
      </w:r>
      <w:r w:rsidR="00D103A3" w:rsidRPr="00CD59CC">
        <w:rPr>
          <w:rFonts w:ascii="Arial" w:hAnsi="Arial" w:cs="Arial"/>
          <w:lang w:val="en-US"/>
        </w:rPr>
        <w:t>with</w:t>
      </w:r>
      <w:r w:rsidR="007B7640" w:rsidRPr="00CD59CC">
        <w:rPr>
          <w:rFonts w:ascii="Arial" w:hAnsi="Arial" w:cs="Arial"/>
          <w:lang w:val="en-US"/>
        </w:rPr>
        <w:t xml:space="preserve"> </w:t>
      </w:r>
      <w:r w:rsidR="00D103A3" w:rsidRPr="00CD59CC">
        <w:rPr>
          <w:rFonts w:ascii="Arial" w:hAnsi="Arial" w:cs="Arial"/>
          <w:lang w:val="en-US"/>
        </w:rPr>
        <w:t>advice.</w:t>
      </w:r>
      <w:r w:rsidR="007B7640" w:rsidRPr="00CD59CC">
        <w:rPr>
          <w:rFonts w:ascii="Arial" w:hAnsi="Arial" w:cs="Arial"/>
          <w:lang w:val="en-US"/>
        </w:rPr>
        <w:t xml:space="preserve"> </w:t>
      </w:r>
      <w:r w:rsidRPr="00CD59CC">
        <w:rPr>
          <w:rFonts w:ascii="Arial" w:hAnsi="Arial" w:cs="Arial"/>
          <w:lang w:val="en-US"/>
        </w:rPr>
        <w:t>The</w:t>
      </w:r>
      <w:r w:rsidR="007B7640" w:rsidRPr="00CD59CC">
        <w:rPr>
          <w:rFonts w:ascii="Arial" w:hAnsi="Arial" w:cs="Arial"/>
          <w:lang w:val="en-US"/>
        </w:rPr>
        <w:t xml:space="preserve"> </w:t>
      </w:r>
      <w:r w:rsidRPr="00CD59CC">
        <w:rPr>
          <w:rFonts w:ascii="Arial" w:hAnsi="Arial" w:cs="Arial"/>
          <w:lang w:val="en-US"/>
        </w:rPr>
        <w:t>Government</w:t>
      </w:r>
      <w:r w:rsidR="007B7640" w:rsidRPr="00CD59CC">
        <w:rPr>
          <w:rFonts w:ascii="Arial" w:hAnsi="Arial" w:cs="Arial"/>
          <w:lang w:val="en-US"/>
        </w:rPr>
        <w:t xml:space="preserve"> </w:t>
      </w:r>
      <w:r w:rsidR="00D103A3" w:rsidRPr="00CD59CC">
        <w:rPr>
          <w:rFonts w:ascii="Arial" w:hAnsi="Arial" w:cs="Arial"/>
          <w:lang w:val="en-US"/>
        </w:rPr>
        <w:t>Resolution</w:t>
      </w:r>
      <w:r w:rsidR="007B7640" w:rsidRPr="00CD59CC">
        <w:rPr>
          <w:rFonts w:ascii="Arial" w:hAnsi="Arial" w:cs="Arial"/>
          <w:lang w:val="en-US"/>
        </w:rPr>
        <w:t xml:space="preserve"> </w:t>
      </w:r>
      <w:r w:rsidR="00D103A3" w:rsidRPr="00CD59CC">
        <w:rPr>
          <w:rFonts w:ascii="Arial" w:hAnsi="Arial" w:cs="Arial"/>
          <w:lang w:val="en-US"/>
        </w:rPr>
        <w:t>does</w:t>
      </w:r>
      <w:r w:rsidR="007B7640" w:rsidRPr="00CD59CC">
        <w:rPr>
          <w:rFonts w:ascii="Arial" w:hAnsi="Arial" w:cs="Arial"/>
          <w:lang w:val="en-US"/>
        </w:rPr>
        <w:t xml:space="preserve"> </w:t>
      </w:r>
      <w:r w:rsidR="00D103A3" w:rsidRPr="00CD59CC">
        <w:rPr>
          <w:rFonts w:ascii="Arial" w:hAnsi="Arial" w:cs="Arial"/>
          <w:lang w:val="en-US"/>
        </w:rPr>
        <w:t>not</w:t>
      </w:r>
      <w:r w:rsidR="007B7640" w:rsidRPr="00CD59CC">
        <w:rPr>
          <w:rFonts w:ascii="Arial" w:hAnsi="Arial" w:cs="Arial"/>
          <w:lang w:val="en-US"/>
        </w:rPr>
        <w:t xml:space="preserve"> </w:t>
      </w:r>
      <w:r w:rsidR="00D103A3" w:rsidRPr="00CD59CC">
        <w:rPr>
          <w:rFonts w:ascii="Arial" w:hAnsi="Arial" w:cs="Arial"/>
          <w:lang w:val="en-US"/>
        </w:rPr>
        <w:t>envisage</w:t>
      </w:r>
      <w:r w:rsidR="007B7640" w:rsidRPr="00CD59CC">
        <w:rPr>
          <w:rFonts w:ascii="Arial" w:hAnsi="Arial" w:cs="Arial"/>
          <w:lang w:val="en-US"/>
        </w:rPr>
        <w:t xml:space="preserve"> </w:t>
      </w:r>
      <w:r w:rsidRPr="00CD59CC">
        <w:rPr>
          <w:rFonts w:ascii="Arial" w:hAnsi="Arial" w:cs="Arial"/>
          <w:lang w:val="en-US"/>
        </w:rPr>
        <w:t>any</w:t>
      </w:r>
      <w:r w:rsidR="007B7640" w:rsidRPr="00CD59CC">
        <w:rPr>
          <w:rFonts w:ascii="Arial" w:hAnsi="Arial" w:cs="Arial"/>
          <w:lang w:val="en-US"/>
        </w:rPr>
        <w:t xml:space="preserve"> </w:t>
      </w:r>
      <w:r w:rsidRPr="00CD59CC">
        <w:rPr>
          <w:rFonts w:ascii="Arial" w:hAnsi="Arial" w:cs="Arial"/>
          <w:lang w:val="en-US"/>
        </w:rPr>
        <w:t>consequence</w:t>
      </w:r>
      <w:r w:rsidR="007B7640" w:rsidRPr="00CD59CC">
        <w:rPr>
          <w:rFonts w:ascii="Arial" w:hAnsi="Arial" w:cs="Arial"/>
          <w:lang w:val="en-US"/>
        </w:rPr>
        <w:t xml:space="preserve"> </w:t>
      </w:r>
      <w:r w:rsidR="00D103A3" w:rsidRPr="00CD59CC">
        <w:rPr>
          <w:rFonts w:ascii="Arial" w:hAnsi="Arial" w:cs="Arial"/>
          <w:lang w:val="en-US"/>
        </w:rPr>
        <w:t>or</w:t>
      </w:r>
      <w:r w:rsidR="007B7640" w:rsidRPr="00CD59CC">
        <w:rPr>
          <w:rFonts w:ascii="Arial" w:hAnsi="Arial" w:cs="Arial"/>
          <w:lang w:val="en-US"/>
        </w:rPr>
        <w:t xml:space="preserve"> </w:t>
      </w:r>
      <w:r w:rsidR="00D103A3" w:rsidRPr="00CD59CC">
        <w:rPr>
          <w:rFonts w:ascii="Arial" w:hAnsi="Arial" w:cs="Arial"/>
          <w:lang w:val="en-US"/>
        </w:rPr>
        <w:t>sanction</w:t>
      </w:r>
      <w:r w:rsidR="007B7640" w:rsidRPr="00CD59CC">
        <w:rPr>
          <w:rFonts w:ascii="Arial" w:hAnsi="Arial" w:cs="Arial"/>
          <w:lang w:val="en-US"/>
        </w:rPr>
        <w:t xml:space="preserve"> </w:t>
      </w:r>
      <w:r w:rsidR="00D103A3" w:rsidRPr="00CD59CC">
        <w:rPr>
          <w:rFonts w:ascii="Arial" w:hAnsi="Arial" w:cs="Arial"/>
          <w:lang w:val="en-US"/>
        </w:rPr>
        <w:t>if</w:t>
      </w:r>
      <w:r w:rsidR="007B7640" w:rsidRPr="00CD59CC">
        <w:rPr>
          <w:rFonts w:ascii="Arial" w:hAnsi="Arial" w:cs="Arial"/>
          <w:lang w:val="en-US"/>
        </w:rPr>
        <w:t xml:space="preserve"> </w:t>
      </w:r>
      <w:r w:rsidR="00D103A3" w:rsidRPr="00CD59CC">
        <w:rPr>
          <w:rFonts w:ascii="Arial" w:hAnsi="Arial" w:cs="Arial"/>
          <w:lang w:val="en-US"/>
        </w:rPr>
        <w:t>the</w:t>
      </w:r>
      <w:r w:rsidR="007B7640" w:rsidRPr="00CD59CC">
        <w:rPr>
          <w:rFonts w:ascii="Arial" w:hAnsi="Arial" w:cs="Arial"/>
          <w:lang w:val="en-US"/>
        </w:rPr>
        <w:t xml:space="preserve"> </w:t>
      </w:r>
      <w:r w:rsidR="00D103A3" w:rsidRPr="00CD59CC">
        <w:rPr>
          <w:rFonts w:ascii="Arial" w:hAnsi="Arial" w:cs="Arial"/>
          <w:lang w:val="en-US"/>
        </w:rPr>
        <w:t>NDC2’s</w:t>
      </w:r>
      <w:r w:rsidR="007B7640" w:rsidRPr="00CD59CC">
        <w:rPr>
          <w:rFonts w:ascii="Arial" w:hAnsi="Arial" w:cs="Arial"/>
          <w:lang w:val="en-US"/>
        </w:rPr>
        <w:t xml:space="preserve"> </w:t>
      </w:r>
      <w:r w:rsidR="00D103A3" w:rsidRPr="00CD59CC">
        <w:rPr>
          <w:rFonts w:ascii="Arial" w:hAnsi="Arial" w:cs="Arial"/>
          <w:lang w:val="en-US"/>
        </w:rPr>
        <w:t>advice</w:t>
      </w:r>
      <w:r w:rsidR="007B7640" w:rsidRPr="00CD59CC">
        <w:rPr>
          <w:rFonts w:ascii="Arial" w:hAnsi="Arial" w:cs="Arial"/>
          <w:lang w:val="en-US"/>
        </w:rPr>
        <w:t xml:space="preserve"> </w:t>
      </w:r>
      <w:r w:rsidR="00D103A3" w:rsidRPr="00CD59CC">
        <w:rPr>
          <w:rFonts w:ascii="Arial" w:hAnsi="Arial" w:cs="Arial"/>
          <w:lang w:val="en-US"/>
        </w:rPr>
        <w:t>is</w:t>
      </w:r>
      <w:r w:rsidR="007B7640" w:rsidRPr="00CD59CC">
        <w:rPr>
          <w:rFonts w:ascii="Arial" w:hAnsi="Arial" w:cs="Arial"/>
          <w:lang w:val="en-US"/>
        </w:rPr>
        <w:t xml:space="preserve"> </w:t>
      </w:r>
      <w:r w:rsidR="00D103A3" w:rsidRPr="00CD59CC">
        <w:rPr>
          <w:rFonts w:ascii="Arial" w:hAnsi="Arial" w:cs="Arial"/>
          <w:lang w:val="en-US"/>
        </w:rPr>
        <w:t>not</w:t>
      </w:r>
      <w:r w:rsidR="007B7640" w:rsidRPr="00CD59CC">
        <w:rPr>
          <w:rFonts w:ascii="Arial" w:hAnsi="Arial" w:cs="Arial"/>
          <w:lang w:val="en-US"/>
        </w:rPr>
        <w:t xml:space="preserve"> </w:t>
      </w:r>
      <w:r w:rsidR="00D103A3" w:rsidRPr="00CD59CC">
        <w:rPr>
          <w:rFonts w:ascii="Arial" w:hAnsi="Arial" w:cs="Arial"/>
          <w:lang w:val="en-US"/>
        </w:rPr>
        <w:t>taken</w:t>
      </w:r>
      <w:r w:rsidR="007B7640" w:rsidRPr="00CD59CC">
        <w:rPr>
          <w:rFonts w:ascii="Arial" w:hAnsi="Arial" w:cs="Arial"/>
          <w:lang w:val="en-US"/>
        </w:rPr>
        <w:t xml:space="preserve"> </w:t>
      </w:r>
      <w:r w:rsidR="00D103A3" w:rsidRPr="00CD59CC">
        <w:rPr>
          <w:rFonts w:ascii="Arial" w:hAnsi="Arial" w:cs="Arial"/>
          <w:lang w:val="en-US"/>
        </w:rPr>
        <w:t>into</w:t>
      </w:r>
      <w:r w:rsidR="007B7640" w:rsidRPr="00CD59CC">
        <w:rPr>
          <w:rFonts w:ascii="Arial" w:hAnsi="Arial" w:cs="Arial"/>
          <w:lang w:val="en-US"/>
        </w:rPr>
        <w:t xml:space="preserve"> </w:t>
      </w:r>
      <w:r w:rsidR="00D103A3" w:rsidRPr="00CD59CC">
        <w:rPr>
          <w:rFonts w:ascii="Arial" w:hAnsi="Arial" w:cs="Arial"/>
          <w:lang w:val="en-US"/>
        </w:rPr>
        <w:t>account</w:t>
      </w:r>
      <w:r w:rsidRPr="00CD59CC">
        <w:rPr>
          <w:rFonts w:ascii="Arial" w:hAnsi="Arial" w:cs="Arial"/>
          <w:lang w:val="en-US"/>
        </w:rPr>
        <w:t>.</w:t>
      </w:r>
      <w:r w:rsidR="007B7640" w:rsidRPr="00CD59CC">
        <w:rPr>
          <w:rFonts w:ascii="Arial" w:hAnsi="Arial" w:cs="Arial"/>
          <w:lang w:val="en-US"/>
        </w:rPr>
        <w:t xml:space="preserve"> </w:t>
      </w:r>
      <w:r w:rsidRPr="00CD59CC">
        <w:rPr>
          <w:rFonts w:ascii="Arial" w:hAnsi="Arial" w:cs="Arial"/>
          <w:lang w:val="en-US"/>
        </w:rPr>
        <w:t>The</w:t>
      </w:r>
      <w:r w:rsidR="007B7640" w:rsidRPr="00CD59CC">
        <w:rPr>
          <w:rFonts w:ascii="Arial" w:hAnsi="Arial" w:cs="Arial"/>
          <w:lang w:val="en-US"/>
        </w:rPr>
        <w:t xml:space="preserve"> </w:t>
      </w:r>
      <w:r w:rsidRPr="00CD59CC">
        <w:rPr>
          <w:rFonts w:ascii="Arial" w:hAnsi="Arial" w:cs="Arial"/>
          <w:lang w:val="en-US"/>
        </w:rPr>
        <w:t>NDC</w:t>
      </w:r>
      <w:r w:rsidR="00D103A3" w:rsidRPr="00CD59CC">
        <w:rPr>
          <w:rFonts w:ascii="Arial" w:hAnsi="Arial" w:cs="Arial"/>
          <w:lang w:val="en-US"/>
        </w:rPr>
        <w:t>2</w:t>
      </w:r>
      <w:r w:rsidR="007B7640" w:rsidRPr="00CD59CC">
        <w:rPr>
          <w:rFonts w:ascii="Arial" w:hAnsi="Arial" w:cs="Arial"/>
          <w:lang w:val="en-US"/>
        </w:rPr>
        <w:t xml:space="preserve"> </w:t>
      </w:r>
      <w:r w:rsidRPr="00CD59CC">
        <w:rPr>
          <w:rFonts w:ascii="Arial" w:hAnsi="Arial" w:cs="Arial"/>
          <w:lang w:val="en-US"/>
        </w:rPr>
        <w:t>also</w:t>
      </w:r>
      <w:r w:rsidR="007B7640" w:rsidRPr="00CD59CC">
        <w:rPr>
          <w:rFonts w:ascii="Arial" w:hAnsi="Arial" w:cs="Arial"/>
          <w:lang w:val="en-US"/>
        </w:rPr>
        <w:t xml:space="preserve"> </w:t>
      </w:r>
      <w:r w:rsidRPr="00CD59CC">
        <w:rPr>
          <w:rFonts w:ascii="Arial" w:hAnsi="Arial" w:cs="Arial"/>
          <w:lang w:val="en-US"/>
        </w:rPr>
        <w:t>serves</w:t>
      </w:r>
      <w:r w:rsidR="007B7640" w:rsidRPr="00CD59CC">
        <w:rPr>
          <w:rFonts w:ascii="Arial" w:hAnsi="Arial" w:cs="Arial"/>
          <w:lang w:val="en-US"/>
        </w:rPr>
        <w:t xml:space="preserve"> </w:t>
      </w:r>
      <w:r w:rsidRPr="00CD59CC">
        <w:rPr>
          <w:rFonts w:ascii="Arial" w:hAnsi="Arial" w:cs="Arial"/>
          <w:lang w:val="en-US"/>
        </w:rPr>
        <w:t>as</w:t>
      </w:r>
      <w:r w:rsidR="007B7640" w:rsidRPr="00CD59CC">
        <w:rPr>
          <w:rFonts w:ascii="Arial" w:hAnsi="Arial" w:cs="Arial"/>
          <w:lang w:val="en-US"/>
        </w:rPr>
        <w:t xml:space="preserve"> </w:t>
      </w:r>
      <w:r w:rsidRPr="00CD59CC">
        <w:rPr>
          <w:rFonts w:ascii="Arial" w:hAnsi="Arial" w:cs="Arial"/>
          <w:lang w:val="en-US"/>
        </w:rPr>
        <w:t>the</w:t>
      </w:r>
      <w:r w:rsidR="007B7640" w:rsidRPr="00CD59CC">
        <w:rPr>
          <w:rFonts w:ascii="Arial" w:hAnsi="Arial" w:cs="Arial"/>
          <w:lang w:val="en-US"/>
        </w:rPr>
        <w:t xml:space="preserve"> </w:t>
      </w:r>
      <w:r w:rsidRPr="00CD59CC">
        <w:rPr>
          <w:rFonts w:ascii="Arial" w:hAnsi="Arial" w:cs="Arial"/>
          <w:lang w:val="en-US"/>
        </w:rPr>
        <w:t>focal</w:t>
      </w:r>
      <w:r w:rsidR="007B7640" w:rsidRPr="00CD59CC">
        <w:rPr>
          <w:rFonts w:ascii="Arial" w:hAnsi="Arial" w:cs="Arial"/>
          <w:lang w:val="en-US"/>
        </w:rPr>
        <w:t xml:space="preserve"> </w:t>
      </w:r>
      <w:r w:rsidRPr="00CD59CC">
        <w:rPr>
          <w:rFonts w:ascii="Arial" w:hAnsi="Arial" w:cs="Arial"/>
          <w:lang w:val="en-US"/>
        </w:rPr>
        <w:t>point</w:t>
      </w:r>
      <w:r w:rsidR="007B7640" w:rsidRPr="00CD59CC">
        <w:rPr>
          <w:rFonts w:ascii="Arial" w:hAnsi="Arial" w:cs="Arial"/>
          <w:lang w:val="en-US"/>
        </w:rPr>
        <w:t xml:space="preserve"> </w:t>
      </w:r>
      <w:r w:rsidRPr="00CD59CC">
        <w:rPr>
          <w:rFonts w:ascii="Arial" w:hAnsi="Arial" w:cs="Arial"/>
          <w:lang w:val="en-US"/>
        </w:rPr>
        <w:t>of</w:t>
      </w:r>
      <w:r w:rsidR="007B7640" w:rsidRPr="00CD59CC">
        <w:rPr>
          <w:rFonts w:ascii="Arial" w:hAnsi="Arial" w:cs="Arial"/>
          <w:lang w:val="en-US"/>
        </w:rPr>
        <w:t xml:space="preserve"> </w:t>
      </w:r>
      <w:r w:rsidRPr="00CD59CC">
        <w:rPr>
          <w:rFonts w:ascii="Arial" w:hAnsi="Arial" w:cs="Arial"/>
          <w:lang w:val="en-US"/>
        </w:rPr>
        <w:t>the</w:t>
      </w:r>
      <w:r w:rsidR="007B7640" w:rsidRPr="00CD59CC">
        <w:rPr>
          <w:rFonts w:ascii="Arial" w:hAnsi="Arial" w:cs="Arial"/>
          <w:lang w:val="en-US"/>
        </w:rPr>
        <w:t xml:space="preserve"> </w:t>
      </w:r>
      <w:r w:rsidRPr="00CD59CC">
        <w:rPr>
          <w:rFonts w:ascii="Arial" w:hAnsi="Arial" w:cs="Arial"/>
          <w:lang w:val="en-US"/>
        </w:rPr>
        <w:t>CRPD</w:t>
      </w:r>
      <w:r w:rsidR="007B7640" w:rsidRPr="00CD59CC">
        <w:rPr>
          <w:rFonts w:ascii="Arial" w:hAnsi="Arial" w:cs="Arial"/>
          <w:lang w:val="en-US"/>
        </w:rPr>
        <w:t xml:space="preserve"> </w:t>
      </w:r>
      <w:r w:rsidR="00D103A3" w:rsidRPr="00CD59CC">
        <w:rPr>
          <w:rFonts w:ascii="Arial" w:hAnsi="Arial" w:cs="Arial"/>
          <w:lang w:val="en-US"/>
        </w:rPr>
        <w:t>Committee.</w:t>
      </w:r>
    </w:p>
    <w:p w14:paraId="4056CA11" w14:textId="77777777" w:rsidR="005568DD" w:rsidRPr="00CD59CC" w:rsidRDefault="005568DD" w:rsidP="00CD59CC">
      <w:pPr>
        <w:rPr>
          <w:rFonts w:ascii="Arial" w:hAnsi="Arial" w:cs="Arial"/>
          <w:lang w:val="en-US"/>
        </w:rPr>
      </w:pPr>
    </w:p>
    <w:p w14:paraId="5C92C29E" w14:textId="77777777" w:rsidR="005568DD" w:rsidRPr="00CD59CC" w:rsidRDefault="00D103A3" w:rsidP="00CD59CC">
      <w:pPr>
        <w:rPr>
          <w:rFonts w:ascii="Arial" w:hAnsi="Arial" w:cs="Arial"/>
          <w:b/>
        </w:rPr>
      </w:pPr>
      <w:r w:rsidRPr="00CD59CC">
        <w:rPr>
          <w:rFonts w:ascii="Arial" w:hAnsi="Arial" w:cs="Arial"/>
        </w:rPr>
        <w:t>The</w:t>
      </w:r>
      <w:r w:rsidR="007B7640" w:rsidRPr="00CD59CC">
        <w:rPr>
          <w:rFonts w:ascii="Arial" w:hAnsi="Arial" w:cs="Arial"/>
        </w:rPr>
        <w:t xml:space="preserve"> </w:t>
      </w:r>
      <w:r w:rsidRPr="00CD59CC">
        <w:rPr>
          <w:rFonts w:ascii="Arial" w:hAnsi="Arial" w:cs="Arial"/>
        </w:rPr>
        <w:t>NDC2’s</w:t>
      </w:r>
      <w:r w:rsidR="007B7640" w:rsidRPr="00CD59CC">
        <w:rPr>
          <w:rFonts w:ascii="Arial" w:hAnsi="Arial" w:cs="Arial"/>
        </w:rPr>
        <w:t xml:space="preserve"> </w:t>
      </w:r>
      <w:r w:rsidRPr="00CD59CC">
        <w:rPr>
          <w:rFonts w:ascii="Arial" w:hAnsi="Arial" w:cs="Arial"/>
        </w:rPr>
        <w:t>meetings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agenda</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decisions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published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NDC</w:t>
      </w:r>
      <w:r w:rsidR="007B7640" w:rsidRPr="00CD59CC">
        <w:rPr>
          <w:rFonts w:ascii="Arial" w:hAnsi="Arial" w:cs="Arial"/>
        </w:rPr>
        <w:t xml:space="preserve"> </w:t>
      </w:r>
      <w:r w:rsidRPr="00CD59CC">
        <w:rPr>
          <w:rFonts w:ascii="Arial" w:hAnsi="Arial" w:cs="Arial"/>
        </w:rPr>
        <w:t>website</w:t>
      </w:r>
      <w:r w:rsidR="00194342" w:rsidRPr="00CD59CC">
        <w:rPr>
          <w:rFonts w:ascii="Arial" w:hAnsi="Arial" w:cs="Arial"/>
        </w:rPr>
        <w:br w:type="textWrapping" w:clear="all"/>
      </w:r>
    </w:p>
    <w:p w14:paraId="05411C71" w14:textId="6D32E28A" w:rsidR="00A40788" w:rsidRPr="00CD59CC" w:rsidRDefault="00A40788" w:rsidP="00CD59CC">
      <w:pPr>
        <w:rPr>
          <w:rFonts w:ascii="Arial" w:hAnsi="Arial" w:cs="Arial"/>
        </w:rPr>
      </w:pPr>
      <w:r w:rsidRPr="00CD59CC">
        <w:rPr>
          <w:rFonts w:ascii="Arial" w:hAnsi="Arial" w:cs="Arial"/>
          <w:b/>
        </w:rPr>
        <w:t>Chapter</w:t>
      </w:r>
      <w:r w:rsidR="007B7640" w:rsidRPr="00CD59CC">
        <w:rPr>
          <w:rFonts w:ascii="Arial" w:hAnsi="Arial" w:cs="Arial"/>
          <w:b/>
        </w:rPr>
        <w:t xml:space="preserve"> </w:t>
      </w:r>
      <w:r w:rsidRPr="00CD59CC">
        <w:rPr>
          <w:rFonts w:ascii="Arial" w:hAnsi="Arial" w:cs="Arial"/>
          <w:b/>
        </w:rPr>
        <w:t>VII</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sets</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provision</w:t>
      </w:r>
      <w:r w:rsidR="00EA6615" w:rsidRPr="00CD59CC">
        <w:rPr>
          <w:rFonts w:ascii="Arial" w:hAnsi="Arial" w:cs="Arial"/>
        </w:rPr>
        <w:t>s</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Program</w:t>
      </w:r>
      <w:r w:rsidR="007B7640" w:rsidRPr="00CD59CC">
        <w:rPr>
          <w:rFonts w:ascii="Arial" w:hAnsi="Arial" w:cs="Arial"/>
        </w:rPr>
        <w:t xml:space="preserve">me </w:t>
      </w:r>
      <w:r w:rsidRPr="00CD59CC">
        <w:rPr>
          <w:rFonts w:ascii="Arial" w:hAnsi="Arial" w:cs="Arial"/>
        </w:rPr>
        <w:t>adopted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Parliament.</w:t>
      </w:r>
      <w:r w:rsidR="007B7640" w:rsidRPr="00CD59CC">
        <w:rPr>
          <w:rFonts w:ascii="Arial" w:hAnsi="Arial" w:cs="Arial"/>
        </w:rPr>
        <w:t xml:space="preserve"> </w:t>
      </w:r>
    </w:p>
    <w:p w14:paraId="2DECC3E3" w14:textId="77777777" w:rsidR="005568DD" w:rsidRPr="00CD59CC" w:rsidRDefault="005568DD" w:rsidP="00CD59CC">
      <w:pPr>
        <w:rPr>
          <w:rFonts w:ascii="Arial" w:hAnsi="Arial" w:cs="Arial"/>
        </w:rPr>
      </w:pPr>
    </w:p>
    <w:p w14:paraId="6F23B514" w14:textId="5F485BD2" w:rsidR="00A40788" w:rsidRPr="00CD59CC" w:rsidRDefault="00A40788" w:rsidP="00CD59CC">
      <w:pPr>
        <w:rPr>
          <w:rFonts w:ascii="Arial" w:hAnsi="Arial" w:cs="Arial"/>
        </w:rPr>
      </w:pP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26,</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Program</w:t>
      </w:r>
      <w:r w:rsidR="007B7640" w:rsidRPr="00CD59CC">
        <w:rPr>
          <w:rFonts w:ascii="Arial" w:hAnsi="Arial" w:cs="Arial"/>
        </w:rPr>
        <w:t xml:space="preserve">me </w:t>
      </w:r>
      <w:r w:rsidRPr="00CD59CC">
        <w:rPr>
          <w:rFonts w:ascii="Arial" w:hAnsi="Arial" w:cs="Arial"/>
        </w:rPr>
        <w:t>contains</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others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presentation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people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objectives</w:t>
      </w:r>
      <w:r w:rsidR="007B7640" w:rsidRPr="00CD59CC">
        <w:rPr>
          <w:rFonts w:ascii="Arial" w:hAnsi="Arial" w:cs="Arial"/>
        </w:rPr>
        <w:t xml:space="preserve"> </w:t>
      </w:r>
      <w:r w:rsidRPr="00CD59CC">
        <w:rPr>
          <w:rFonts w:ascii="Arial" w:hAnsi="Arial" w:cs="Arial"/>
        </w:rPr>
        <w:t>related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rehabilitation;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tasks</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bringing</w:t>
      </w:r>
      <w:r w:rsidR="007B7640" w:rsidRPr="00CD59CC">
        <w:rPr>
          <w:rFonts w:ascii="Arial" w:hAnsi="Arial" w:cs="Arial"/>
        </w:rPr>
        <w:t xml:space="preserve"> </w:t>
      </w:r>
      <w:r w:rsidRPr="00CD59CC">
        <w:rPr>
          <w:rFonts w:ascii="Arial" w:hAnsi="Arial" w:cs="Arial"/>
        </w:rPr>
        <w:t>about</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favourable</w:t>
      </w:r>
      <w:r w:rsidR="007B7640" w:rsidRPr="00CD59CC">
        <w:rPr>
          <w:rFonts w:ascii="Arial" w:hAnsi="Arial" w:cs="Arial"/>
        </w:rPr>
        <w:t xml:space="preserve"> </w:t>
      </w:r>
      <w:r w:rsidRPr="00CD59CC">
        <w:rPr>
          <w:rFonts w:ascii="Arial" w:hAnsi="Arial" w:cs="Arial"/>
        </w:rPr>
        <w:t>change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attitudes</w:t>
      </w:r>
      <w:r w:rsidR="007B7640" w:rsidRPr="00CD59CC">
        <w:rPr>
          <w:rFonts w:ascii="Arial" w:hAnsi="Arial" w:cs="Arial"/>
        </w:rPr>
        <w:t xml:space="preserve"> </w:t>
      </w:r>
      <w:r w:rsidRPr="00CD59CC">
        <w:rPr>
          <w:rFonts w:ascii="Arial" w:hAnsi="Arial" w:cs="Arial"/>
        </w:rPr>
        <w:t>affecting</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plans</w:t>
      </w:r>
      <w:r w:rsidR="007B7640" w:rsidRPr="00CD59CC">
        <w:rPr>
          <w:rFonts w:ascii="Arial" w:hAnsi="Arial" w:cs="Arial"/>
        </w:rPr>
        <w:t xml:space="preserve"> </w:t>
      </w:r>
      <w:r w:rsidRPr="00CD59CC">
        <w:rPr>
          <w:rFonts w:ascii="Arial" w:hAnsi="Arial" w:cs="Arial"/>
        </w:rPr>
        <w:t>promoting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active</w:t>
      </w:r>
      <w:r w:rsidR="007B7640" w:rsidRPr="00CD59CC">
        <w:rPr>
          <w:rFonts w:ascii="Arial" w:hAnsi="Arial" w:cs="Arial"/>
        </w:rPr>
        <w:t xml:space="preserve"> </w:t>
      </w:r>
      <w:r w:rsidRPr="00CD59CC">
        <w:rPr>
          <w:rFonts w:ascii="Arial" w:hAnsi="Arial" w:cs="Arial"/>
        </w:rPr>
        <w:t>participation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life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definition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justified</w:t>
      </w:r>
      <w:r w:rsidR="007B7640" w:rsidRPr="00CD59CC">
        <w:rPr>
          <w:rFonts w:ascii="Arial" w:hAnsi="Arial" w:cs="Arial"/>
        </w:rPr>
        <w:t xml:space="preserve"> </w:t>
      </w:r>
      <w:r w:rsidRPr="00CD59CC">
        <w:rPr>
          <w:rFonts w:ascii="Arial" w:hAnsi="Arial" w:cs="Arial"/>
        </w:rPr>
        <w:t>extent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attained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transformation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transport</w:t>
      </w:r>
      <w:r w:rsidR="007B7640" w:rsidRPr="00CD59CC">
        <w:rPr>
          <w:rFonts w:ascii="Arial" w:hAnsi="Arial" w:cs="Arial"/>
        </w:rPr>
        <w:t xml:space="preserve"> </w:t>
      </w:r>
      <w:r w:rsidRPr="00CD59CC">
        <w:rPr>
          <w:rFonts w:ascii="Arial" w:hAnsi="Arial" w:cs="Arial"/>
        </w:rPr>
        <w:t>systems,</w:t>
      </w:r>
      <w:r w:rsidR="007B7640" w:rsidRPr="00CD59CC">
        <w:rPr>
          <w:rFonts w:ascii="Arial" w:hAnsi="Arial" w:cs="Arial"/>
        </w:rPr>
        <w:t xml:space="preserve"> </w:t>
      </w:r>
      <w:r w:rsidRPr="00CD59CC">
        <w:rPr>
          <w:rFonts w:ascii="Arial" w:hAnsi="Arial" w:cs="Arial"/>
        </w:rPr>
        <w:t>man-made</w:t>
      </w:r>
      <w:r w:rsidR="007B7640" w:rsidRPr="00CD59CC">
        <w:rPr>
          <w:rFonts w:ascii="Arial" w:hAnsi="Arial" w:cs="Arial"/>
        </w:rPr>
        <w:t xml:space="preserve"> </w:t>
      </w:r>
      <w:r w:rsidRPr="00CD59CC">
        <w:rPr>
          <w:rFonts w:ascii="Arial" w:hAnsi="Arial" w:cs="Arial"/>
        </w:rPr>
        <w:t>environment,</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well</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line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socially</w:t>
      </w:r>
      <w:r w:rsidR="007B7640" w:rsidRPr="00CD59CC">
        <w:rPr>
          <w:rFonts w:ascii="Arial" w:hAnsi="Arial" w:cs="Arial"/>
        </w:rPr>
        <w:t xml:space="preserve"> </w:t>
      </w:r>
      <w:r w:rsidRPr="00CD59CC">
        <w:rPr>
          <w:rFonts w:ascii="Arial" w:hAnsi="Arial" w:cs="Arial"/>
        </w:rPr>
        <w:t>recognised</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specification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means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institutions,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necessary</w:t>
      </w:r>
      <w:r w:rsidR="007B7640" w:rsidRPr="00CD59CC">
        <w:rPr>
          <w:rFonts w:ascii="Arial" w:hAnsi="Arial" w:cs="Arial"/>
        </w:rPr>
        <w:t xml:space="preserve"> </w:t>
      </w:r>
      <w:r w:rsidRPr="00CD59CC">
        <w:rPr>
          <w:rFonts w:ascii="Arial" w:hAnsi="Arial" w:cs="Arial"/>
        </w:rPr>
        <w:t>financial</w:t>
      </w:r>
      <w:r w:rsidR="007B7640" w:rsidRPr="00CD59CC">
        <w:rPr>
          <w:rFonts w:ascii="Arial" w:hAnsi="Arial" w:cs="Arial"/>
        </w:rPr>
        <w:t xml:space="preserve"> </w:t>
      </w:r>
      <w:r w:rsidRPr="00CD59CC">
        <w:rPr>
          <w:rFonts w:ascii="Arial" w:hAnsi="Arial" w:cs="Arial"/>
        </w:rPr>
        <w:t>sources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009741F4" w:rsidRPr="00CD59CC">
        <w:rPr>
          <w:rFonts w:ascii="Arial" w:hAnsi="Arial" w:cs="Arial"/>
        </w:rPr>
        <w:t>realizing</w:t>
      </w:r>
      <w:r w:rsidR="007B7640" w:rsidRPr="00CD59CC">
        <w:rPr>
          <w:rFonts w:ascii="Arial" w:hAnsi="Arial" w:cs="Arial"/>
        </w:rPr>
        <w:t xml:space="preserve"> </w:t>
      </w:r>
      <w:r w:rsidR="009741F4" w:rsidRPr="00CD59CC">
        <w:rPr>
          <w:rFonts w:ascii="Arial" w:hAnsi="Arial" w:cs="Arial"/>
        </w:rPr>
        <w:t>equal</w:t>
      </w:r>
      <w:r w:rsidR="007B7640" w:rsidRPr="00CD59CC">
        <w:rPr>
          <w:rFonts w:ascii="Arial" w:hAnsi="Arial" w:cs="Arial"/>
        </w:rPr>
        <w:t xml:space="preserve"> </w:t>
      </w:r>
      <w:r w:rsidR="009741F4" w:rsidRPr="00CD59CC">
        <w:rPr>
          <w:rFonts w:ascii="Arial" w:hAnsi="Arial" w:cs="Arial"/>
        </w:rPr>
        <w:t>access</w:t>
      </w:r>
      <w:r w:rsidR="007B7640" w:rsidRPr="00CD59CC">
        <w:rPr>
          <w:rFonts w:ascii="Arial" w:hAnsi="Arial" w:cs="Arial"/>
        </w:rPr>
        <w:t xml:space="preserve"> </w:t>
      </w:r>
      <w:r w:rsidR="009741F4" w:rsidRPr="00CD59CC">
        <w:rPr>
          <w:rFonts w:ascii="Arial" w:hAnsi="Arial" w:cs="Arial"/>
        </w:rPr>
        <w:t>to</w:t>
      </w:r>
      <w:r w:rsidR="007B7640" w:rsidRPr="00CD59CC">
        <w:rPr>
          <w:rFonts w:ascii="Arial" w:hAnsi="Arial" w:cs="Arial"/>
        </w:rPr>
        <w:t xml:space="preserve"> </w:t>
      </w:r>
      <w:r w:rsidR="009741F4" w:rsidRPr="00CD59CC">
        <w:rPr>
          <w:rFonts w:ascii="Arial" w:hAnsi="Arial" w:cs="Arial"/>
        </w:rPr>
        <w:t>public</w:t>
      </w:r>
      <w:r w:rsidR="007B7640" w:rsidRPr="00CD59CC">
        <w:rPr>
          <w:rFonts w:ascii="Arial" w:hAnsi="Arial" w:cs="Arial"/>
        </w:rPr>
        <w:t xml:space="preserve"> </w:t>
      </w:r>
      <w:r w:rsidR="009741F4" w:rsidRPr="00CD59CC">
        <w:rPr>
          <w:rFonts w:ascii="Arial" w:hAnsi="Arial" w:cs="Arial"/>
        </w:rPr>
        <w:t>services</w:t>
      </w:r>
      <w:r w:rsidRPr="00CD59CC">
        <w:rPr>
          <w:rFonts w:ascii="Arial" w:hAnsi="Arial" w:cs="Arial"/>
        </w:rPr>
        <w:t>.</w:t>
      </w:r>
      <w:r w:rsidR="007B7640" w:rsidRPr="00CD59CC">
        <w:rPr>
          <w:rFonts w:ascii="Arial" w:hAnsi="Arial" w:cs="Arial"/>
        </w:rPr>
        <w:t xml:space="preserve"> </w:t>
      </w:r>
    </w:p>
    <w:p w14:paraId="47E6A365" w14:textId="77777777" w:rsidR="00A40788" w:rsidRPr="00CD59CC" w:rsidRDefault="00A40788" w:rsidP="00CD59CC">
      <w:pPr>
        <w:rPr>
          <w:rFonts w:ascii="Arial" w:hAnsi="Arial" w:cs="Arial"/>
        </w:rPr>
      </w:pPr>
    </w:p>
    <w:p w14:paraId="76173F84" w14:textId="75F77A87" w:rsidR="00A40788" w:rsidRPr="00CD59CC" w:rsidRDefault="00A40788" w:rsidP="00CD59CC">
      <w:pPr>
        <w:rPr>
          <w:rFonts w:ascii="Arial" w:hAnsi="Arial" w:cs="Arial"/>
          <w:i/>
        </w:rPr>
      </w:pPr>
      <w:r w:rsidRPr="00CD59CC">
        <w:rPr>
          <w:rFonts w:ascii="Arial" w:hAnsi="Arial" w:cs="Arial"/>
          <w:b/>
        </w:rPr>
        <w:t>Chapter</w:t>
      </w:r>
      <w:r w:rsidR="007B7640" w:rsidRPr="00CD59CC">
        <w:rPr>
          <w:rFonts w:ascii="Arial" w:hAnsi="Arial" w:cs="Arial"/>
          <w:b/>
        </w:rPr>
        <w:t xml:space="preserve"> </w:t>
      </w:r>
      <w:r w:rsidRPr="00CD59CC">
        <w:rPr>
          <w:rFonts w:ascii="Arial" w:hAnsi="Arial" w:cs="Arial"/>
          <w:b/>
        </w:rPr>
        <w:t>VIII</w:t>
      </w:r>
      <w:r w:rsidR="007B7640" w:rsidRPr="00CD59CC">
        <w:rPr>
          <w:rFonts w:ascii="Arial" w:hAnsi="Arial" w:cs="Arial"/>
        </w:rPr>
        <w:t xml:space="preserve"> </w:t>
      </w:r>
      <w:r w:rsidRPr="00CD59CC">
        <w:rPr>
          <w:rFonts w:ascii="Arial" w:hAnsi="Arial" w:cs="Arial"/>
        </w:rPr>
        <w:t>contains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declaration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suffering</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unlawful</w:t>
      </w:r>
      <w:r w:rsidR="007B7640" w:rsidRPr="00CD59CC">
        <w:rPr>
          <w:rFonts w:ascii="Arial" w:hAnsi="Arial" w:cs="Arial"/>
        </w:rPr>
        <w:t xml:space="preserve"> </w:t>
      </w:r>
      <w:r w:rsidRPr="00CD59CC">
        <w:rPr>
          <w:rFonts w:ascii="Arial" w:hAnsi="Arial" w:cs="Arial"/>
        </w:rPr>
        <w:t>disadvantage</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his/her</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entitled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apply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inherent</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rights.</w:t>
      </w:r>
    </w:p>
    <w:p w14:paraId="74ECA562" w14:textId="77777777" w:rsidR="000E0CCA" w:rsidRPr="00BB4E9F" w:rsidRDefault="000E0CCA" w:rsidP="00BB4E9F">
      <w:pPr>
        <w:rPr>
          <w:rFonts w:ascii="Arial" w:hAnsi="Arial"/>
          <w:lang w:val="en-US"/>
        </w:rPr>
      </w:pPr>
    </w:p>
    <w:p w14:paraId="35919950" w14:textId="77777777" w:rsidR="002B5BCD" w:rsidRPr="00CD59CC" w:rsidRDefault="002B5BCD" w:rsidP="00CD59CC">
      <w:pPr>
        <w:pStyle w:val="Heading2"/>
        <w:rPr>
          <w:rFonts w:cs="Arial"/>
        </w:rPr>
      </w:pPr>
      <w:bookmarkStart w:id="111" w:name="_Toc220221144"/>
      <w:bookmarkStart w:id="112" w:name="_Toc392758715"/>
      <w:bookmarkStart w:id="113" w:name="_Toc329163606"/>
      <w:bookmarkStart w:id="114" w:name="_Toc366846324"/>
      <w:r w:rsidRPr="00CD59CC">
        <w:rPr>
          <w:rFonts w:cs="Arial"/>
        </w:rPr>
        <w:t>Sheltered</w:t>
      </w:r>
      <w:r w:rsidR="007B7640" w:rsidRPr="00CD59CC">
        <w:rPr>
          <w:rFonts w:cs="Arial"/>
        </w:rPr>
        <w:t xml:space="preserve"> </w:t>
      </w:r>
      <w:r w:rsidRPr="00CD59CC">
        <w:rPr>
          <w:rFonts w:cs="Arial"/>
        </w:rPr>
        <w:t>or</w:t>
      </w:r>
      <w:r w:rsidR="007B7640" w:rsidRPr="00CD59CC">
        <w:rPr>
          <w:rFonts w:cs="Arial"/>
        </w:rPr>
        <w:t xml:space="preserve"> </w:t>
      </w:r>
      <w:r w:rsidRPr="00CD59CC">
        <w:rPr>
          <w:rFonts w:cs="Arial"/>
        </w:rPr>
        <w:t>semi-sheltered</w:t>
      </w:r>
      <w:r w:rsidR="007B7640" w:rsidRPr="00CD59CC">
        <w:rPr>
          <w:rFonts w:cs="Arial"/>
        </w:rPr>
        <w:t xml:space="preserve"> </w:t>
      </w:r>
      <w:r w:rsidRPr="00CD59CC">
        <w:rPr>
          <w:rFonts w:cs="Arial"/>
        </w:rPr>
        <w:t>accommodation/employment</w:t>
      </w:r>
      <w:bookmarkEnd w:id="111"/>
      <w:bookmarkEnd w:id="112"/>
      <w:bookmarkEnd w:id="113"/>
      <w:bookmarkEnd w:id="114"/>
    </w:p>
    <w:p w14:paraId="2DB35D84" w14:textId="77777777" w:rsidR="002B5BCD" w:rsidRPr="00BB4E9F" w:rsidRDefault="002B5BCD" w:rsidP="00CD59CC">
      <w:pPr>
        <w:rPr>
          <w:rFonts w:ascii="Arial" w:hAnsi="Arial"/>
          <w:b/>
          <w:lang w:val="en-US"/>
        </w:rPr>
      </w:pPr>
    </w:p>
    <w:p w14:paraId="5517676B" w14:textId="77777777" w:rsidR="002B5BCD" w:rsidRPr="00BB4E9F" w:rsidRDefault="002B5BCD" w:rsidP="00CD59CC">
      <w:pPr>
        <w:numPr>
          <w:ilvl w:val="0"/>
          <w:numId w:val="10"/>
        </w:numPr>
        <w:ind w:left="567" w:hanging="567"/>
        <w:rPr>
          <w:rFonts w:ascii="Arial" w:hAnsi="Arial"/>
          <w:i/>
          <w:lang w:val="en-US"/>
        </w:rPr>
      </w:pPr>
      <w:r w:rsidRPr="00BB4E9F">
        <w:rPr>
          <w:rFonts w:ascii="Arial" w:hAnsi="Arial"/>
          <w:i/>
          <w:lang w:val="en-US"/>
        </w:rPr>
        <w:t>To</w:t>
      </w:r>
      <w:r w:rsidR="007B7640" w:rsidRPr="00BB4E9F">
        <w:rPr>
          <w:rFonts w:ascii="Arial" w:hAnsi="Arial"/>
          <w:i/>
          <w:lang w:val="en-US"/>
        </w:rPr>
        <w:t xml:space="preserve"> </w:t>
      </w:r>
      <w:r w:rsidRPr="00BB4E9F">
        <w:rPr>
          <w:rFonts w:ascii="Arial" w:hAnsi="Arial"/>
          <w:i/>
          <w:lang w:val="en-US"/>
        </w:rPr>
        <w:t>what</w:t>
      </w:r>
      <w:r w:rsidR="007B7640" w:rsidRPr="00BB4E9F">
        <w:rPr>
          <w:rFonts w:ascii="Arial" w:hAnsi="Arial"/>
          <w:i/>
          <w:lang w:val="en-US"/>
        </w:rPr>
        <w:t xml:space="preserve"> </w:t>
      </w:r>
      <w:r w:rsidRPr="00BB4E9F">
        <w:rPr>
          <w:rFonts w:ascii="Arial" w:hAnsi="Arial"/>
          <w:i/>
          <w:lang w:val="en-US"/>
        </w:rPr>
        <w:t>extent</w:t>
      </w:r>
      <w:r w:rsidR="007B7640" w:rsidRPr="00BB4E9F">
        <w:rPr>
          <w:rFonts w:ascii="Arial" w:hAnsi="Arial"/>
          <w:i/>
          <w:lang w:val="en-US"/>
        </w:rPr>
        <w:t xml:space="preserve"> </w:t>
      </w:r>
      <w:r w:rsidRPr="00BB4E9F">
        <w:rPr>
          <w:rFonts w:ascii="Arial" w:hAnsi="Arial"/>
          <w:i/>
          <w:lang w:val="en-US"/>
        </w:rPr>
        <w:t>does</w:t>
      </w:r>
      <w:r w:rsidR="007B7640" w:rsidRPr="00BB4E9F">
        <w:rPr>
          <w:rFonts w:ascii="Arial" w:hAnsi="Arial"/>
          <w:i/>
          <w:lang w:val="en-US"/>
        </w:rPr>
        <w:t xml:space="preserve"> </w:t>
      </w:r>
      <w:r w:rsidRPr="00BB4E9F">
        <w:rPr>
          <w:rFonts w:ascii="Arial" w:hAnsi="Arial"/>
          <w:i/>
          <w:lang w:val="en-US"/>
        </w:rPr>
        <w:t>national</w:t>
      </w:r>
      <w:r w:rsidR="007B7640" w:rsidRPr="00BB4E9F">
        <w:rPr>
          <w:rFonts w:ascii="Arial" w:hAnsi="Arial"/>
          <w:i/>
          <w:lang w:val="en-US"/>
        </w:rPr>
        <w:t xml:space="preserve"> </w:t>
      </w:r>
      <w:r w:rsidRPr="00BB4E9F">
        <w:rPr>
          <w:rFonts w:ascii="Arial" w:hAnsi="Arial"/>
          <w:i/>
          <w:lang w:val="en-US"/>
        </w:rPr>
        <w:t>law</w:t>
      </w:r>
      <w:r w:rsidR="007B7640" w:rsidRPr="00BB4E9F">
        <w:rPr>
          <w:rFonts w:ascii="Arial" w:hAnsi="Arial"/>
          <w:i/>
          <w:lang w:val="en-US"/>
        </w:rPr>
        <w:t xml:space="preserve"> </w:t>
      </w:r>
      <w:r w:rsidRPr="00BB4E9F">
        <w:rPr>
          <w:rFonts w:ascii="Arial" w:hAnsi="Arial"/>
          <w:i/>
          <w:lang w:val="en-US"/>
        </w:rPr>
        <w:t>make</w:t>
      </w:r>
      <w:r w:rsidR="007B7640" w:rsidRPr="00BB4E9F">
        <w:rPr>
          <w:rFonts w:ascii="Arial" w:hAnsi="Arial"/>
          <w:i/>
          <w:lang w:val="en-US"/>
        </w:rPr>
        <w:t xml:space="preserve"> </w:t>
      </w:r>
      <w:r w:rsidRPr="00BB4E9F">
        <w:rPr>
          <w:rFonts w:ascii="Arial" w:hAnsi="Arial"/>
          <w:i/>
          <w:lang w:val="en-US"/>
        </w:rPr>
        <w:t>provision</w:t>
      </w:r>
      <w:r w:rsidR="007B7640" w:rsidRPr="00BB4E9F">
        <w:rPr>
          <w:rFonts w:ascii="Arial" w:hAnsi="Arial"/>
          <w:i/>
          <w:lang w:val="en-US"/>
        </w:rPr>
        <w:t xml:space="preserve"> </w:t>
      </w:r>
      <w:r w:rsidRPr="00BB4E9F">
        <w:rPr>
          <w:rFonts w:ascii="Arial" w:hAnsi="Arial"/>
          <w:i/>
          <w:lang w:val="en-US"/>
        </w:rPr>
        <w:t>for</w:t>
      </w:r>
      <w:r w:rsidR="007B7640" w:rsidRPr="00BB4E9F">
        <w:rPr>
          <w:rFonts w:ascii="Arial" w:hAnsi="Arial"/>
          <w:i/>
          <w:lang w:val="en-US"/>
        </w:rPr>
        <w:t xml:space="preserve"> </w:t>
      </w:r>
      <w:r w:rsidRPr="00BB4E9F">
        <w:rPr>
          <w:rFonts w:ascii="Arial" w:hAnsi="Arial"/>
          <w:i/>
          <w:lang w:val="en-US"/>
        </w:rPr>
        <w:t>sheltered</w:t>
      </w:r>
      <w:r w:rsidR="007B7640" w:rsidRPr="00BB4E9F">
        <w:rPr>
          <w:rFonts w:ascii="Arial" w:hAnsi="Arial"/>
          <w:i/>
          <w:lang w:val="en-US"/>
        </w:rPr>
        <w:t xml:space="preserve"> </w:t>
      </w:r>
      <w:r w:rsidRPr="00BB4E9F">
        <w:rPr>
          <w:rFonts w:ascii="Arial" w:hAnsi="Arial"/>
          <w:i/>
          <w:lang w:val="en-US"/>
        </w:rPr>
        <w:t>or</w:t>
      </w:r>
      <w:r w:rsidR="007B7640" w:rsidRPr="00BB4E9F">
        <w:rPr>
          <w:rFonts w:ascii="Arial" w:hAnsi="Arial"/>
          <w:i/>
          <w:lang w:val="en-US"/>
        </w:rPr>
        <w:t xml:space="preserve"> </w:t>
      </w:r>
      <w:r w:rsidRPr="00BB4E9F">
        <w:rPr>
          <w:rFonts w:ascii="Arial" w:hAnsi="Arial"/>
          <w:i/>
          <w:lang w:val="en-US"/>
        </w:rPr>
        <w:t>semi-sheltered</w:t>
      </w:r>
      <w:r w:rsidR="007B7640" w:rsidRPr="00BB4E9F">
        <w:rPr>
          <w:rFonts w:ascii="Arial" w:hAnsi="Arial"/>
          <w:i/>
          <w:lang w:val="en-US"/>
        </w:rPr>
        <w:t xml:space="preserve"> </w:t>
      </w:r>
      <w:r w:rsidRPr="00BB4E9F">
        <w:rPr>
          <w:rFonts w:ascii="Arial" w:hAnsi="Arial"/>
          <w:i/>
          <w:lang w:val="en-US"/>
        </w:rPr>
        <w:t>accommodation/employment</w:t>
      </w:r>
      <w:r w:rsidR="007B7640" w:rsidRPr="00BB4E9F">
        <w:rPr>
          <w:rFonts w:ascii="Arial" w:hAnsi="Arial"/>
          <w:i/>
          <w:lang w:val="en-US"/>
        </w:rPr>
        <w:t xml:space="preserve"> </w:t>
      </w:r>
      <w:r w:rsidRPr="00BB4E9F">
        <w:rPr>
          <w:rFonts w:ascii="Arial" w:hAnsi="Arial"/>
          <w:i/>
          <w:lang w:val="en-US"/>
        </w:rPr>
        <w:t>for</w:t>
      </w:r>
      <w:r w:rsidR="007B7640" w:rsidRPr="00BB4E9F">
        <w:rPr>
          <w:rFonts w:ascii="Arial" w:hAnsi="Arial"/>
          <w:i/>
          <w:lang w:val="en-US"/>
        </w:rPr>
        <w:t xml:space="preserve"> </w:t>
      </w:r>
      <w:r w:rsidRPr="00BB4E9F">
        <w:rPr>
          <w:rFonts w:ascii="Arial" w:hAnsi="Arial"/>
          <w:i/>
          <w:lang w:val="en-US"/>
        </w:rPr>
        <w:t>workers</w:t>
      </w:r>
      <w:r w:rsidR="007B7640" w:rsidRPr="00BB4E9F">
        <w:rPr>
          <w:rFonts w:ascii="Arial" w:hAnsi="Arial"/>
          <w:i/>
          <w:lang w:val="en-US"/>
        </w:rPr>
        <w:t xml:space="preserve"> </w:t>
      </w:r>
      <w:r w:rsidRPr="00BB4E9F">
        <w:rPr>
          <w:rFonts w:ascii="Arial" w:hAnsi="Arial"/>
          <w:i/>
          <w:lang w:val="en-US"/>
        </w:rPr>
        <w:t>with</w:t>
      </w:r>
      <w:r w:rsidR="007B7640" w:rsidRPr="00BB4E9F">
        <w:rPr>
          <w:rFonts w:ascii="Arial" w:hAnsi="Arial"/>
          <w:i/>
          <w:lang w:val="en-US"/>
        </w:rPr>
        <w:t xml:space="preserve"> </w:t>
      </w:r>
      <w:r w:rsidRPr="00BB4E9F">
        <w:rPr>
          <w:rFonts w:ascii="Arial" w:hAnsi="Arial"/>
          <w:i/>
          <w:lang w:val="en-US"/>
        </w:rPr>
        <w:t>disabilities?</w:t>
      </w:r>
      <w:r w:rsidR="007B7640" w:rsidRPr="00BB4E9F">
        <w:rPr>
          <w:rFonts w:ascii="Arial" w:hAnsi="Arial"/>
          <w:i/>
          <w:lang w:val="en-US"/>
        </w:rPr>
        <w:t xml:space="preserve"> </w:t>
      </w:r>
    </w:p>
    <w:p w14:paraId="7DE7653C" w14:textId="77777777" w:rsidR="002B5BCD" w:rsidRPr="00BB4E9F" w:rsidRDefault="002B5BCD" w:rsidP="00BB4E9F">
      <w:pPr>
        <w:tabs>
          <w:tab w:val="num" w:pos="567"/>
        </w:tabs>
        <w:ind w:left="567" w:hanging="567"/>
        <w:rPr>
          <w:rFonts w:ascii="Arial" w:hAnsi="Arial"/>
          <w:lang w:val="en-US"/>
        </w:rPr>
      </w:pPr>
    </w:p>
    <w:p w14:paraId="3123A82F" w14:textId="79427D9E" w:rsidR="00533706" w:rsidRPr="00CD59CC" w:rsidRDefault="00533706" w:rsidP="00CD59CC">
      <w:pPr>
        <w:rPr>
          <w:rFonts w:ascii="Arial" w:hAnsi="Arial" w:cs="Arial"/>
          <w:bCs/>
          <w:iCs/>
        </w:rPr>
      </w:pP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outlined</w:t>
      </w:r>
      <w:r w:rsidR="007B7640" w:rsidRPr="00CD59CC">
        <w:rPr>
          <w:rFonts w:ascii="Arial" w:hAnsi="Arial" w:cs="Arial"/>
          <w:bCs/>
          <w:iCs/>
        </w:rPr>
        <w:t xml:space="preserve"> </w:t>
      </w:r>
      <w:r w:rsidRPr="00CD59CC">
        <w:rPr>
          <w:rFonts w:ascii="Arial" w:hAnsi="Arial" w:cs="Arial"/>
          <w:bCs/>
          <w:iCs/>
        </w:rPr>
        <w:t>above,</w:t>
      </w:r>
      <w:r w:rsidR="007B7640" w:rsidRPr="00CD59CC">
        <w:rPr>
          <w:rFonts w:ascii="Arial" w:hAnsi="Arial" w:cs="Arial"/>
          <w:bCs/>
          <w:iCs/>
        </w:rPr>
        <w:t xml:space="preserve"> </w:t>
      </w:r>
      <w:r w:rsidRPr="00CD59CC">
        <w:rPr>
          <w:rFonts w:ascii="Arial" w:hAnsi="Arial" w:cs="Arial"/>
          <w:bCs/>
          <w:iCs/>
        </w:rPr>
        <w:t>under</w:t>
      </w:r>
      <w:r w:rsidR="007B7640" w:rsidRPr="00CD59CC">
        <w:rPr>
          <w:rFonts w:ascii="Arial" w:hAnsi="Arial" w:cs="Arial"/>
          <w:bCs/>
          <w:iCs/>
        </w:rPr>
        <w:t xml:space="preserve"> </w:t>
      </w:r>
      <w:r w:rsidRPr="00CD59CC">
        <w:rPr>
          <w:rFonts w:ascii="Arial" w:hAnsi="Arial" w:cs="Arial"/>
          <w:bCs/>
          <w:iCs/>
        </w:rPr>
        <w:t>Article</w:t>
      </w:r>
      <w:r w:rsidR="007B7640" w:rsidRPr="00CD59CC">
        <w:rPr>
          <w:rFonts w:ascii="Arial" w:hAnsi="Arial" w:cs="Arial"/>
          <w:bCs/>
          <w:iCs/>
        </w:rPr>
        <w:t xml:space="preserve"> </w:t>
      </w:r>
      <w:r w:rsidRPr="00CD59CC">
        <w:rPr>
          <w:rFonts w:ascii="Arial" w:hAnsi="Arial" w:cs="Arial"/>
          <w:bCs/>
          <w:iCs/>
        </w:rPr>
        <w:t>15</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RPD</w:t>
      </w:r>
      <w:r w:rsidR="007B7640" w:rsidRPr="00CD59CC">
        <w:rPr>
          <w:rFonts w:ascii="Arial" w:hAnsi="Arial" w:cs="Arial"/>
          <w:bCs/>
          <w:iCs/>
        </w:rPr>
        <w:t xml:space="preserve"> </w:t>
      </w:r>
      <w:r w:rsidRPr="00CD59CC">
        <w:rPr>
          <w:rFonts w:ascii="Arial" w:hAnsi="Arial" w:cs="Arial"/>
          <w:bCs/>
          <w:iCs/>
        </w:rPr>
        <w:t>Act,</w:t>
      </w:r>
      <w:r w:rsidR="007B7640" w:rsidRPr="00CD59CC">
        <w:rPr>
          <w:rFonts w:ascii="Arial" w:hAnsi="Arial" w:cs="Arial"/>
          <w:bCs/>
          <w:iCs/>
        </w:rPr>
        <w:t xml:space="preserve"> </w:t>
      </w:r>
      <w:r w:rsidRPr="00CD59CC">
        <w:rPr>
          <w:rFonts w:ascii="Arial" w:hAnsi="Arial" w:cs="Arial"/>
          <w:bCs/>
          <w:iCs/>
        </w:rPr>
        <w:t>persons</w:t>
      </w:r>
      <w:r w:rsidR="007B7640" w:rsidRPr="00CD59CC">
        <w:rPr>
          <w:rFonts w:ascii="Arial" w:hAnsi="Arial" w:cs="Arial"/>
          <w:bCs/>
          <w:iCs/>
        </w:rPr>
        <w:t xml:space="preserve"> </w:t>
      </w:r>
      <w:r w:rsidRPr="00CD59CC">
        <w:rPr>
          <w:rFonts w:ascii="Arial" w:hAnsi="Arial" w:cs="Arial"/>
          <w:bCs/>
          <w:iCs/>
        </w:rPr>
        <w:t>with</w:t>
      </w:r>
      <w:r w:rsidR="007B7640" w:rsidRPr="00CD59CC">
        <w:rPr>
          <w:rFonts w:ascii="Arial" w:hAnsi="Arial" w:cs="Arial"/>
          <w:bCs/>
          <w:iCs/>
        </w:rPr>
        <w:t xml:space="preserve"> </w:t>
      </w:r>
      <w:r w:rsidRPr="00CD59CC">
        <w:rPr>
          <w:rFonts w:ascii="Arial" w:hAnsi="Arial" w:cs="Arial"/>
          <w:bCs/>
          <w:iCs/>
        </w:rPr>
        <w:t>disabilities</w:t>
      </w:r>
      <w:r w:rsidR="007B7640" w:rsidRPr="00CD59CC">
        <w:rPr>
          <w:rFonts w:ascii="Arial" w:hAnsi="Arial" w:cs="Arial"/>
          <w:bCs/>
          <w:iCs/>
        </w:rPr>
        <w:t xml:space="preserve"> </w:t>
      </w:r>
      <w:r w:rsidRPr="00CD59CC">
        <w:rPr>
          <w:rFonts w:ascii="Arial" w:hAnsi="Arial" w:cs="Arial"/>
          <w:bCs/>
          <w:iCs/>
        </w:rPr>
        <w:t>shall</w:t>
      </w:r>
      <w:r w:rsidR="007B7640" w:rsidRPr="00CD59CC">
        <w:rPr>
          <w:rFonts w:ascii="Arial" w:hAnsi="Arial" w:cs="Arial"/>
          <w:bCs/>
          <w:iCs/>
        </w:rPr>
        <w:t xml:space="preserve"> </w:t>
      </w:r>
      <w:r w:rsidRPr="00CD59CC">
        <w:rPr>
          <w:rFonts w:ascii="Arial" w:hAnsi="Arial" w:cs="Arial"/>
          <w:bCs/>
          <w:iCs/>
        </w:rPr>
        <w:t>if</w:t>
      </w:r>
      <w:r w:rsidR="007B7640" w:rsidRPr="00CD59CC">
        <w:rPr>
          <w:rFonts w:ascii="Arial" w:hAnsi="Arial" w:cs="Arial"/>
          <w:bCs/>
          <w:iCs/>
        </w:rPr>
        <w:t xml:space="preserve"> </w:t>
      </w:r>
      <w:r w:rsidRPr="00CD59CC">
        <w:rPr>
          <w:rFonts w:ascii="Arial" w:hAnsi="Arial" w:cs="Arial"/>
          <w:bCs/>
          <w:iCs/>
        </w:rPr>
        <w:t>possible</w:t>
      </w:r>
      <w:r w:rsidR="007B7640" w:rsidRPr="00CD59CC">
        <w:rPr>
          <w:rFonts w:ascii="Arial" w:hAnsi="Arial" w:cs="Arial"/>
          <w:bCs/>
          <w:iCs/>
        </w:rPr>
        <w:t xml:space="preserve"> </w:t>
      </w:r>
      <w:r w:rsidRPr="00CD59CC">
        <w:rPr>
          <w:rFonts w:ascii="Arial" w:hAnsi="Arial" w:cs="Arial"/>
          <w:bCs/>
          <w:iCs/>
        </w:rPr>
        <w:t>be</w:t>
      </w:r>
      <w:r w:rsidR="007B7640" w:rsidRPr="00CD59CC">
        <w:rPr>
          <w:rFonts w:ascii="Arial" w:hAnsi="Arial" w:cs="Arial"/>
          <w:bCs/>
          <w:iCs/>
        </w:rPr>
        <w:t xml:space="preserve"> </w:t>
      </w:r>
      <w:r w:rsidRPr="00CD59CC">
        <w:rPr>
          <w:rFonts w:ascii="Arial" w:hAnsi="Arial" w:cs="Arial"/>
          <w:bCs/>
          <w:iCs/>
        </w:rPr>
        <w:t>employed</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integrated</w:t>
      </w:r>
      <w:r w:rsidR="007B7640" w:rsidRPr="00CD59CC">
        <w:rPr>
          <w:rFonts w:ascii="Arial" w:hAnsi="Arial" w:cs="Arial"/>
          <w:bCs/>
          <w:iCs/>
        </w:rPr>
        <w:t xml:space="preserve"> </w:t>
      </w:r>
      <w:r w:rsidRPr="00CD59CC">
        <w:rPr>
          <w:rFonts w:ascii="Arial" w:hAnsi="Arial" w:cs="Arial"/>
          <w:bCs/>
          <w:iCs/>
        </w:rPr>
        <w:t>employment,</w:t>
      </w:r>
      <w:r w:rsidR="007B7640" w:rsidRPr="00CD59CC">
        <w:rPr>
          <w:rFonts w:ascii="Arial" w:hAnsi="Arial" w:cs="Arial"/>
          <w:bCs/>
          <w:iCs/>
        </w:rPr>
        <w:t xml:space="preserve"> </w:t>
      </w:r>
      <w:r w:rsidRPr="00CD59CC">
        <w:rPr>
          <w:rFonts w:ascii="Arial" w:hAnsi="Arial" w:cs="Arial"/>
          <w:bCs/>
          <w:iCs/>
        </w:rPr>
        <w:t>or,</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lieu</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this,</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sheltered</w:t>
      </w:r>
      <w:r w:rsidR="007B7640" w:rsidRPr="00CD59CC">
        <w:rPr>
          <w:rFonts w:ascii="Arial" w:hAnsi="Arial" w:cs="Arial"/>
          <w:bCs/>
          <w:iCs/>
        </w:rPr>
        <w:t xml:space="preserve"> </w:t>
      </w:r>
      <w:r w:rsidRPr="00CD59CC">
        <w:rPr>
          <w:rFonts w:ascii="Arial" w:hAnsi="Arial" w:cs="Arial"/>
          <w:bCs/>
          <w:iCs/>
        </w:rPr>
        <w:t>employment.</w:t>
      </w:r>
      <w:r w:rsidR="007B7640" w:rsidRPr="00CD59CC">
        <w:rPr>
          <w:rFonts w:ascii="Arial" w:hAnsi="Arial" w:cs="Arial"/>
          <w:bCs/>
          <w:iCs/>
        </w:rPr>
        <w:t xml:space="preserve"> </w:t>
      </w:r>
      <w:r w:rsidRPr="00CD59CC">
        <w:rPr>
          <w:rFonts w:ascii="Arial" w:hAnsi="Arial" w:cs="Arial"/>
          <w:bCs/>
          <w:iCs/>
        </w:rPr>
        <w:t>Under</w:t>
      </w:r>
      <w:r w:rsidR="007B7640" w:rsidRPr="00CD59CC">
        <w:rPr>
          <w:rFonts w:ascii="Arial" w:hAnsi="Arial" w:cs="Arial"/>
          <w:bCs/>
          <w:iCs/>
        </w:rPr>
        <w:t xml:space="preserve"> </w:t>
      </w:r>
      <w:r w:rsidRPr="00CD59CC">
        <w:rPr>
          <w:rFonts w:ascii="Arial" w:hAnsi="Arial" w:cs="Arial"/>
          <w:bCs/>
          <w:iCs/>
        </w:rPr>
        <w:t>Article</w:t>
      </w:r>
      <w:r w:rsidR="007B7640" w:rsidRPr="00CD59CC">
        <w:rPr>
          <w:rFonts w:ascii="Arial" w:hAnsi="Arial" w:cs="Arial"/>
          <w:bCs/>
          <w:iCs/>
        </w:rPr>
        <w:t xml:space="preserve"> </w:t>
      </w:r>
      <w:r w:rsidRPr="00CD59CC">
        <w:rPr>
          <w:rFonts w:ascii="Arial" w:hAnsi="Arial" w:cs="Arial"/>
          <w:bCs/>
          <w:iCs/>
        </w:rPr>
        <w:t>16,</w:t>
      </w:r>
      <w:r w:rsidR="007B7640" w:rsidRPr="00CD59CC">
        <w:rPr>
          <w:rFonts w:ascii="Arial" w:hAnsi="Arial" w:cs="Arial"/>
          <w:bCs/>
          <w:iCs/>
        </w:rPr>
        <w:t xml:space="preserve"> </w:t>
      </w:r>
      <w:r w:rsidRPr="00CD59CC">
        <w:rPr>
          <w:rFonts w:ascii="Arial" w:hAnsi="Arial" w:cs="Arial"/>
          <w:bCs/>
          <w:iCs/>
        </w:rPr>
        <w:t>if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person</w:t>
      </w:r>
      <w:r w:rsidR="007B7640" w:rsidRPr="00CD59CC">
        <w:rPr>
          <w:rFonts w:ascii="Arial" w:hAnsi="Arial" w:cs="Arial"/>
          <w:bCs/>
          <w:iCs/>
        </w:rPr>
        <w:t xml:space="preserve"> </w:t>
      </w:r>
      <w:r w:rsidRPr="00CD59CC">
        <w:rPr>
          <w:rFonts w:ascii="Arial" w:hAnsi="Arial" w:cs="Arial"/>
          <w:bCs/>
          <w:iCs/>
        </w:rPr>
        <w:t>with</w:t>
      </w:r>
      <w:r w:rsidR="007B7640" w:rsidRPr="00CD59CC">
        <w:rPr>
          <w:rFonts w:ascii="Arial" w:hAnsi="Arial" w:cs="Arial"/>
          <w:bCs/>
          <w:iCs/>
        </w:rPr>
        <w:t xml:space="preserve"> </w:t>
      </w:r>
      <w:r w:rsidRPr="00CD59CC">
        <w:rPr>
          <w:rFonts w:ascii="Arial" w:hAnsi="Arial" w:cs="Arial"/>
          <w:bCs/>
          <w:iCs/>
        </w:rPr>
        <w:t>disability</w:t>
      </w:r>
      <w:r w:rsidR="007B7640" w:rsidRPr="00CD59CC">
        <w:rPr>
          <w:rFonts w:ascii="Arial" w:hAnsi="Arial" w:cs="Arial"/>
          <w:bCs/>
          <w:iCs/>
        </w:rPr>
        <w:t xml:space="preserve"> </w:t>
      </w:r>
      <w:r w:rsidRPr="00CD59CC">
        <w:rPr>
          <w:rFonts w:ascii="Arial" w:hAnsi="Arial" w:cs="Arial"/>
          <w:bCs/>
          <w:iCs/>
        </w:rPr>
        <w:t>cannot</w:t>
      </w:r>
      <w:r w:rsidR="007B7640" w:rsidRPr="00CD59CC">
        <w:rPr>
          <w:rFonts w:ascii="Arial" w:hAnsi="Arial" w:cs="Arial"/>
          <w:bCs/>
          <w:iCs/>
        </w:rPr>
        <w:t xml:space="preserve"> </w:t>
      </w:r>
      <w:r w:rsidRPr="00CD59CC">
        <w:rPr>
          <w:rFonts w:ascii="Arial" w:hAnsi="Arial" w:cs="Arial"/>
          <w:bCs/>
          <w:iCs/>
        </w:rPr>
        <w:t>be</w:t>
      </w:r>
      <w:r w:rsidR="007B7640" w:rsidRPr="00CD59CC">
        <w:rPr>
          <w:rFonts w:ascii="Arial" w:hAnsi="Arial" w:cs="Arial"/>
          <w:bCs/>
          <w:iCs/>
        </w:rPr>
        <w:t xml:space="preserve"> </w:t>
      </w:r>
      <w:r w:rsidRPr="00CD59CC">
        <w:rPr>
          <w:rFonts w:ascii="Arial" w:hAnsi="Arial" w:cs="Arial"/>
          <w:bCs/>
          <w:iCs/>
        </w:rPr>
        <w:t>employed</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framework</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integrated</w:t>
      </w:r>
      <w:r w:rsidR="007B7640" w:rsidRPr="00CD59CC">
        <w:rPr>
          <w:rFonts w:ascii="Arial" w:hAnsi="Arial" w:cs="Arial"/>
          <w:bCs/>
          <w:iCs/>
        </w:rPr>
        <w:t xml:space="preserve"> </w:t>
      </w:r>
      <w:r w:rsidRPr="00CD59CC">
        <w:rPr>
          <w:rFonts w:ascii="Arial" w:hAnsi="Arial" w:cs="Arial"/>
          <w:bCs/>
          <w:iCs/>
        </w:rPr>
        <w:t>employment,</w:t>
      </w:r>
      <w:r w:rsidR="007B7640" w:rsidRPr="00CD59CC">
        <w:rPr>
          <w:rFonts w:ascii="Arial" w:hAnsi="Arial" w:cs="Arial"/>
          <w:bCs/>
          <w:iCs/>
        </w:rPr>
        <w:t xml:space="preserve"> </w:t>
      </w:r>
      <w:r w:rsidRPr="00CD59CC">
        <w:rPr>
          <w:rFonts w:ascii="Arial" w:hAnsi="Arial" w:cs="Arial"/>
          <w:bCs/>
          <w:iCs/>
        </w:rPr>
        <w:t>his/her</w:t>
      </w:r>
      <w:r w:rsidR="007B7640" w:rsidRPr="00CD59CC">
        <w:rPr>
          <w:rFonts w:ascii="Arial" w:hAnsi="Arial" w:cs="Arial"/>
          <w:bCs/>
          <w:iCs/>
        </w:rPr>
        <w:t xml:space="preserve"> </w:t>
      </w:r>
      <w:r w:rsidRPr="00CD59CC">
        <w:rPr>
          <w:rFonts w:ascii="Arial" w:hAnsi="Arial" w:cs="Arial"/>
          <w:bCs/>
          <w:iCs/>
        </w:rPr>
        <w:t>right</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work</w:t>
      </w:r>
      <w:r w:rsidR="007B7640" w:rsidRPr="00CD59CC">
        <w:rPr>
          <w:rFonts w:ascii="Arial" w:hAnsi="Arial" w:cs="Arial"/>
          <w:bCs/>
          <w:iCs/>
        </w:rPr>
        <w:t xml:space="preserve"> </w:t>
      </w:r>
      <w:r w:rsidRPr="00CD59CC">
        <w:rPr>
          <w:rFonts w:ascii="Arial" w:hAnsi="Arial" w:cs="Arial"/>
          <w:bCs/>
          <w:iCs/>
        </w:rPr>
        <w:t>must</w:t>
      </w:r>
      <w:r w:rsidR="007B7640" w:rsidRPr="00CD59CC">
        <w:rPr>
          <w:rFonts w:ascii="Arial" w:hAnsi="Arial" w:cs="Arial"/>
          <w:bCs/>
          <w:iCs/>
        </w:rPr>
        <w:t xml:space="preserve"> </w:t>
      </w: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far</w:t>
      </w:r>
      <w:r w:rsidR="007B7640" w:rsidRPr="00CD59CC">
        <w:rPr>
          <w:rFonts w:ascii="Arial" w:hAnsi="Arial" w:cs="Arial"/>
          <w:bCs/>
          <w:iCs/>
        </w:rPr>
        <w:t xml:space="preserve"> </w:t>
      </w: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possible</w:t>
      </w:r>
      <w:r w:rsidR="007B7640" w:rsidRPr="00CD59CC">
        <w:rPr>
          <w:rFonts w:ascii="Arial" w:hAnsi="Arial" w:cs="Arial"/>
          <w:bCs/>
          <w:iCs/>
        </w:rPr>
        <w:t xml:space="preserve"> </w:t>
      </w:r>
      <w:r w:rsidRPr="00CD59CC">
        <w:rPr>
          <w:rFonts w:ascii="Arial" w:hAnsi="Arial" w:cs="Arial"/>
          <w:bCs/>
          <w:iCs/>
        </w:rPr>
        <w:t>be</w:t>
      </w:r>
      <w:r w:rsidR="007B7640" w:rsidRPr="00CD59CC">
        <w:rPr>
          <w:rFonts w:ascii="Arial" w:hAnsi="Arial" w:cs="Arial"/>
          <w:bCs/>
          <w:iCs/>
        </w:rPr>
        <w:t xml:space="preserve"> </w:t>
      </w:r>
      <w:r w:rsidRPr="00CD59CC">
        <w:rPr>
          <w:rFonts w:ascii="Arial" w:hAnsi="Arial" w:cs="Arial"/>
          <w:bCs/>
          <w:iCs/>
        </w:rPr>
        <w:t>ensured</w:t>
      </w:r>
      <w:r w:rsidR="007B7640" w:rsidRPr="00CD59CC">
        <w:rPr>
          <w:rFonts w:ascii="Arial" w:hAnsi="Arial" w:cs="Arial"/>
          <w:bCs/>
          <w:iCs/>
        </w:rPr>
        <w:t xml:space="preserve"> </w:t>
      </w:r>
      <w:r w:rsidRPr="00CD59CC">
        <w:rPr>
          <w:rFonts w:ascii="Arial" w:hAnsi="Arial" w:cs="Arial"/>
          <w:bCs/>
          <w:iCs/>
        </w:rPr>
        <w:t>through</w:t>
      </w:r>
      <w:r w:rsidR="007B7640" w:rsidRPr="00CD59CC">
        <w:rPr>
          <w:rFonts w:ascii="Arial" w:hAnsi="Arial" w:cs="Arial"/>
          <w:bCs/>
          <w:iCs/>
        </w:rPr>
        <w:t xml:space="preserve"> </w:t>
      </w:r>
      <w:r w:rsidRPr="00CD59CC">
        <w:rPr>
          <w:rFonts w:ascii="Arial" w:hAnsi="Arial" w:cs="Arial"/>
          <w:bCs/>
          <w:iCs/>
        </w:rPr>
        <w:t>other</w:t>
      </w:r>
      <w:r w:rsidR="007B7640" w:rsidRPr="00CD59CC">
        <w:rPr>
          <w:rFonts w:ascii="Arial" w:hAnsi="Arial" w:cs="Arial"/>
          <w:bCs/>
          <w:iCs/>
        </w:rPr>
        <w:t xml:space="preserve"> </w:t>
      </w:r>
      <w:r w:rsidRPr="00CD59CC">
        <w:rPr>
          <w:rFonts w:ascii="Arial" w:hAnsi="Arial" w:cs="Arial"/>
          <w:bCs/>
          <w:iCs/>
        </w:rPr>
        <w:t>forms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work.</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central</w:t>
      </w:r>
      <w:r w:rsidR="007B7640" w:rsidRPr="00CD59CC">
        <w:rPr>
          <w:rFonts w:ascii="Arial" w:hAnsi="Arial" w:cs="Arial"/>
          <w:bCs/>
          <w:iCs/>
        </w:rPr>
        <w:t xml:space="preserve"> </w:t>
      </w:r>
      <w:r w:rsidRPr="00CD59CC">
        <w:rPr>
          <w:rFonts w:ascii="Arial" w:hAnsi="Arial" w:cs="Arial"/>
          <w:bCs/>
          <w:iCs/>
        </w:rPr>
        <w:t>budget</w:t>
      </w:r>
      <w:r w:rsidR="007B7640" w:rsidRPr="00CD59CC">
        <w:rPr>
          <w:rFonts w:ascii="Arial" w:hAnsi="Arial" w:cs="Arial"/>
          <w:bCs/>
          <w:iCs/>
        </w:rPr>
        <w:t xml:space="preserve"> </w:t>
      </w:r>
      <w:r w:rsidRPr="00CD59CC">
        <w:rPr>
          <w:rFonts w:ascii="Arial" w:hAnsi="Arial" w:cs="Arial"/>
          <w:bCs/>
          <w:iCs/>
        </w:rPr>
        <w:t>provides</w:t>
      </w:r>
      <w:r w:rsidR="007B7640" w:rsidRPr="00CD59CC">
        <w:rPr>
          <w:rFonts w:ascii="Arial" w:hAnsi="Arial" w:cs="Arial"/>
          <w:bCs/>
          <w:iCs/>
        </w:rPr>
        <w:t xml:space="preserve"> </w:t>
      </w:r>
      <w:r w:rsidRPr="00CD59CC">
        <w:rPr>
          <w:rFonts w:ascii="Arial" w:hAnsi="Arial" w:cs="Arial"/>
          <w:bCs/>
          <w:iCs/>
        </w:rPr>
        <w:t>normative</w:t>
      </w:r>
      <w:r w:rsidR="007B7640" w:rsidRPr="00CD59CC">
        <w:rPr>
          <w:rFonts w:ascii="Arial" w:hAnsi="Arial" w:cs="Arial"/>
          <w:bCs/>
          <w:iCs/>
        </w:rPr>
        <w:t xml:space="preserve"> </w:t>
      </w:r>
      <w:r w:rsidRPr="00CD59CC">
        <w:rPr>
          <w:rFonts w:ascii="Arial" w:hAnsi="Arial" w:cs="Arial"/>
          <w:bCs/>
          <w:iCs/>
        </w:rPr>
        <w:t>support</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protected</w:t>
      </w:r>
      <w:r w:rsidR="007B7640" w:rsidRPr="00CD59CC">
        <w:rPr>
          <w:rFonts w:ascii="Arial" w:hAnsi="Arial" w:cs="Arial"/>
          <w:bCs/>
          <w:iCs/>
        </w:rPr>
        <w:t xml:space="preserve"> </w:t>
      </w:r>
      <w:r w:rsidRPr="00CD59CC">
        <w:rPr>
          <w:rFonts w:ascii="Arial" w:hAnsi="Arial" w:cs="Arial"/>
          <w:bCs/>
          <w:iCs/>
        </w:rPr>
        <w:t>work</w:t>
      </w:r>
      <w:r w:rsidR="007B7640" w:rsidRPr="00CD59CC">
        <w:rPr>
          <w:rFonts w:ascii="Arial" w:hAnsi="Arial" w:cs="Arial"/>
          <w:bCs/>
          <w:iCs/>
        </w:rPr>
        <w:t xml:space="preserve"> </w:t>
      </w:r>
      <w:r w:rsidRPr="00CD59CC">
        <w:rPr>
          <w:rFonts w:ascii="Arial" w:hAnsi="Arial" w:cs="Arial"/>
          <w:bCs/>
          <w:iCs/>
        </w:rPr>
        <w:t>places.</w:t>
      </w:r>
      <w:r w:rsidR="007B7640" w:rsidRPr="00CD59CC">
        <w:rPr>
          <w:rFonts w:ascii="Arial" w:hAnsi="Arial" w:cs="Arial"/>
          <w:bCs/>
          <w:iCs/>
        </w:rPr>
        <w:t xml:space="preserve"> </w:t>
      </w:r>
    </w:p>
    <w:p w14:paraId="3FF7D071" w14:textId="77777777" w:rsidR="00533706" w:rsidRPr="00CD59CC" w:rsidRDefault="00533706" w:rsidP="00CD59CC">
      <w:pPr>
        <w:rPr>
          <w:rFonts w:ascii="Arial" w:hAnsi="Arial" w:cs="Arial"/>
          <w:bCs/>
          <w:iCs/>
        </w:rPr>
      </w:pPr>
    </w:p>
    <w:p w14:paraId="21044FD3" w14:textId="06DA060C" w:rsidR="00533706" w:rsidRPr="00CD59CC" w:rsidRDefault="00533706" w:rsidP="00CD59CC">
      <w:pPr>
        <w:rPr>
          <w:rFonts w:ascii="Arial" w:hAnsi="Arial" w:cs="Arial"/>
          <w:bCs/>
          <w:iCs/>
        </w:rPr>
      </w:pPr>
      <w:r w:rsidRPr="00CD59CC">
        <w:rPr>
          <w:rFonts w:ascii="Arial" w:hAnsi="Arial" w:cs="Arial"/>
          <w:bCs/>
          <w:iCs/>
        </w:rPr>
        <w:lastRenderedPageBreak/>
        <w:t>There</w:t>
      </w:r>
      <w:r w:rsidR="007B7640" w:rsidRPr="00CD59CC">
        <w:rPr>
          <w:rFonts w:ascii="Arial" w:hAnsi="Arial" w:cs="Arial"/>
          <w:bCs/>
          <w:iCs/>
        </w:rPr>
        <w:t xml:space="preserve"> </w:t>
      </w:r>
      <w:r w:rsidRPr="00CD59CC">
        <w:rPr>
          <w:rFonts w:ascii="Arial" w:hAnsi="Arial" w:cs="Arial"/>
          <w:bCs/>
          <w:iCs/>
        </w:rPr>
        <w:t>are</w:t>
      </w:r>
      <w:r w:rsidR="007B7640" w:rsidRPr="00CD59CC">
        <w:rPr>
          <w:rFonts w:ascii="Arial" w:hAnsi="Arial" w:cs="Arial"/>
          <w:bCs/>
          <w:iCs/>
        </w:rPr>
        <w:t xml:space="preserve"> </w:t>
      </w:r>
      <w:r w:rsidRPr="00CD59CC">
        <w:rPr>
          <w:rFonts w:ascii="Arial" w:hAnsi="Arial" w:cs="Arial"/>
          <w:bCs/>
          <w:iCs/>
        </w:rPr>
        <w:t>three</w:t>
      </w:r>
      <w:r w:rsidR="007B7640" w:rsidRPr="00CD59CC">
        <w:rPr>
          <w:rFonts w:ascii="Arial" w:hAnsi="Arial" w:cs="Arial"/>
          <w:bCs/>
          <w:iCs/>
        </w:rPr>
        <w:t xml:space="preserve"> </w:t>
      </w:r>
      <w:r w:rsidRPr="00CD59CC">
        <w:rPr>
          <w:rFonts w:ascii="Arial" w:hAnsi="Arial" w:cs="Arial"/>
          <w:bCs/>
          <w:iCs/>
        </w:rPr>
        <w:t>categories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sheltered</w:t>
      </w:r>
      <w:r w:rsidR="007B7640" w:rsidRPr="00CD59CC">
        <w:rPr>
          <w:rFonts w:ascii="Arial" w:hAnsi="Arial" w:cs="Arial"/>
          <w:bCs/>
          <w:iCs/>
        </w:rPr>
        <w:t xml:space="preserve"> </w:t>
      </w:r>
      <w:r w:rsidRPr="00CD59CC">
        <w:rPr>
          <w:rFonts w:ascii="Arial" w:hAnsi="Arial" w:cs="Arial"/>
          <w:bCs/>
          <w:iCs/>
        </w:rPr>
        <w:t>employment</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Hungarian</w:t>
      </w:r>
      <w:r w:rsidR="007B7640" w:rsidRPr="00CD59CC">
        <w:rPr>
          <w:rFonts w:ascii="Arial" w:hAnsi="Arial" w:cs="Arial"/>
          <w:bCs/>
          <w:iCs/>
        </w:rPr>
        <w:t xml:space="preserve"> </w:t>
      </w:r>
      <w:r w:rsidRPr="00CD59CC">
        <w:rPr>
          <w:rFonts w:ascii="Arial" w:hAnsi="Arial" w:cs="Arial"/>
          <w:bCs/>
          <w:iCs/>
        </w:rPr>
        <w:t>system:</w:t>
      </w:r>
      <w:r w:rsidR="007B7640" w:rsidRPr="00CD59CC">
        <w:rPr>
          <w:rFonts w:ascii="Arial" w:hAnsi="Arial" w:cs="Arial"/>
          <w:bCs/>
          <w:iCs/>
        </w:rPr>
        <w:t xml:space="preserve"> </w:t>
      </w:r>
      <w:r w:rsidRPr="00CD59CC">
        <w:rPr>
          <w:rFonts w:ascii="Arial" w:hAnsi="Arial" w:cs="Arial"/>
          <w:bCs/>
          <w:iCs/>
        </w:rPr>
        <w:t>(i)</w:t>
      </w:r>
      <w:r w:rsidR="007B7640" w:rsidRPr="00CD59CC">
        <w:rPr>
          <w:rFonts w:ascii="Arial" w:hAnsi="Arial" w:cs="Arial"/>
          <w:bCs/>
          <w:iCs/>
        </w:rPr>
        <w:t xml:space="preserve"> </w:t>
      </w:r>
      <w:r w:rsidRPr="00CD59CC">
        <w:rPr>
          <w:rFonts w:ascii="Arial" w:hAnsi="Arial" w:cs="Arial"/>
          <w:bCs/>
          <w:iCs/>
        </w:rPr>
        <w:t>accredited</w:t>
      </w:r>
      <w:r w:rsidR="007B7640" w:rsidRPr="00CD59CC">
        <w:rPr>
          <w:rFonts w:ascii="Arial" w:hAnsi="Arial" w:cs="Arial"/>
          <w:bCs/>
          <w:iCs/>
        </w:rPr>
        <w:t xml:space="preserve"> </w:t>
      </w:r>
      <w:r w:rsidRPr="00CD59CC">
        <w:rPr>
          <w:rFonts w:ascii="Arial" w:hAnsi="Arial" w:cs="Arial"/>
          <w:bCs/>
          <w:iCs/>
        </w:rPr>
        <w:t>employment;</w:t>
      </w:r>
      <w:r w:rsidR="007B7640" w:rsidRPr="00CD59CC">
        <w:rPr>
          <w:rFonts w:ascii="Arial" w:hAnsi="Arial" w:cs="Arial"/>
          <w:bCs/>
          <w:iCs/>
        </w:rPr>
        <w:t xml:space="preserve"> </w:t>
      </w:r>
      <w:r w:rsidRPr="00CD59CC">
        <w:rPr>
          <w:rFonts w:ascii="Arial" w:hAnsi="Arial" w:cs="Arial"/>
          <w:bCs/>
          <w:iCs/>
        </w:rPr>
        <w:t>(ii)</w:t>
      </w:r>
      <w:r w:rsidR="007B7640" w:rsidRPr="00CD59CC">
        <w:rPr>
          <w:rFonts w:ascii="Arial" w:hAnsi="Arial" w:cs="Arial"/>
          <w:bCs/>
          <w:iCs/>
        </w:rPr>
        <w:t xml:space="preserve"> </w:t>
      </w:r>
      <w:r w:rsidRPr="00CD59CC">
        <w:rPr>
          <w:rFonts w:ascii="Arial" w:hAnsi="Arial" w:cs="Arial"/>
          <w:bCs/>
          <w:iCs/>
        </w:rPr>
        <w:t>rehabilitation</w:t>
      </w:r>
      <w:r w:rsidR="007B7640" w:rsidRPr="00CD59CC">
        <w:rPr>
          <w:rFonts w:ascii="Arial" w:hAnsi="Arial" w:cs="Arial"/>
          <w:bCs/>
          <w:iCs/>
        </w:rPr>
        <w:t xml:space="preserve"> </w:t>
      </w:r>
      <w:r w:rsidRPr="00CD59CC">
        <w:rPr>
          <w:rFonts w:ascii="Arial" w:hAnsi="Arial" w:cs="Arial"/>
          <w:bCs/>
          <w:iCs/>
        </w:rPr>
        <w:t>employment;</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(iii)</w:t>
      </w:r>
      <w:r w:rsidR="007B7640" w:rsidRPr="00CD59CC">
        <w:rPr>
          <w:rFonts w:ascii="Arial" w:hAnsi="Arial" w:cs="Arial"/>
          <w:bCs/>
          <w:iCs/>
        </w:rPr>
        <w:t xml:space="preserve"> </w:t>
      </w:r>
      <w:r w:rsidRPr="00CD59CC">
        <w:rPr>
          <w:rFonts w:ascii="Arial" w:hAnsi="Arial" w:cs="Arial"/>
          <w:bCs/>
          <w:iCs/>
        </w:rPr>
        <w:t>sheltered</w:t>
      </w:r>
      <w:r w:rsidR="007B7640" w:rsidRPr="00CD59CC">
        <w:rPr>
          <w:rFonts w:ascii="Arial" w:hAnsi="Arial" w:cs="Arial"/>
          <w:bCs/>
          <w:iCs/>
        </w:rPr>
        <w:t xml:space="preserve"> </w:t>
      </w:r>
      <w:r w:rsidRPr="00CD59CC">
        <w:rPr>
          <w:rFonts w:ascii="Arial" w:hAnsi="Arial" w:cs="Arial"/>
          <w:bCs/>
          <w:iCs/>
        </w:rPr>
        <w:t>employment.</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rules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accreditation</w:t>
      </w:r>
      <w:r w:rsidR="007B7640" w:rsidRPr="00CD59CC">
        <w:rPr>
          <w:rFonts w:ascii="Arial" w:hAnsi="Arial" w:cs="Arial"/>
          <w:bCs/>
          <w:iCs/>
        </w:rPr>
        <w:t xml:space="preserve"> </w:t>
      </w:r>
      <w:r w:rsidRPr="00CD59CC">
        <w:rPr>
          <w:rFonts w:ascii="Arial" w:hAnsi="Arial" w:cs="Arial"/>
          <w:bCs/>
          <w:iCs/>
        </w:rPr>
        <w:t>are</w:t>
      </w:r>
      <w:r w:rsidR="007B7640" w:rsidRPr="00CD59CC">
        <w:rPr>
          <w:rFonts w:ascii="Arial" w:hAnsi="Arial" w:cs="Arial"/>
          <w:bCs/>
          <w:iCs/>
        </w:rPr>
        <w:t xml:space="preserve"> </w:t>
      </w:r>
      <w:r w:rsidRPr="00CD59CC">
        <w:rPr>
          <w:rFonts w:ascii="Arial" w:hAnsi="Arial" w:cs="Arial"/>
          <w:bCs/>
          <w:iCs/>
        </w:rPr>
        <w:t>set</w:t>
      </w:r>
      <w:r w:rsidR="007B7640" w:rsidRPr="00CD59CC">
        <w:rPr>
          <w:rFonts w:ascii="Arial" w:hAnsi="Arial" w:cs="Arial"/>
          <w:bCs/>
          <w:iCs/>
        </w:rPr>
        <w:t xml:space="preserve"> </w:t>
      </w:r>
      <w:r w:rsidRPr="00CD59CC">
        <w:rPr>
          <w:rFonts w:ascii="Arial" w:hAnsi="Arial" w:cs="Arial"/>
          <w:bCs/>
          <w:iCs/>
        </w:rPr>
        <w:t>forth</w:t>
      </w:r>
      <w:r w:rsidR="007B7640" w:rsidRPr="00CD59CC">
        <w:rPr>
          <w:rFonts w:ascii="Arial" w:hAnsi="Arial" w:cs="Arial"/>
          <w:bCs/>
          <w:iCs/>
        </w:rPr>
        <w:t xml:space="preserve"> </w:t>
      </w:r>
      <w:r w:rsidRPr="00CD59CC">
        <w:rPr>
          <w:rFonts w:ascii="Arial" w:hAnsi="Arial" w:cs="Arial"/>
          <w:bCs/>
          <w:iCs/>
        </w:rPr>
        <w:t>by</w:t>
      </w:r>
      <w:r w:rsidR="007B7640" w:rsidRPr="00CD59CC">
        <w:rPr>
          <w:rFonts w:ascii="Arial" w:hAnsi="Arial" w:cs="Arial"/>
          <w:bCs/>
          <w:iCs/>
        </w:rPr>
        <w:t xml:space="preserve"> </w:t>
      </w:r>
      <w:r w:rsidRPr="00CD59CC">
        <w:rPr>
          <w:rFonts w:ascii="Arial" w:hAnsi="Arial" w:cs="Arial"/>
          <w:bCs/>
          <w:iCs/>
        </w:rPr>
        <w:t>Government</w:t>
      </w:r>
      <w:r w:rsidR="007B7640" w:rsidRPr="00CD59CC">
        <w:rPr>
          <w:rFonts w:ascii="Arial" w:hAnsi="Arial" w:cs="Arial"/>
          <w:bCs/>
          <w:iCs/>
        </w:rPr>
        <w:t xml:space="preserve"> </w:t>
      </w:r>
      <w:r w:rsidRPr="00CD59CC">
        <w:rPr>
          <w:rFonts w:ascii="Arial" w:hAnsi="Arial" w:cs="Arial"/>
          <w:bCs/>
          <w:iCs/>
        </w:rPr>
        <w:t>Decree</w:t>
      </w:r>
      <w:r w:rsidR="007B7640" w:rsidRPr="00CD59CC">
        <w:rPr>
          <w:rFonts w:ascii="Arial" w:hAnsi="Arial" w:cs="Arial"/>
          <w:bCs/>
          <w:iCs/>
        </w:rPr>
        <w:t xml:space="preserve"> </w:t>
      </w:r>
      <w:r w:rsidRPr="00CD59CC">
        <w:rPr>
          <w:rFonts w:ascii="Arial" w:hAnsi="Arial" w:cs="Arial"/>
          <w:bCs/>
          <w:iCs/>
        </w:rPr>
        <w:t>327/2012</w:t>
      </w:r>
      <w:r w:rsidR="007B7640" w:rsidRPr="00CD59CC">
        <w:rPr>
          <w:rFonts w:ascii="Arial" w:hAnsi="Arial" w:cs="Arial"/>
          <w:bCs/>
          <w:iCs/>
        </w:rPr>
        <w:t xml:space="preserve"> </w:t>
      </w:r>
      <w:r w:rsidRPr="00CD59CC">
        <w:rPr>
          <w:rFonts w:ascii="Arial" w:hAnsi="Arial" w:cs="Arial"/>
          <w:bCs/>
          <w:iCs/>
        </w:rPr>
        <w:t>on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Accreditation</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Employers</w:t>
      </w:r>
      <w:r w:rsidR="007B7640" w:rsidRPr="00CD59CC">
        <w:rPr>
          <w:rFonts w:ascii="Arial" w:hAnsi="Arial" w:cs="Arial"/>
          <w:bCs/>
          <w:iCs/>
        </w:rPr>
        <w:t xml:space="preserve"> </w:t>
      </w:r>
      <w:r w:rsidRPr="00CD59CC">
        <w:rPr>
          <w:rFonts w:ascii="Arial" w:hAnsi="Arial" w:cs="Arial"/>
          <w:bCs/>
          <w:iCs/>
        </w:rPr>
        <w:t>Employing</w:t>
      </w:r>
      <w:r w:rsidR="007B7640" w:rsidRPr="00CD59CC">
        <w:rPr>
          <w:rFonts w:ascii="Arial" w:hAnsi="Arial" w:cs="Arial"/>
          <w:bCs/>
          <w:iCs/>
        </w:rPr>
        <w:t xml:space="preserve"> </w:t>
      </w:r>
      <w:r w:rsidRPr="00CD59CC">
        <w:rPr>
          <w:rFonts w:ascii="Arial" w:hAnsi="Arial" w:cs="Arial"/>
          <w:bCs/>
          <w:iCs/>
        </w:rPr>
        <w:t>Workers</w:t>
      </w:r>
      <w:r w:rsidR="007B7640" w:rsidRPr="00CD59CC">
        <w:rPr>
          <w:rFonts w:ascii="Arial" w:hAnsi="Arial" w:cs="Arial"/>
          <w:bCs/>
          <w:iCs/>
        </w:rPr>
        <w:t xml:space="preserve"> </w:t>
      </w:r>
      <w:r w:rsidRPr="00CD59CC">
        <w:rPr>
          <w:rFonts w:ascii="Arial" w:hAnsi="Arial" w:cs="Arial"/>
          <w:bCs/>
          <w:iCs/>
        </w:rPr>
        <w:t>with</w:t>
      </w:r>
      <w:r w:rsidR="007B7640" w:rsidRPr="00CD59CC">
        <w:rPr>
          <w:rFonts w:ascii="Arial" w:hAnsi="Arial" w:cs="Arial"/>
          <w:bCs/>
          <w:iCs/>
        </w:rPr>
        <w:t xml:space="preserve"> </w:t>
      </w:r>
      <w:r w:rsidRPr="00CD59CC">
        <w:rPr>
          <w:rFonts w:ascii="Arial" w:hAnsi="Arial" w:cs="Arial"/>
          <w:bCs/>
          <w:iCs/>
        </w:rPr>
        <w:t>Disabilities,</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Budgetary</w:t>
      </w:r>
      <w:r w:rsidR="007B7640" w:rsidRPr="00CD59CC">
        <w:rPr>
          <w:rFonts w:ascii="Arial" w:hAnsi="Arial" w:cs="Arial"/>
          <w:bCs/>
          <w:iCs/>
        </w:rPr>
        <w:t xml:space="preserve"> </w:t>
      </w:r>
      <w:r w:rsidRPr="00CD59CC">
        <w:rPr>
          <w:rFonts w:ascii="Arial" w:hAnsi="Arial" w:cs="Arial"/>
          <w:bCs/>
          <w:iCs/>
        </w:rPr>
        <w:t>Supports</w:t>
      </w:r>
      <w:r w:rsidR="007B7640" w:rsidRPr="00CD59CC">
        <w:rPr>
          <w:rFonts w:ascii="Arial" w:hAnsi="Arial" w:cs="Arial"/>
          <w:bCs/>
          <w:iCs/>
        </w:rPr>
        <w:t xml:space="preserve"> </w:t>
      </w:r>
      <w:r w:rsidRPr="00CD59CC">
        <w:rPr>
          <w:rFonts w:ascii="Arial" w:hAnsi="Arial" w:cs="Arial"/>
          <w:bCs/>
          <w:iCs/>
        </w:rPr>
        <w:t>for</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Employment</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Workers</w:t>
      </w:r>
      <w:r w:rsidR="007B7640" w:rsidRPr="00CD59CC">
        <w:rPr>
          <w:rFonts w:ascii="Arial" w:hAnsi="Arial" w:cs="Arial"/>
          <w:bCs/>
          <w:iCs/>
        </w:rPr>
        <w:t xml:space="preserve"> </w:t>
      </w:r>
      <w:r w:rsidRPr="00CD59CC">
        <w:rPr>
          <w:rFonts w:ascii="Arial" w:hAnsi="Arial" w:cs="Arial"/>
          <w:bCs/>
          <w:iCs/>
        </w:rPr>
        <w:t>with</w:t>
      </w:r>
      <w:r w:rsidR="007B7640" w:rsidRPr="00CD59CC">
        <w:rPr>
          <w:rFonts w:ascii="Arial" w:hAnsi="Arial" w:cs="Arial"/>
          <w:bCs/>
          <w:iCs/>
        </w:rPr>
        <w:t xml:space="preserve"> </w:t>
      </w:r>
      <w:r w:rsidRPr="00CD59CC">
        <w:rPr>
          <w:rFonts w:ascii="Arial" w:hAnsi="Arial" w:cs="Arial"/>
          <w:bCs/>
          <w:iCs/>
        </w:rPr>
        <w:t>Disabilities</w:t>
      </w:r>
      <w:r w:rsidR="007B7640" w:rsidRPr="00CD59CC">
        <w:rPr>
          <w:rFonts w:ascii="Arial" w:hAnsi="Arial" w:cs="Arial"/>
          <w:bCs/>
          <w:iCs/>
        </w:rPr>
        <w:t xml:space="preserve"> </w:t>
      </w:r>
      <w:r w:rsidRPr="00CD59CC">
        <w:rPr>
          <w:rFonts w:ascii="Arial" w:hAnsi="Arial" w:cs="Arial"/>
          <w:bCs/>
          <w:iCs/>
        </w:rPr>
        <w:t>(hereafter:</w:t>
      </w:r>
      <w:r w:rsidR="007B7640" w:rsidRPr="00CD59CC">
        <w:rPr>
          <w:rFonts w:ascii="Arial" w:hAnsi="Arial" w:cs="Arial"/>
          <w:bCs/>
          <w:iCs/>
        </w:rPr>
        <w:t xml:space="preserve"> </w:t>
      </w:r>
      <w:r w:rsidRPr="00CD59CC">
        <w:rPr>
          <w:rFonts w:ascii="Arial" w:hAnsi="Arial" w:cs="Arial"/>
          <w:bCs/>
          <w:iCs/>
        </w:rPr>
        <w:t>Accreditation</w:t>
      </w:r>
      <w:r w:rsidR="007B7640" w:rsidRPr="00CD59CC">
        <w:rPr>
          <w:rFonts w:ascii="Arial" w:hAnsi="Arial" w:cs="Arial"/>
          <w:bCs/>
          <w:iCs/>
        </w:rPr>
        <w:t xml:space="preserve"> </w:t>
      </w:r>
      <w:r w:rsidRPr="00CD59CC">
        <w:rPr>
          <w:rFonts w:ascii="Arial" w:hAnsi="Arial" w:cs="Arial"/>
          <w:bCs/>
          <w:iCs/>
        </w:rPr>
        <w:t>Decree).</w:t>
      </w:r>
      <w:r w:rsidR="007B7640" w:rsidRPr="00CD59CC">
        <w:rPr>
          <w:rFonts w:ascii="Arial" w:hAnsi="Arial" w:cs="Arial"/>
          <w:bCs/>
          <w:iCs/>
        </w:rPr>
        <w:t xml:space="preserve"> </w:t>
      </w:r>
      <w:r w:rsidRPr="00CD59CC">
        <w:rPr>
          <w:rFonts w:ascii="Arial" w:hAnsi="Arial" w:cs="Arial"/>
          <w:bCs/>
          <w:iCs/>
        </w:rPr>
        <w:t>Under</w:t>
      </w:r>
      <w:r w:rsidR="007B7640" w:rsidRPr="00CD59CC">
        <w:rPr>
          <w:rFonts w:ascii="Arial" w:hAnsi="Arial" w:cs="Arial"/>
          <w:bCs/>
          <w:iCs/>
        </w:rPr>
        <w:t xml:space="preserve"> </w:t>
      </w:r>
      <w:r w:rsidRPr="00CD59CC">
        <w:rPr>
          <w:rFonts w:ascii="Arial" w:hAnsi="Arial" w:cs="Arial"/>
          <w:bCs/>
          <w:iCs/>
        </w:rPr>
        <w:t>Article</w:t>
      </w:r>
      <w:r w:rsidR="007B7640" w:rsidRPr="00CD59CC">
        <w:rPr>
          <w:rFonts w:ascii="Arial" w:hAnsi="Arial" w:cs="Arial"/>
          <w:bCs/>
          <w:iCs/>
        </w:rPr>
        <w:t xml:space="preserve"> </w:t>
      </w:r>
      <w:r w:rsidRPr="00CD59CC">
        <w:rPr>
          <w:rFonts w:ascii="Arial" w:hAnsi="Arial" w:cs="Arial"/>
          <w:bCs/>
          <w:iCs/>
        </w:rPr>
        <w:t>2</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Accreditation</w:t>
      </w:r>
      <w:r w:rsidR="007B7640" w:rsidRPr="00CD59CC">
        <w:rPr>
          <w:rFonts w:ascii="Arial" w:hAnsi="Arial" w:cs="Arial"/>
          <w:bCs/>
          <w:iCs/>
        </w:rPr>
        <w:t xml:space="preserve"> </w:t>
      </w:r>
      <w:r w:rsidRPr="00CD59CC">
        <w:rPr>
          <w:rFonts w:ascii="Arial" w:hAnsi="Arial" w:cs="Arial"/>
          <w:bCs/>
          <w:iCs/>
        </w:rPr>
        <w:t>Decree,</w:t>
      </w:r>
      <w:r w:rsidR="007B7640" w:rsidRPr="00CD59CC">
        <w:rPr>
          <w:rFonts w:ascii="Arial" w:hAnsi="Arial" w:cs="Arial"/>
          <w:bCs/>
          <w:iCs/>
        </w:rPr>
        <w:t xml:space="preserve"> </w:t>
      </w:r>
      <w:r w:rsidRPr="00CD59CC">
        <w:rPr>
          <w:rFonts w:ascii="Arial" w:hAnsi="Arial" w:cs="Arial"/>
          <w:bCs/>
          <w:iCs/>
        </w:rPr>
        <w:t>an</w:t>
      </w:r>
      <w:r w:rsidR="007B7640" w:rsidRPr="00CD59CC">
        <w:rPr>
          <w:rFonts w:ascii="Arial" w:hAnsi="Arial" w:cs="Arial"/>
          <w:bCs/>
          <w:iCs/>
        </w:rPr>
        <w:t xml:space="preserve"> </w:t>
      </w:r>
      <w:r w:rsidRPr="00CD59CC">
        <w:rPr>
          <w:rFonts w:ascii="Arial" w:hAnsi="Arial" w:cs="Arial"/>
          <w:bCs/>
          <w:iCs/>
        </w:rPr>
        <w:t>employer</w:t>
      </w:r>
      <w:r w:rsidR="007B7640" w:rsidRPr="00CD59CC">
        <w:rPr>
          <w:rFonts w:ascii="Arial" w:hAnsi="Arial" w:cs="Arial"/>
          <w:bCs/>
          <w:iCs/>
        </w:rPr>
        <w:t xml:space="preserve"> </w:t>
      </w:r>
      <w:r w:rsidRPr="00CD59CC">
        <w:rPr>
          <w:rFonts w:ascii="Arial" w:hAnsi="Arial" w:cs="Arial"/>
          <w:bCs/>
          <w:iCs/>
        </w:rPr>
        <w:t>may</w:t>
      </w:r>
      <w:r w:rsidR="007B7640" w:rsidRPr="00CD59CC">
        <w:rPr>
          <w:rFonts w:ascii="Arial" w:hAnsi="Arial" w:cs="Arial"/>
          <w:bCs/>
          <w:iCs/>
        </w:rPr>
        <w:t xml:space="preserve"> </w:t>
      </w:r>
      <w:r w:rsidRPr="00CD59CC">
        <w:rPr>
          <w:rFonts w:ascii="Arial" w:hAnsi="Arial" w:cs="Arial"/>
          <w:bCs/>
          <w:iCs/>
        </w:rPr>
        <w:t>be</w:t>
      </w:r>
      <w:r w:rsidR="007B7640" w:rsidRPr="00CD59CC">
        <w:rPr>
          <w:rFonts w:ascii="Arial" w:hAnsi="Arial" w:cs="Arial"/>
          <w:bCs/>
          <w:iCs/>
        </w:rPr>
        <w:t xml:space="preserve"> </w:t>
      </w:r>
      <w:r w:rsidRPr="00CD59CC">
        <w:rPr>
          <w:rFonts w:ascii="Arial" w:hAnsi="Arial" w:cs="Arial"/>
          <w:bCs/>
          <w:iCs/>
        </w:rPr>
        <w:t>recognised</w:t>
      </w:r>
      <w:r w:rsidR="007B7640" w:rsidRPr="00CD59CC">
        <w:rPr>
          <w:rFonts w:ascii="Arial" w:hAnsi="Arial" w:cs="Arial"/>
          <w:bCs/>
          <w:iCs/>
        </w:rPr>
        <w:t xml:space="preserve"> </w:t>
      </w: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an</w:t>
      </w:r>
      <w:r w:rsidR="007B7640" w:rsidRPr="00CD59CC">
        <w:rPr>
          <w:rFonts w:ascii="Arial" w:hAnsi="Arial" w:cs="Arial"/>
          <w:bCs/>
          <w:iCs/>
        </w:rPr>
        <w:t xml:space="preserve"> </w:t>
      </w:r>
      <w:r w:rsidRPr="00CD59CC">
        <w:rPr>
          <w:rFonts w:ascii="Arial" w:hAnsi="Arial" w:cs="Arial"/>
          <w:bCs/>
          <w:iCs/>
        </w:rPr>
        <w:t>accredited</w:t>
      </w:r>
      <w:r w:rsidR="007B7640" w:rsidRPr="00CD59CC">
        <w:rPr>
          <w:rFonts w:ascii="Arial" w:hAnsi="Arial" w:cs="Arial"/>
          <w:bCs/>
          <w:iCs/>
        </w:rPr>
        <w:t xml:space="preserve"> </w:t>
      </w:r>
      <w:r w:rsidRPr="00CD59CC">
        <w:rPr>
          <w:rFonts w:ascii="Arial" w:hAnsi="Arial" w:cs="Arial"/>
          <w:bCs/>
          <w:iCs/>
        </w:rPr>
        <w:t>employer</w:t>
      </w:r>
      <w:r w:rsidR="007B7640" w:rsidRPr="00CD59CC">
        <w:rPr>
          <w:rFonts w:ascii="Arial" w:hAnsi="Arial" w:cs="Arial"/>
          <w:bCs/>
          <w:iCs/>
        </w:rPr>
        <w:t xml:space="preserve"> </w:t>
      </w:r>
      <w:r w:rsidRPr="00CD59CC">
        <w:rPr>
          <w:rFonts w:ascii="Arial" w:hAnsi="Arial" w:cs="Arial"/>
          <w:bCs/>
          <w:iCs/>
        </w:rPr>
        <w:t>if</w:t>
      </w:r>
      <w:r w:rsidR="007B7640" w:rsidRPr="00CD59CC">
        <w:rPr>
          <w:rFonts w:ascii="Arial" w:hAnsi="Arial" w:cs="Arial"/>
          <w:bCs/>
          <w:iCs/>
        </w:rPr>
        <w:t xml:space="preserve"> </w:t>
      </w:r>
      <w:r w:rsidRPr="00CD59CC">
        <w:rPr>
          <w:rFonts w:ascii="Arial" w:hAnsi="Arial" w:cs="Arial"/>
          <w:bCs/>
          <w:iCs/>
        </w:rPr>
        <w:t>–</w:t>
      </w:r>
      <w:r w:rsidR="007B7640" w:rsidRPr="00CD59CC">
        <w:rPr>
          <w:rFonts w:ascii="Arial" w:hAnsi="Arial" w:cs="Arial"/>
          <w:bCs/>
          <w:iCs/>
        </w:rPr>
        <w:t xml:space="preserve"> </w:t>
      </w:r>
      <w:r w:rsidRPr="00CD59CC">
        <w:rPr>
          <w:rFonts w:ascii="Arial" w:hAnsi="Arial" w:cs="Arial"/>
          <w:bCs/>
          <w:iCs/>
        </w:rPr>
        <w:t>among</w:t>
      </w:r>
      <w:r w:rsidR="007B7640" w:rsidRPr="00CD59CC">
        <w:rPr>
          <w:rFonts w:ascii="Arial" w:hAnsi="Arial" w:cs="Arial"/>
          <w:bCs/>
          <w:iCs/>
        </w:rPr>
        <w:t xml:space="preserve"> </w:t>
      </w:r>
      <w:r w:rsidRPr="00CD59CC">
        <w:rPr>
          <w:rFonts w:ascii="Arial" w:hAnsi="Arial" w:cs="Arial"/>
          <w:bCs/>
          <w:iCs/>
        </w:rPr>
        <w:t>others</w:t>
      </w:r>
      <w:r w:rsidR="007B7640" w:rsidRPr="00CD59CC">
        <w:rPr>
          <w:rFonts w:ascii="Arial" w:hAnsi="Arial" w:cs="Arial"/>
          <w:bCs/>
          <w:iCs/>
        </w:rPr>
        <w:t xml:space="preserve"> </w:t>
      </w:r>
      <w:r w:rsidRPr="00CD59CC">
        <w:rPr>
          <w:rFonts w:ascii="Arial" w:hAnsi="Arial" w:cs="Arial"/>
          <w:bCs/>
          <w:iCs/>
        </w:rPr>
        <w:t>–</w:t>
      </w:r>
      <w:r w:rsidR="007B7640" w:rsidRPr="00CD59CC">
        <w:rPr>
          <w:rFonts w:ascii="Arial" w:hAnsi="Arial" w:cs="Arial"/>
          <w:bCs/>
          <w:iCs/>
        </w:rPr>
        <w:t xml:space="preserve"> </w:t>
      </w:r>
      <w:r w:rsidRPr="00CD59CC">
        <w:rPr>
          <w:rFonts w:ascii="Arial" w:hAnsi="Arial" w:cs="Arial"/>
          <w:bCs/>
          <w:iCs/>
        </w:rPr>
        <w:t>(i)</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monthly</w:t>
      </w:r>
      <w:r w:rsidR="007B7640" w:rsidRPr="00CD59CC">
        <w:rPr>
          <w:rFonts w:ascii="Arial" w:hAnsi="Arial" w:cs="Arial"/>
          <w:bCs/>
          <w:iCs/>
        </w:rPr>
        <w:t xml:space="preserve"> </w:t>
      </w:r>
      <w:r w:rsidRPr="00CD59CC">
        <w:rPr>
          <w:rFonts w:ascii="Arial" w:hAnsi="Arial" w:cs="Arial"/>
          <w:bCs/>
          <w:iCs/>
        </w:rPr>
        <w:t>average</w:t>
      </w:r>
      <w:r w:rsidR="007B7640" w:rsidRPr="00CD59CC">
        <w:rPr>
          <w:rFonts w:ascii="Arial" w:hAnsi="Arial" w:cs="Arial"/>
          <w:bCs/>
          <w:iCs/>
        </w:rPr>
        <w:t xml:space="preserve"> </w:t>
      </w:r>
      <w:r w:rsidRPr="00CD59CC">
        <w:rPr>
          <w:rFonts w:ascii="Arial" w:hAnsi="Arial" w:cs="Arial"/>
          <w:bCs/>
          <w:iCs/>
        </w:rPr>
        <w:t>number</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its</w:t>
      </w:r>
      <w:r w:rsidR="007B7640" w:rsidRPr="00CD59CC">
        <w:rPr>
          <w:rFonts w:ascii="Arial" w:hAnsi="Arial" w:cs="Arial"/>
          <w:bCs/>
          <w:iCs/>
        </w:rPr>
        <w:t xml:space="preserve"> </w:t>
      </w:r>
      <w:r w:rsidRPr="00CD59CC">
        <w:rPr>
          <w:rFonts w:ascii="Arial" w:hAnsi="Arial" w:cs="Arial"/>
          <w:bCs/>
          <w:iCs/>
        </w:rPr>
        <w:t>workers</w:t>
      </w:r>
      <w:r w:rsidR="007B7640" w:rsidRPr="00CD59CC">
        <w:rPr>
          <w:rFonts w:ascii="Arial" w:hAnsi="Arial" w:cs="Arial"/>
          <w:bCs/>
          <w:iCs/>
        </w:rPr>
        <w:t xml:space="preserve"> </w:t>
      </w:r>
      <w:r w:rsidRPr="00CD59CC">
        <w:rPr>
          <w:rFonts w:ascii="Arial" w:hAnsi="Arial" w:cs="Arial"/>
          <w:bCs/>
          <w:iCs/>
        </w:rPr>
        <w:t>with</w:t>
      </w:r>
      <w:r w:rsidR="007B7640" w:rsidRPr="00CD59CC">
        <w:rPr>
          <w:rFonts w:ascii="Arial" w:hAnsi="Arial" w:cs="Arial"/>
          <w:bCs/>
          <w:iCs/>
        </w:rPr>
        <w:t xml:space="preserve"> </w:t>
      </w:r>
      <w:r w:rsidRPr="00CD59CC">
        <w:rPr>
          <w:rFonts w:ascii="Arial" w:hAnsi="Arial" w:cs="Arial"/>
          <w:bCs/>
          <w:iCs/>
        </w:rPr>
        <w:t>disabilities</w:t>
      </w:r>
      <w:r w:rsidR="007B7640" w:rsidRPr="00CD59CC">
        <w:rPr>
          <w:rFonts w:ascii="Arial" w:hAnsi="Arial" w:cs="Arial"/>
          <w:bCs/>
          <w:iCs/>
        </w:rPr>
        <w:t xml:space="preserve"> </w:t>
      </w:r>
      <w:r w:rsidRPr="00CD59CC">
        <w:rPr>
          <w:rFonts w:ascii="Arial" w:hAnsi="Arial" w:cs="Arial"/>
          <w:bCs/>
          <w:iCs/>
        </w:rPr>
        <w:t>is</w:t>
      </w:r>
      <w:r w:rsidR="007B7640" w:rsidRPr="00CD59CC">
        <w:rPr>
          <w:rFonts w:ascii="Arial" w:hAnsi="Arial" w:cs="Arial"/>
          <w:bCs/>
          <w:iCs/>
        </w:rPr>
        <w:t xml:space="preserve"> </w:t>
      </w:r>
      <w:r w:rsidRPr="00CD59CC">
        <w:rPr>
          <w:rFonts w:ascii="Arial" w:hAnsi="Arial" w:cs="Arial"/>
          <w:bCs/>
          <w:iCs/>
        </w:rPr>
        <w:t>at</w:t>
      </w:r>
      <w:r w:rsidR="007B7640" w:rsidRPr="00CD59CC">
        <w:rPr>
          <w:rFonts w:ascii="Arial" w:hAnsi="Arial" w:cs="Arial"/>
          <w:bCs/>
          <w:iCs/>
        </w:rPr>
        <w:t xml:space="preserve"> </w:t>
      </w:r>
      <w:r w:rsidRPr="00CD59CC">
        <w:rPr>
          <w:rFonts w:ascii="Arial" w:hAnsi="Arial" w:cs="Arial"/>
          <w:bCs/>
          <w:iCs/>
        </w:rPr>
        <w:t>least</w:t>
      </w:r>
      <w:r w:rsidR="007B7640" w:rsidRPr="00CD59CC">
        <w:rPr>
          <w:rFonts w:ascii="Arial" w:hAnsi="Arial" w:cs="Arial"/>
          <w:bCs/>
          <w:iCs/>
        </w:rPr>
        <w:t xml:space="preserve"> </w:t>
      </w:r>
      <w:r w:rsidRPr="00CD59CC">
        <w:rPr>
          <w:rFonts w:ascii="Arial" w:hAnsi="Arial" w:cs="Arial"/>
          <w:bCs/>
          <w:iCs/>
        </w:rPr>
        <w:t>30</w:t>
      </w:r>
      <w:r w:rsidR="007B7640" w:rsidRPr="00CD59CC">
        <w:rPr>
          <w:rFonts w:ascii="Arial" w:hAnsi="Arial" w:cs="Arial"/>
          <w:bCs/>
          <w:iCs/>
        </w:rPr>
        <w:t xml:space="preserve"> </w:t>
      </w:r>
      <w:r w:rsidRPr="00CD59CC">
        <w:rPr>
          <w:rFonts w:ascii="Arial" w:hAnsi="Arial" w:cs="Arial"/>
          <w:bCs/>
          <w:iCs/>
        </w:rPr>
        <w:t>or</w:t>
      </w:r>
      <w:r w:rsidR="007B7640" w:rsidRPr="00CD59CC">
        <w:rPr>
          <w:rFonts w:ascii="Arial" w:hAnsi="Arial" w:cs="Arial"/>
          <w:bCs/>
          <w:iCs/>
        </w:rPr>
        <w:t xml:space="preserve"> </w:t>
      </w:r>
      <w:r w:rsidRPr="00CD59CC">
        <w:rPr>
          <w:rFonts w:ascii="Arial" w:hAnsi="Arial" w:cs="Arial"/>
          <w:bCs/>
          <w:iCs/>
        </w:rPr>
        <w:t>exceeds</w:t>
      </w:r>
      <w:r w:rsidR="007B7640" w:rsidRPr="00CD59CC">
        <w:rPr>
          <w:rFonts w:ascii="Arial" w:hAnsi="Arial" w:cs="Arial"/>
          <w:bCs/>
          <w:iCs/>
        </w:rPr>
        <w:t xml:space="preserve"> </w:t>
      </w:r>
      <w:r w:rsidRPr="00CD59CC">
        <w:rPr>
          <w:rFonts w:ascii="Arial" w:hAnsi="Arial" w:cs="Arial"/>
          <w:bCs/>
          <w:iCs/>
        </w:rPr>
        <w:t>25%</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all</w:t>
      </w:r>
      <w:r w:rsidR="007B7640" w:rsidRPr="00CD59CC">
        <w:rPr>
          <w:rFonts w:ascii="Arial" w:hAnsi="Arial" w:cs="Arial"/>
          <w:bCs/>
          <w:iCs/>
        </w:rPr>
        <w:t xml:space="preserve"> </w:t>
      </w:r>
      <w:r w:rsidRPr="00CD59CC">
        <w:rPr>
          <w:rFonts w:ascii="Arial" w:hAnsi="Arial" w:cs="Arial"/>
          <w:bCs/>
          <w:iCs/>
        </w:rPr>
        <w:t>employees,</w:t>
      </w:r>
      <w:r w:rsidR="007B7640" w:rsidRPr="00CD59CC">
        <w:rPr>
          <w:rFonts w:ascii="Arial" w:hAnsi="Arial" w:cs="Arial"/>
          <w:bCs/>
          <w:iCs/>
        </w:rPr>
        <w:t xml:space="preserve"> </w:t>
      </w:r>
      <w:r w:rsidRPr="00CD59CC">
        <w:rPr>
          <w:rFonts w:ascii="Arial" w:hAnsi="Arial" w:cs="Arial"/>
          <w:bCs/>
          <w:iCs/>
        </w:rPr>
        <w:t>(ii)</w:t>
      </w:r>
      <w:r w:rsidR="007B7640" w:rsidRPr="00CD59CC">
        <w:rPr>
          <w:rFonts w:ascii="Arial" w:hAnsi="Arial" w:cs="Arial"/>
          <w:bCs/>
          <w:iCs/>
        </w:rPr>
        <w:t xml:space="preserve"> </w:t>
      </w:r>
      <w:r w:rsidRPr="00CD59CC">
        <w:rPr>
          <w:rFonts w:ascii="Arial" w:hAnsi="Arial" w:cs="Arial"/>
          <w:bCs/>
          <w:iCs/>
        </w:rPr>
        <w:t>it</w:t>
      </w:r>
      <w:r w:rsidR="007B7640" w:rsidRPr="00CD59CC">
        <w:rPr>
          <w:rFonts w:ascii="Arial" w:hAnsi="Arial" w:cs="Arial"/>
          <w:bCs/>
          <w:iCs/>
        </w:rPr>
        <w:t xml:space="preserve"> </w:t>
      </w:r>
      <w:r w:rsidRPr="00CD59CC">
        <w:rPr>
          <w:rFonts w:ascii="Arial" w:hAnsi="Arial" w:cs="Arial"/>
          <w:bCs/>
          <w:iCs/>
        </w:rPr>
        <w:t>provides</w:t>
      </w:r>
      <w:r w:rsidR="007B7640" w:rsidRPr="00CD59CC">
        <w:rPr>
          <w:rFonts w:ascii="Arial" w:hAnsi="Arial" w:cs="Arial"/>
          <w:bCs/>
          <w:iCs/>
        </w:rPr>
        <w:t xml:space="preserve"> </w:t>
      </w:r>
      <w:r w:rsidRPr="00CD59CC">
        <w:rPr>
          <w:rFonts w:ascii="Arial" w:hAnsi="Arial" w:cs="Arial"/>
          <w:bCs/>
          <w:iCs/>
        </w:rPr>
        <w:t>“employment</w:t>
      </w:r>
      <w:r w:rsidR="007B7640" w:rsidRPr="00CD59CC">
        <w:rPr>
          <w:rFonts w:ascii="Arial" w:hAnsi="Arial" w:cs="Arial"/>
          <w:bCs/>
          <w:iCs/>
        </w:rPr>
        <w:t xml:space="preserve"> </w:t>
      </w:r>
      <w:r w:rsidRPr="00CD59CC">
        <w:rPr>
          <w:rFonts w:ascii="Arial" w:hAnsi="Arial" w:cs="Arial"/>
          <w:bCs/>
          <w:iCs/>
        </w:rPr>
        <w:t>aimed</w:t>
      </w:r>
      <w:r w:rsidR="007B7640" w:rsidRPr="00CD59CC">
        <w:rPr>
          <w:rFonts w:ascii="Arial" w:hAnsi="Arial" w:cs="Arial"/>
          <w:bCs/>
          <w:iCs/>
        </w:rPr>
        <w:t xml:space="preserve"> </w:t>
      </w:r>
      <w:r w:rsidRPr="00CD59CC">
        <w:rPr>
          <w:rFonts w:ascii="Arial" w:hAnsi="Arial" w:cs="Arial"/>
          <w:bCs/>
          <w:iCs/>
        </w:rPr>
        <w:t>at</w:t>
      </w:r>
      <w:r w:rsidR="007B7640" w:rsidRPr="00CD59CC">
        <w:rPr>
          <w:rFonts w:ascii="Arial" w:hAnsi="Arial" w:cs="Arial"/>
          <w:bCs/>
          <w:iCs/>
        </w:rPr>
        <w:t xml:space="preserve"> </w:t>
      </w:r>
      <w:r w:rsidRPr="00CD59CC">
        <w:rPr>
          <w:rFonts w:ascii="Arial" w:hAnsi="Arial" w:cs="Arial"/>
          <w:bCs/>
          <w:iCs/>
        </w:rPr>
        <w:t>rehabilitation”</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framework</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its</w:t>
      </w:r>
      <w:r w:rsidR="007B7640" w:rsidRPr="00CD59CC">
        <w:rPr>
          <w:rFonts w:ascii="Arial" w:hAnsi="Arial" w:cs="Arial"/>
          <w:bCs/>
          <w:iCs/>
        </w:rPr>
        <w:t xml:space="preserve"> </w:t>
      </w:r>
      <w:r w:rsidRPr="00CD59CC">
        <w:rPr>
          <w:rFonts w:ascii="Arial" w:hAnsi="Arial" w:cs="Arial"/>
          <w:bCs/>
          <w:iCs/>
        </w:rPr>
        <w:t>normal</w:t>
      </w:r>
      <w:r w:rsidR="007B7640" w:rsidRPr="00CD59CC">
        <w:rPr>
          <w:rFonts w:ascii="Arial" w:hAnsi="Arial" w:cs="Arial"/>
          <w:bCs/>
          <w:iCs/>
        </w:rPr>
        <w:t xml:space="preserve"> </w:t>
      </w:r>
      <w:r w:rsidRPr="00CD59CC">
        <w:rPr>
          <w:rFonts w:ascii="Arial" w:hAnsi="Arial" w:cs="Arial"/>
          <w:bCs/>
          <w:iCs/>
        </w:rPr>
        <w:t>activities;</w:t>
      </w:r>
      <w:r w:rsidR="007B7640" w:rsidRPr="00CD59CC">
        <w:rPr>
          <w:rFonts w:ascii="Arial" w:hAnsi="Arial" w:cs="Arial"/>
          <w:bCs/>
          <w:iCs/>
        </w:rPr>
        <w:t xml:space="preserve"> </w:t>
      </w:r>
      <w:r w:rsidRPr="00CD59CC">
        <w:rPr>
          <w:rFonts w:ascii="Arial" w:hAnsi="Arial" w:cs="Arial"/>
          <w:bCs/>
          <w:iCs/>
        </w:rPr>
        <w:t>(iii)</w:t>
      </w:r>
      <w:r w:rsidR="007B7640" w:rsidRPr="00CD59CC">
        <w:rPr>
          <w:rFonts w:ascii="Arial" w:hAnsi="Arial" w:cs="Arial"/>
          <w:bCs/>
          <w:iCs/>
        </w:rPr>
        <w:t xml:space="preserve"> </w:t>
      </w:r>
      <w:r w:rsidRPr="00CD59CC">
        <w:rPr>
          <w:rFonts w:ascii="Arial" w:hAnsi="Arial" w:cs="Arial"/>
          <w:bCs/>
          <w:iCs/>
        </w:rPr>
        <w:t>it</w:t>
      </w:r>
      <w:r w:rsidR="007B7640" w:rsidRPr="00CD59CC">
        <w:rPr>
          <w:rFonts w:ascii="Arial" w:hAnsi="Arial" w:cs="Arial"/>
          <w:bCs/>
          <w:iCs/>
        </w:rPr>
        <w:t xml:space="preserve"> </w:t>
      </w:r>
      <w:r w:rsidRPr="00CD59CC">
        <w:rPr>
          <w:rFonts w:ascii="Arial" w:hAnsi="Arial" w:cs="Arial"/>
          <w:bCs/>
          <w:iCs/>
        </w:rPr>
        <w:t>has</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rehabilitation</w:t>
      </w:r>
      <w:r w:rsidR="007B7640" w:rsidRPr="00CD59CC">
        <w:rPr>
          <w:rFonts w:ascii="Arial" w:hAnsi="Arial" w:cs="Arial"/>
          <w:bCs/>
          <w:iCs/>
        </w:rPr>
        <w:t xml:space="preserve"> </w:t>
      </w:r>
      <w:r w:rsidRPr="00CD59CC">
        <w:rPr>
          <w:rFonts w:ascii="Arial" w:hAnsi="Arial" w:cs="Arial"/>
          <w:bCs/>
          <w:iCs/>
        </w:rPr>
        <w:t>program</w:t>
      </w:r>
      <w:r w:rsidR="007B7640" w:rsidRPr="00CD59CC">
        <w:rPr>
          <w:rFonts w:ascii="Arial" w:hAnsi="Arial" w:cs="Arial"/>
          <w:bCs/>
          <w:iCs/>
        </w:rPr>
        <w:t>me</w:t>
      </w:r>
      <w:r w:rsidRPr="00CD59CC">
        <w:rPr>
          <w:rFonts w:ascii="Arial" w:hAnsi="Arial" w:cs="Arial"/>
          <w:bCs/>
          <w:iCs/>
        </w:rPr>
        <w:t>,</w:t>
      </w:r>
      <w:r w:rsidR="007B7640" w:rsidRPr="00CD59CC">
        <w:rPr>
          <w:rFonts w:ascii="Arial" w:hAnsi="Arial" w:cs="Arial"/>
          <w:bCs/>
          <w:iCs/>
        </w:rPr>
        <w:t xml:space="preserve"> </w:t>
      </w:r>
      <w:r w:rsidRPr="00CD59CC">
        <w:rPr>
          <w:rFonts w:ascii="Arial" w:hAnsi="Arial" w:cs="Arial"/>
          <w:bCs/>
          <w:iCs/>
        </w:rPr>
        <w:t>personal</w:t>
      </w:r>
      <w:r w:rsidR="007B7640" w:rsidRPr="00CD59CC">
        <w:rPr>
          <w:rFonts w:ascii="Arial" w:hAnsi="Arial" w:cs="Arial"/>
          <w:bCs/>
          <w:iCs/>
        </w:rPr>
        <w:t xml:space="preserve"> </w:t>
      </w:r>
      <w:r w:rsidRPr="00CD59CC">
        <w:rPr>
          <w:rFonts w:ascii="Arial" w:hAnsi="Arial" w:cs="Arial"/>
          <w:bCs/>
          <w:iCs/>
        </w:rPr>
        <w:t>rehabilitation</w:t>
      </w:r>
      <w:r w:rsidR="007B7640" w:rsidRPr="00CD59CC">
        <w:rPr>
          <w:rFonts w:ascii="Arial" w:hAnsi="Arial" w:cs="Arial"/>
          <w:bCs/>
          <w:iCs/>
        </w:rPr>
        <w:t xml:space="preserve"> </w:t>
      </w:r>
      <w:r w:rsidRPr="00CD59CC">
        <w:rPr>
          <w:rFonts w:ascii="Arial" w:hAnsi="Arial" w:cs="Arial"/>
          <w:bCs/>
          <w:iCs/>
        </w:rPr>
        <w:t>plans</w:t>
      </w:r>
      <w:r w:rsidR="007B7640" w:rsidRPr="00CD59CC">
        <w:rPr>
          <w:rFonts w:ascii="Arial" w:hAnsi="Arial" w:cs="Arial"/>
          <w:bCs/>
          <w:iCs/>
        </w:rPr>
        <w:t xml:space="preserve"> </w:t>
      </w:r>
      <w:r w:rsidRPr="00CD59CC">
        <w:rPr>
          <w:rFonts w:ascii="Arial" w:hAnsi="Arial" w:cs="Arial"/>
          <w:bCs/>
          <w:iCs/>
        </w:rPr>
        <w:t>for</w:t>
      </w:r>
      <w:r w:rsidR="007B7640" w:rsidRPr="00CD59CC">
        <w:rPr>
          <w:rFonts w:ascii="Arial" w:hAnsi="Arial" w:cs="Arial"/>
          <w:bCs/>
          <w:iCs/>
        </w:rPr>
        <w:t xml:space="preserve"> </w:t>
      </w:r>
      <w:r w:rsidRPr="00CD59CC">
        <w:rPr>
          <w:rFonts w:ascii="Arial" w:hAnsi="Arial" w:cs="Arial"/>
          <w:bCs/>
          <w:iCs/>
        </w:rPr>
        <w:t>each</w:t>
      </w:r>
      <w:r w:rsidR="007B7640" w:rsidRPr="00CD59CC">
        <w:rPr>
          <w:rFonts w:ascii="Arial" w:hAnsi="Arial" w:cs="Arial"/>
          <w:bCs/>
          <w:iCs/>
        </w:rPr>
        <w:t xml:space="preserve"> </w:t>
      </w:r>
      <w:r w:rsidRPr="00CD59CC">
        <w:rPr>
          <w:rFonts w:ascii="Arial" w:hAnsi="Arial" w:cs="Arial"/>
          <w:bCs/>
          <w:iCs/>
        </w:rPr>
        <w:t>worker</w:t>
      </w:r>
      <w:r w:rsidR="007B7640" w:rsidRPr="00CD59CC">
        <w:rPr>
          <w:rFonts w:ascii="Arial" w:hAnsi="Arial" w:cs="Arial"/>
          <w:bCs/>
          <w:iCs/>
        </w:rPr>
        <w:t xml:space="preserve"> </w:t>
      </w:r>
      <w:r w:rsidRPr="00CD59CC">
        <w:rPr>
          <w:rFonts w:ascii="Arial" w:hAnsi="Arial" w:cs="Arial"/>
          <w:bCs/>
          <w:iCs/>
        </w:rPr>
        <w:t>with</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disability;</w:t>
      </w:r>
      <w:r w:rsidR="007B7640" w:rsidRPr="00CD59CC">
        <w:rPr>
          <w:rFonts w:ascii="Arial" w:hAnsi="Arial" w:cs="Arial"/>
          <w:bCs/>
          <w:iCs/>
        </w:rPr>
        <w:t xml:space="preserve"> </w:t>
      </w:r>
      <w:r w:rsidRPr="00CD59CC">
        <w:rPr>
          <w:rFonts w:ascii="Arial" w:hAnsi="Arial" w:cs="Arial"/>
          <w:bCs/>
          <w:iCs/>
        </w:rPr>
        <w:t>(iv)</w:t>
      </w:r>
      <w:r w:rsidR="007B7640" w:rsidRPr="00CD59CC">
        <w:rPr>
          <w:rFonts w:ascii="Arial" w:hAnsi="Arial" w:cs="Arial"/>
          <w:bCs/>
          <w:iCs/>
        </w:rPr>
        <w:t xml:space="preserve"> </w:t>
      </w:r>
      <w:r w:rsidRPr="00CD59CC">
        <w:rPr>
          <w:rFonts w:ascii="Arial" w:hAnsi="Arial" w:cs="Arial"/>
          <w:bCs/>
          <w:iCs/>
        </w:rPr>
        <w:t>it</w:t>
      </w:r>
      <w:r w:rsidR="007B7640" w:rsidRPr="00CD59CC">
        <w:rPr>
          <w:rFonts w:ascii="Arial" w:hAnsi="Arial" w:cs="Arial"/>
          <w:bCs/>
          <w:iCs/>
        </w:rPr>
        <w:t xml:space="preserve"> </w:t>
      </w:r>
      <w:r w:rsidRPr="00CD59CC">
        <w:rPr>
          <w:rFonts w:ascii="Arial" w:hAnsi="Arial" w:cs="Arial"/>
          <w:bCs/>
          <w:iCs/>
        </w:rPr>
        <w:t>employs</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rehabilitation</w:t>
      </w:r>
      <w:r w:rsidR="007B7640" w:rsidRPr="00CD59CC">
        <w:rPr>
          <w:rFonts w:ascii="Arial" w:hAnsi="Arial" w:cs="Arial"/>
          <w:bCs/>
          <w:iCs/>
        </w:rPr>
        <w:t xml:space="preserve"> </w:t>
      </w:r>
      <w:r w:rsidRPr="00CD59CC">
        <w:rPr>
          <w:rFonts w:ascii="Arial" w:hAnsi="Arial" w:cs="Arial"/>
          <w:bCs/>
          <w:iCs/>
        </w:rPr>
        <w:t>advisor</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rehabilitation</w:t>
      </w:r>
      <w:r w:rsidR="007B7640" w:rsidRPr="00CD59CC">
        <w:rPr>
          <w:rFonts w:ascii="Arial" w:hAnsi="Arial" w:cs="Arial"/>
          <w:bCs/>
          <w:iCs/>
        </w:rPr>
        <w:t xml:space="preserve"> </w:t>
      </w:r>
      <w:r w:rsidRPr="00CD59CC">
        <w:rPr>
          <w:rFonts w:ascii="Arial" w:hAnsi="Arial" w:cs="Arial"/>
          <w:bCs/>
          <w:iCs/>
        </w:rPr>
        <w:t>mentor;</w:t>
      </w:r>
      <w:r w:rsidR="007B7640" w:rsidRPr="00CD59CC">
        <w:rPr>
          <w:rFonts w:ascii="Arial" w:hAnsi="Arial" w:cs="Arial"/>
          <w:bCs/>
          <w:iCs/>
        </w:rPr>
        <w:t xml:space="preserve"> </w:t>
      </w:r>
      <w:r w:rsidRPr="00CD59CC">
        <w:rPr>
          <w:rFonts w:ascii="Arial" w:hAnsi="Arial" w:cs="Arial"/>
          <w:bCs/>
          <w:iCs/>
        </w:rPr>
        <w:t>and</w:t>
      </w:r>
      <w:r w:rsidR="007B7640" w:rsidRPr="00CD59CC">
        <w:rPr>
          <w:rFonts w:ascii="Arial" w:hAnsi="Arial" w:cs="Arial"/>
          <w:bCs/>
          <w:iCs/>
        </w:rPr>
        <w:t xml:space="preserve"> </w:t>
      </w:r>
      <w:r w:rsidRPr="00CD59CC">
        <w:rPr>
          <w:rFonts w:ascii="Arial" w:hAnsi="Arial" w:cs="Arial"/>
          <w:bCs/>
          <w:iCs/>
        </w:rPr>
        <w:t>(v)</w:t>
      </w:r>
      <w:r w:rsidR="007B7640" w:rsidRPr="00CD59CC">
        <w:rPr>
          <w:rFonts w:ascii="Arial" w:hAnsi="Arial" w:cs="Arial"/>
          <w:bCs/>
          <w:iCs/>
        </w:rPr>
        <w:t xml:space="preserve"> </w:t>
      </w:r>
      <w:r w:rsidRPr="00CD59CC">
        <w:rPr>
          <w:rFonts w:ascii="Arial" w:hAnsi="Arial" w:cs="Arial"/>
          <w:bCs/>
          <w:iCs/>
        </w:rPr>
        <w:t>employs</w:t>
      </w:r>
      <w:r w:rsidR="007B7640" w:rsidRPr="00CD59CC">
        <w:rPr>
          <w:rFonts w:ascii="Arial" w:hAnsi="Arial" w:cs="Arial"/>
          <w:bCs/>
          <w:iCs/>
        </w:rPr>
        <w:t xml:space="preserve"> </w:t>
      </w:r>
      <w:r w:rsidRPr="00CD59CC">
        <w:rPr>
          <w:rFonts w:ascii="Arial" w:hAnsi="Arial" w:cs="Arial"/>
          <w:bCs/>
          <w:iCs/>
        </w:rPr>
        <w:t>workers</w:t>
      </w:r>
      <w:r w:rsidR="007B7640" w:rsidRPr="00CD59CC">
        <w:rPr>
          <w:rFonts w:ascii="Arial" w:hAnsi="Arial" w:cs="Arial"/>
          <w:bCs/>
          <w:iCs/>
        </w:rPr>
        <w:t xml:space="preserve"> </w:t>
      </w:r>
      <w:r w:rsidRPr="00CD59CC">
        <w:rPr>
          <w:rFonts w:ascii="Arial" w:hAnsi="Arial" w:cs="Arial"/>
          <w:bCs/>
          <w:iCs/>
        </w:rPr>
        <w:t>with</w:t>
      </w:r>
      <w:r w:rsidR="007B7640" w:rsidRPr="00CD59CC">
        <w:rPr>
          <w:rFonts w:ascii="Arial" w:hAnsi="Arial" w:cs="Arial"/>
          <w:bCs/>
          <w:iCs/>
        </w:rPr>
        <w:t xml:space="preserve"> </w:t>
      </w:r>
      <w:r w:rsidRPr="00CD59CC">
        <w:rPr>
          <w:rFonts w:ascii="Arial" w:hAnsi="Arial" w:cs="Arial"/>
          <w:bCs/>
          <w:iCs/>
        </w:rPr>
        <w:t>disabilities</w:t>
      </w:r>
      <w:r w:rsidR="007B7640" w:rsidRPr="00CD59CC">
        <w:rPr>
          <w:rFonts w:ascii="Arial" w:hAnsi="Arial" w:cs="Arial"/>
          <w:bCs/>
          <w:iCs/>
        </w:rPr>
        <w:t xml:space="preserve"> </w:t>
      </w:r>
      <w:r w:rsidRPr="00CD59CC">
        <w:rPr>
          <w:rFonts w:ascii="Arial" w:hAnsi="Arial" w:cs="Arial"/>
          <w:bCs/>
          <w:iCs/>
        </w:rPr>
        <w:t>not</w:t>
      </w:r>
      <w:r w:rsidR="007B7640" w:rsidRPr="00CD59CC">
        <w:rPr>
          <w:rFonts w:ascii="Arial" w:hAnsi="Arial" w:cs="Arial"/>
          <w:bCs/>
          <w:iCs/>
        </w:rPr>
        <w:t xml:space="preserve"> </w:t>
      </w:r>
      <w:r w:rsidRPr="00CD59CC">
        <w:rPr>
          <w:rFonts w:ascii="Arial" w:hAnsi="Arial" w:cs="Arial"/>
          <w:bCs/>
          <w:iCs/>
        </w:rPr>
        <w:t>only</w:t>
      </w:r>
      <w:r w:rsidR="007B7640" w:rsidRPr="00CD59CC">
        <w:rPr>
          <w:rFonts w:ascii="Arial" w:hAnsi="Arial" w:cs="Arial"/>
          <w:bCs/>
          <w:iCs/>
        </w:rPr>
        <w:t xml:space="preserve"> </w:t>
      </w: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unskilled</w:t>
      </w:r>
      <w:r w:rsidR="007B7640" w:rsidRPr="00CD59CC">
        <w:rPr>
          <w:rFonts w:ascii="Arial" w:hAnsi="Arial" w:cs="Arial"/>
          <w:bCs/>
          <w:iCs/>
        </w:rPr>
        <w:t xml:space="preserve"> </w:t>
      </w:r>
      <w:r w:rsidRPr="00CD59CC">
        <w:rPr>
          <w:rFonts w:ascii="Arial" w:hAnsi="Arial" w:cs="Arial"/>
          <w:bCs/>
          <w:iCs/>
        </w:rPr>
        <w:t>workforce,</w:t>
      </w:r>
      <w:r w:rsidR="007B7640" w:rsidRPr="00CD59CC">
        <w:rPr>
          <w:rFonts w:ascii="Arial" w:hAnsi="Arial" w:cs="Arial"/>
          <w:bCs/>
          <w:iCs/>
        </w:rPr>
        <w:t xml:space="preserve"> </w:t>
      </w:r>
      <w:r w:rsidRPr="00CD59CC">
        <w:rPr>
          <w:rFonts w:ascii="Arial" w:hAnsi="Arial" w:cs="Arial"/>
          <w:bCs/>
          <w:iCs/>
        </w:rPr>
        <w:t>but</w:t>
      </w:r>
      <w:r w:rsidR="007B7640" w:rsidRPr="00CD59CC">
        <w:rPr>
          <w:rFonts w:ascii="Arial" w:hAnsi="Arial" w:cs="Arial"/>
          <w:bCs/>
          <w:iCs/>
        </w:rPr>
        <w:t xml:space="preserve"> </w:t>
      </w:r>
      <w:r w:rsidRPr="00CD59CC">
        <w:rPr>
          <w:rFonts w:ascii="Arial" w:hAnsi="Arial" w:cs="Arial"/>
          <w:bCs/>
          <w:iCs/>
        </w:rPr>
        <w:t>for</w:t>
      </w:r>
      <w:r w:rsidR="007B7640" w:rsidRPr="00CD59CC">
        <w:rPr>
          <w:rFonts w:ascii="Arial" w:hAnsi="Arial" w:cs="Arial"/>
          <w:bCs/>
          <w:iCs/>
        </w:rPr>
        <w:t xml:space="preserve"> </w:t>
      </w:r>
      <w:r w:rsidRPr="00CD59CC">
        <w:rPr>
          <w:rFonts w:ascii="Arial" w:hAnsi="Arial" w:cs="Arial"/>
          <w:bCs/>
          <w:iCs/>
        </w:rPr>
        <w:t>skilled</w:t>
      </w:r>
      <w:r w:rsidR="007B7640" w:rsidRPr="00CD59CC">
        <w:rPr>
          <w:rFonts w:ascii="Arial" w:hAnsi="Arial" w:cs="Arial"/>
          <w:bCs/>
          <w:iCs/>
        </w:rPr>
        <w:t xml:space="preserve"> </w:t>
      </w:r>
      <w:r w:rsidRPr="00CD59CC">
        <w:rPr>
          <w:rFonts w:ascii="Arial" w:hAnsi="Arial" w:cs="Arial"/>
          <w:bCs/>
          <w:iCs/>
        </w:rPr>
        <w:t>jobs</w:t>
      </w:r>
      <w:r w:rsidR="007B7640" w:rsidRPr="00CD59CC">
        <w:rPr>
          <w:rFonts w:ascii="Arial" w:hAnsi="Arial" w:cs="Arial"/>
          <w:bCs/>
          <w:iCs/>
        </w:rPr>
        <w:t xml:space="preserve"> </w:t>
      </w:r>
      <w:r w:rsidRPr="00CD59CC">
        <w:rPr>
          <w:rFonts w:ascii="Arial" w:hAnsi="Arial" w:cs="Arial"/>
          <w:bCs/>
          <w:iCs/>
        </w:rPr>
        <w:t>as</w:t>
      </w:r>
      <w:r w:rsidR="007B7640" w:rsidRPr="00CD59CC">
        <w:rPr>
          <w:rFonts w:ascii="Arial" w:hAnsi="Arial" w:cs="Arial"/>
          <w:bCs/>
          <w:iCs/>
        </w:rPr>
        <w:t xml:space="preserve"> </w:t>
      </w:r>
      <w:r w:rsidRPr="00CD59CC">
        <w:rPr>
          <w:rFonts w:ascii="Arial" w:hAnsi="Arial" w:cs="Arial"/>
          <w:bCs/>
          <w:iCs/>
        </w:rPr>
        <w:t>well.</w:t>
      </w:r>
      <w:r w:rsidR="007B7640" w:rsidRPr="00CD59CC">
        <w:rPr>
          <w:rFonts w:ascii="Arial" w:hAnsi="Arial" w:cs="Arial"/>
          <w:bCs/>
          <w:iCs/>
        </w:rPr>
        <w:t xml:space="preserve"> </w:t>
      </w:r>
      <w:r w:rsidRPr="00CD59CC">
        <w:rPr>
          <w:rFonts w:ascii="Arial" w:hAnsi="Arial" w:cs="Arial"/>
          <w:bCs/>
          <w:iCs/>
        </w:rPr>
        <w:t>(“Employment</w:t>
      </w:r>
      <w:r w:rsidR="007B7640" w:rsidRPr="00CD59CC">
        <w:rPr>
          <w:rFonts w:ascii="Arial" w:hAnsi="Arial" w:cs="Arial"/>
          <w:bCs/>
          <w:iCs/>
        </w:rPr>
        <w:t xml:space="preserve"> </w:t>
      </w:r>
      <w:r w:rsidRPr="00CD59CC">
        <w:rPr>
          <w:rFonts w:ascii="Arial" w:hAnsi="Arial" w:cs="Arial"/>
          <w:bCs/>
          <w:iCs/>
        </w:rPr>
        <w:t>aimed</w:t>
      </w:r>
      <w:r w:rsidR="007B7640" w:rsidRPr="00CD59CC">
        <w:rPr>
          <w:rFonts w:ascii="Arial" w:hAnsi="Arial" w:cs="Arial"/>
          <w:bCs/>
          <w:iCs/>
        </w:rPr>
        <w:t xml:space="preserve"> </w:t>
      </w:r>
      <w:r w:rsidRPr="00CD59CC">
        <w:rPr>
          <w:rFonts w:ascii="Arial" w:hAnsi="Arial" w:cs="Arial"/>
          <w:bCs/>
          <w:iCs/>
        </w:rPr>
        <w:t>at</w:t>
      </w:r>
      <w:r w:rsidR="007B7640" w:rsidRPr="00CD59CC">
        <w:rPr>
          <w:rFonts w:ascii="Arial" w:hAnsi="Arial" w:cs="Arial"/>
          <w:bCs/>
          <w:iCs/>
        </w:rPr>
        <w:t xml:space="preserve"> </w:t>
      </w:r>
      <w:r w:rsidRPr="00CD59CC">
        <w:rPr>
          <w:rFonts w:ascii="Arial" w:hAnsi="Arial" w:cs="Arial"/>
          <w:bCs/>
          <w:iCs/>
        </w:rPr>
        <w:t>rehabilitation”</w:t>
      </w:r>
      <w:r w:rsidR="007B7640" w:rsidRPr="00CD59CC">
        <w:rPr>
          <w:rFonts w:ascii="Arial" w:hAnsi="Arial" w:cs="Arial"/>
          <w:bCs/>
          <w:iCs/>
        </w:rPr>
        <w:t xml:space="preserve"> </w:t>
      </w:r>
      <w:r w:rsidRPr="00CD59CC">
        <w:rPr>
          <w:rFonts w:ascii="Arial" w:hAnsi="Arial" w:cs="Arial"/>
          <w:bCs/>
          <w:iCs/>
        </w:rPr>
        <w:t>means</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terminology</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Decree</w:t>
      </w:r>
      <w:r w:rsidR="007B7640" w:rsidRPr="00CD59CC">
        <w:rPr>
          <w:rFonts w:ascii="Arial" w:hAnsi="Arial" w:cs="Arial"/>
          <w:bCs/>
          <w:iCs/>
        </w:rPr>
        <w:t xml:space="preserve"> </w:t>
      </w:r>
      <w:r w:rsidRPr="00CD59CC">
        <w:rPr>
          <w:rFonts w:ascii="Arial" w:hAnsi="Arial" w:cs="Arial"/>
          <w:bCs/>
          <w:iCs/>
        </w:rPr>
        <w:t>either</w:t>
      </w:r>
      <w:r w:rsidR="007B7640" w:rsidRPr="00CD59CC">
        <w:rPr>
          <w:rFonts w:ascii="Arial" w:hAnsi="Arial" w:cs="Arial"/>
          <w:bCs/>
          <w:iCs/>
        </w:rPr>
        <w:t xml:space="preserve"> </w:t>
      </w:r>
      <w:r w:rsidRPr="00CD59CC">
        <w:rPr>
          <w:rFonts w:ascii="Arial" w:hAnsi="Arial" w:cs="Arial"/>
          <w:bCs/>
          <w:iCs/>
        </w:rPr>
        <w:t>sheltered</w:t>
      </w:r>
      <w:r w:rsidR="007B7640" w:rsidRPr="00CD59CC">
        <w:rPr>
          <w:rFonts w:ascii="Arial" w:hAnsi="Arial" w:cs="Arial"/>
          <w:bCs/>
          <w:iCs/>
        </w:rPr>
        <w:t xml:space="preserve"> </w:t>
      </w:r>
      <w:r w:rsidRPr="00CD59CC">
        <w:rPr>
          <w:rFonts w:ascii="Arial" w:hAnsi="Arial" w:cs="Arial"/>
          <w:bCs/>
          <w:iCs/>
        </w:rPr>
        <w:t>work</w:t>
      </w:r>
      <w:r w:rsidR="007B7640" w:rsidRPr="00CD59CC">
        <w:rPr>
          <w:rFonts w:ascii="Arial" w:hAnsi="Arial" w:cs="Arial"/>
          <w:bCs/>
          <w:iCs/>
        </w:rPr>
        <w:t xml:space="preserve"> </w:t>
      </w:r>
      <w:r w:rsidRPr="00CD59CC">
        <w:rPr>
          <w:rFonts w:ascii="Arial" w:hAnsi="Arial" w:cs="Arial"/>
          <w:bCs/>
          <w:iCs/>
        </w:rPr>
        <w:t>activities</w:t>
      </w:r>
      <w:r w:rsidR="007B7640" w:rsidRPr="00CD59CC">
        <w:rPr>
          <w:rFonts w:ascii="Arial" w:hAnsi="Arial" w:cs="Arial"/>
          <w:bCs/>
          <w:iCs/>
        </w:rPr>
        <w:t xml:space="preserve"> </w:t>
      </w:r>
      <w:r w:rsidRPr="00CD59CC">
        <w:rPr>
          <w:rFonts w:ascii="Arial" w:hAnsi="Arial" w:cs="Arial"/>
          <w:bCs/>
          <w:iCs/>
        </w:rPr>
        <w:t>or</w:t>
      </w:r>
      <w:r w:rsidR="007B7640" w:rsidRPr="00CD59CC">
        <w:rPr>
          <w:rFonts w:ascii="Arial" w:hAnsi="Arial" w:cs="Arial"/>
          <w:bCs/>
          <w:iCs/>
        </w:rPr>
        <w:t xml:space="preserve"> </w:t>
      </w:r>
      <w:r w:rsidRPr="00CD59CC">
        <w:rPr>
          <w:rFonts w:ascii="Arial" w:hAnsi="Arial" w:cs="Arial"/>
          <w:bCs/>
          <w:iCs/>
        </w:rPr>
        <w:t>activities</w:t>
      </w:r>
      <w:r w:rsidR="007B7640" w:rsidRPr="00CD59CC">
        <w:rPr>
          <w:rFonts w:ascii="Arial" w:hAnsi="Arial" w:cs="Arial"/>
          <w:bCs/>
          <w:iCs/>
        </w:rPr>
        <w:t xml:space="preserve"> </w:t>
      </w:r>
      <w:r w:rsidRPr="00CD59CC">
        <w:rPr>
          <w:rFonts w:ascii="Arial" w:hAnsi="Arial" w:cs="Arial"/>
          <w:bCs/>
          <w:iCs/>
        </w:rPr>
        <w:t>aimed</w:t>
      </w:r>
      <w:r w:rsidR="007B7640" w:rsidRPr="00CD59CC">
        <w:rPr>
          <w:rFonts w:ascii="Arial" w:hAnsi="Arial" w:cs="Arial"/>
          <w:bCs/>
          <w:iCs/>
        </w:rPr>
        <w:t xml:space="preserve"> </w:t>
      </w:r>
      <w:r w:rsidRPr="00CD59CC">
        <w:rPr>
          <w:rFonts w:ascii="Arial" w:hAnsi="Arial" w:cs="Arial"/>
          <w:bCs/>
          <w:iCs/>
        </w:rPr>
        <w:t>at</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preparation</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worker</w:t>
      </w:r>
      <w:r w:rsidR="007B7640" w:rsidRPr="00CD59CC">
        <w:rPr>
          <w:rFonts w:ascii="Arial" w:hAnsi="Arial" w:cs="Arial"/>
          <w:bCs/>
          <w:iCs/>
        </w:rPr>
        <w:t xml:space="preserve"> </w:t>
      </w:r>
      <w:r w:rsidRPr="00CD59CC">
        <w:rPr>
          <w:rFonts w:ascii="Arial" w:hAnsi="Arial" w:cs="Arial"/>
          <w:bCs/>
          <w:iCs/>
        </w:rPr>
        <w:t>with</w:t>
      </w:r>
      <w:r w:rsidR="007B7640" w:rsidRPr="00CD59CC">
        <w:rPr>
          <w:rFonts w:ascii="Arial" w:hAnsi="Arial" w:cs="Arial"/>
          <w:bCs/>
          <w:iCs/>
        </w:rPr>
        <w:t xml:space="preserve"> </w:t>
      </w:r>
      <w:r w:rsidRPr="00CD59CC">
        <w:rPr>
          <w:rFonts w:ascii="Arial" w:hAnsi="Arial" w:cs="Arial"/>
          <w:bCs/>
          <w:iCs/>
        </w:rPr>
        <w:t>disability</w:t>
      </w:r>
      <w:r w:rsidR="007B7640" w:rsidRPr="00CD59CC">
        <w:rPr>
          <w:rFonts w:ascii="Arial" w:hAnsi="Arial" w:cs="Arial"/>
          <w:bCs/>
          <w:iCs/>
        </w:rPr>
        <w:t xml:space="preserve"> </w:t>
      </w:r>
      <w:r w:rsidRPr="00CD59CC">
        <w:rPr>
          <w:rFonts w:ascii="Arial" w:hAnsi="Arial" w:cs="Arial"/>
          <w:bCs/>
          <w:iCs/>
        </w:rPr>
        <w:t>for</w:t>
      </w:r>
      <w:r w:rsidR="007B7640" w:rsidRPr="00CD59CC">
        <w:rPr>
          <w:rFonts w:ascii="Arial" w:hAnsi="Arial" w:cs="Arial"/>
          <w:bCs/>
          <w:iCs/>
        </w:rPr>
        <w:t xml:space="preserve"> </w:t>
      </w:r>
      <w:r w:rsidRPr="00CD59CC">
        <w:rPr>
          <w:rFonts w:ascii="Arial" w:hAnsi="Arial" w:cs="Arial"/>
          <w:bCs/>
          <w:iCs/>
        </w:rPr>
        <w:t>employment</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open</w:t>
      </w:r>
      <w:r w:rsidR="007B7640" w:rsidRPr="00CD59CC">
        <w:rPr>
          <w:rFonts w:ascii="Arial" w:hAnsi="Arial" w:cs="Arial"/>
          <w:bCs/>
          <w:iCs/>
        </w:rPr>
        <w:t xml:space="preserve"> </w:t>
      </w:r>
      <w:r w:rsidRPr="00CD59CC">
        <w:rPr>
          <w:rFonts w:ascii="Arial" w:hAnsi="Arial" w:cs="Arial"/>
          <w:bCs/>
          <w:iCs/>
        </w:rPr>
        <w:t>labour</w:t>
      </w:r>
      <w:r w:rsidR="007B7640" w:rsidRPr="00CD59CC">
        <w:rPr>
          <w:rFonts w:ascii="Arial" w:hAnsi="Arial" w:cs="Arial"/>
          <w:bCs/>
          <w:iCs/>
        </w:rPr>
        <w:t xml:space="preserve"> </w:t>
      </w:r>
      <w:r w:rsidRPr="00CD59CC">
        <w:rPr>
          <w:rFonts w:ascii="Arial" w:hAnsi="Arial" w:cs="Arial"/>
          <w:bCs/>
          <w:iCs/>
        </w:rPr>
        <w:t>market.)</w:t>
      </w:r>
      <w:r w:rsidR="007B7640" w:rsidRPr="00CD59CC">
        <w:rPr>
          <w:rFonts w:ascii="Arial" w:hAnsi="Arial" w:cs="Arial"/>
          <w:bCs/>
          <w:iCs/>
        </w:rPr>
        <w:t xml:space="preserve"> </w:t>
      </w:r>
    </w:p>
    <w:p w14:paraId="3D772426" w14:textId="77777777" w:rsidR="00533706" w:rsidRPr="00CD59CC" w:rsidRDefault="00533706" w:rsidP="00CD59CC">
      <w:pPr>
        <w:rPr>
          <w:rFonts w:ascii="Arial" w:hAnsi="Arial" w:cs="Arial"/>
          <w:bCs/>
          <w:iCs/>
        </w:rPr>
      </w:pPr>
    </w:p>
    <w:p w14:paraId="1EB29F1F" w14:textId="77777777" w:rsidR="00533706" w:rsidRPr="00CD59CC" w:rsidRDefault="00533706" w:rsidP="00CD59CC">
      <w:pPr>
        <w:rPr>
          <w:rFonts w:ascii="Arial" w:hAnsi="Arial" w:cs="Arial"/>
          <w:bCs/>
          <w:iCs/>
        </w:rPr>
      </w:pPr>
      <w:r w:rsidRPr="00CD59CC">
        <w:rPr>
          <w:rFonts w:ascii="Arial" w:hAnsi="Arial" w:cs="Arial"/>
          <w:bCs/>
          <w:iCs/>
        </w:rPr>
        <w:t>These</w:t>
      </w:r>
      <w:r w:rsidR="007B7640" w:rsidRPr="00CD59CC">
        <w:rPr>
          <w:rFonts w:ascii="Arial" w:hAnsi="Arial" w:cs="Arial"/>
          <w:bCs/>
          <w:iCs/>
        </w:rPr>
        <w:t xml:space="preserve"> </w:t>
      </w:r>
      <w:r w:rsidRPr="00CD59CC">
        <w:rPr>
          <w:rFonts w:ascii="Arial" w:hAnsi="Arial" w:cs="Arial"/>
          <w:bCs/>
          <w:iCs/>
        </w:rPr>
        <w:t>employers</w:t>
      </w:r>
      <w:r w:rsidR="007B7640" w:rsidRPr="00CD59CC">
        <w:rPr>
          <w:rFonts w:ascii="Arial" w:hAnsi="Arial" w:cs="Arial"/>
          <w:bCs/>
          <w:iCs/>
        </w:rPr>
        <w:t xml:space="preserve"> </w:t>
      </w:r>
      <w:r w:rsidRPr="00CD59CC">
        <w:rPr>
          <w:rFonts w:ascii="Arial" w:hAnsi="Arial" w:cs="Arial"/>
          <w:bCs/>
          <w:iCs/>
        </w:rPr>
        <w:t>may</w:t>
      </w:r>
      <w:r w:rsidR="007B7640" w:rsidRPr="00CD59CC">
        <w:rPr>
          <w:rFonts w:ascii="Arial" w:hAnsi="Arial" w:cs="Arial"/>
          <w:bCs/>
          <w:iCs/>
        </w:rPr>
        <w:t xml:space="preserve"> </w:t>
      </w:r>
      <w:r w:rsidRPr="00CD59CC">
        <w:rPr>
          <w:rFonts w:ascii="Arial" w:hAnsi="Arial" w:cs="Arial"/>
          <w:bCs/>
          <w:iCs/>
        </w:rPr>
        <w:t>receive</w:t>
      </w:r>
      <w:r w:rsidR="007B7640" w:rsidRPr="00CD59CC">
        <w:rPr>
          <w:rFonts w:ascii="Arial" w:hAnsi="Arial" w:cs="Arial"/>
          <w:bCs/>
          <w:iCs/>
        </w:rPr>
        <w:t xml:space="preserve"> </w:t>
      </w:r>
      <w:r w:rsidRPr="00CD59CC">
        <w:rPr>
          <w:rFonts w:ascii="Arial" w:hAnsi="Arial" w:cs="Arial"/>
          <w:bCs/>
          <w:iCs/>
        </w:rPr>
        <w:t>significant</w:t>
      </w:r>
      <w:r w:rsidR="007B7640" w:rsidRPr="00CD59CC">
        <w:rPr>
          <w:rFonts w:ascii="Arial" w:hAnsi="Arial" w:cs="Arial"/>
          <w:bCs/>
          <w:iCs/>
        </w:rPr>
        <w:t xml:space="preserve"> </w:t>
      </w:r>
      <w:r w:rsidRPr="00CD59CC">
        <w:rPr>
          <w:rFonts w:ascii="Arial" w:hAnsi="Arial" w:cs="Arial"/>
          <w:bCs/>
          <w:iCs/>
        </w:rPr>
        <w:t>support</w:t>
      </w:r>
      <w:r w:rsidR="007B7640" w:rsidRPr="00CD59CC">
        <w:rPr>
          <w:rFonts w:ascii="Arial" w:hAnsi="Arial" w:cs="Arial"/>
          <w:bCs/>
          <w:iCs/>
        </w:rPr>
        <w:t xml:space="preserve"> </w:t>
      </w:r>
      <w:r w:rsidRPr="00CD59CC">
        <w:rPr>
          <w:rFonts w:ascii="Arial" w:hAnsi="Arial" w:cs="Arial"/>
          <w:bCs/>
          <w:iCs/>
        </w:rPr>
        <w:t>from</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state</w:t>
      </w:r>
      <w:r w:rsidR="007B7640" w:rsidRPr="00CD59CC">
        <w:rPr>
          <w:rFonts w:ascii="Arial" w:hAnsi="Arial" w:cs="Arial"/>
          <w:bCs/>
          <w:iCs/>
        </w:rPr>
        <w:t xml:space="preserve"> </w:t>
      </w:r>
      <w:r w:rsidRPr="00CD59CC">
        <w:rPr>
          <w:rFonts w:ascii="Arial" w:hAnsi="Arial" w:cs="Arial"/>
          <w:bCs/>
          <w:iCs/>
        </w:rPr>
        <w:t>budget</w:t>
      </w:r>
      <w:r w:rsidR="007B7640" w:rsidRPr="00CD59CC">
        <w:rPr>
          <w:rFonts w:ascii="Arial" w:hAnsi="Arial" w:cs="Arial"/>
          <w:bCs/>
          <w:iCs/>
        </w:rPr>
        <w:t xml:space="preserve"> </w:t>
      </w:r>
      <w:r w:rsidRPr="00CD59CC">
        <w:rPr>
          <w:rFonts w:ascii="Arial" w:hAnsi="Arial" w:cs="Arial"/>
          <w:bCs/>
          <w:iCs/>
        </w:rPr>
        <w:t>on</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basis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disabled</w:t>
      </w:r>
      <w:r w:rsidR="007B7640" w:rsidRPr="00CD59CC">
        <w:rPr>
          <w:rFonts w:ascii="Arial" w:hAnsi="Arial" w:cs="Arial"/>
          <w:bCs/>
          <w:iCs/>
        </w:rPr>
        <w:t xml:space="preserve"> </w:t>
      </w:r>
      <w:r w:rsidRPr="00CD59CC">
        <w:rPr>
          <w:rFonts w:ascii="Arial" w:hAnsi="Arial" w:cs="Arial"/>
          <w:bCs/>
          <w:iCs/>
        </w:rPr>
        <w:t>workers</w:t>
      </w:r>
      <w:r w:rsidR="007B7640" w:rsidRPr="00CD59CC">
        <w:rPr>
          <w:rFonts w:ascii="Arial" w:hAnsi="Arial" w:cs="Arial"/>
          <w:bCs/>
          <w:iCs/>
        </w:rPr>
        <w:t xml:space="preserve"> </w:t>
      </w:r>
      <w:r w:rsidRPr="00CD59CC">
        <w:rPr>
          <w:rFonts w:ascii="Arial" w:hAnsi="Arial" w:cs="Arial"/>
          <w:bCs/>
          <w:iCs/>
        </w:rPr>
        <w:t>they</w:t>
      </w:r>
      <w:r w:rsidR="007B7640" w:rsidRPr="00CD59CC">
        <w:rPr>
          <w:rFonts w:ascii="Arial" w:hAnsi="Arial" w:cs="Arial"/>
          <w:bCs/>
          <w:iCs/>
        </w:rPr>
        <w:t xml:space="preserve"> </w:t>
      </w:r>
      <w:r w:rsidRPr="00CD59CC">
        <w:rPr>
          <w:rFonts w:ascii="Arial" w:hAnsi="Arial" w:cs="Arial"/>
          <w:bCs/>
          <w:iCs/>
        </w:rPr>
        <w:t>employ</w:t>
      </w:r>
      <w:r w:rsidR="007B7640" w:rsidRPr="00CD59CC">
        <w:rPr>
          <w:rFonts w:ascii="Arial" w:hAnsi="Arial" w:cs="Arial"/>
          <w:bCs/>
          <w:iCs/>
        </w:rPr>
        <w:t xml:space="preserve"> </w:t>
      </w:r>
      <w:r w:rsidRPr="00CD59CC">
        <w:rPr>
          <w:rFonts w:ascii="Arial" w:hAnsi="Arial" w:cs="Arial"/>
          <w:bCs/>
          <w:iCs/>
        </w:rPr>
        <w:t>(e.g.</w:t>
      </w:r>
      <w:r w:rsidR="007B7640" w:rsidRPr="00CD59CC">
        <w:rPr>
          <w:rFonts w:ascii="Arial" w:hAnsi="Arial" w:cs="Arial"/>
          <w:bCs/>
          <w:iCs/>
        </w:rPr>
        <w:t xml:space="preserve"> </w:t>
      </w:r>
      <w:r w:rsidRPr="00CD59CC">
        <w:rPr>
          <w:rFonts w:ascii="Arial" w:hAnsi="Arial" w:cs="Arial"/>
          <w:bCs/>
          <w:iCs/>
        </w:rPr>
        <w:t>state</w:t>
      </w:r>
      <w:r w:rsidR="007B7640" w:rsidRPr="00CD59CC">
        <w:rPr>
          <w:rFonts w:ascii="Arial" w:hAnsi="Arial" w:cs="Arial"/>
          <w:bCs/>
          <w:iCs/>
        </w:rPr>
        <w:t xml:space="preserve"> </w:t>
      </w:r>
      <w:r w:rsidRPr="00CD59CC">
        <w:rPr>
          <w:rFonts w:ascii="Arial" w:hAnsi="Arial" w:cs="Arial"/>
          <w:bCs/>
          <w:iCs/>
        </w:rPr>
        <w:t>support</w:t>
      </w:r>
      <w:r w:rsidR="007B7640" w:rsidRPr="00CD59CC">
        <w:rPr>
          <w:rFonts w:ascii="Arial" w:hAnsi="Arial" w:cs="Arial"/>
          <w:bCs/>
          <w:iCs/>
        </w:rPr>
        <w:t xml:space="preserve"> </w:t>
      </w:r>
      <w:r w:rsidRPr="00CD59CC">
        <w:rPr>
          <w:rFonts w:ascii="Arial" w:hAnsi="Arial" w:cs="Arial"/>
          <w:bCs/>
          <w:iCs/>
        </w:rPr>
        <w:t>amounting</w:t>
      </w:r>
      <w:r w:rsidR="007B7640" w:rsidRPr="00CD59CC">
        <w:rPr>
          <w:rFonts w:ascii="Arial" w:hAnsi="Arial" w:cs="Arial"/>
          <w:bCs/>
          <w:iCs/>
        </w:rPr>
        <w:t xml:space="preserve"> </w:t>
      </w:r>
      <w:r w:rsidRPr="00CD59CC">
        <w:rPr>
          <w:rFonts w:ascii="Arial" w:hAnsi="Arial" w:cs="Arial"/>
          <w:bCs/>
          <w:iCs/>
        </w:rPr>
        <w:t>to</w:t>
      </w:r>
      <w:r w:rsidR="007B7640" w:rsidRPr="00CD59CC">
        <w:rPr>
          <w:rFonts w:ascii="Arial" w:hAnsi="Arial" w:cs="Arial"/>
          <w:bCs/>
          <w:iCs/>
        </w:rPr>
        <w:t xml:space="preserve"> </w:t>
      </w:r>
      <w:r w:rsidRPr="00CD59CC">
        <w:rPr>
          <w:rFonts w:ascii="Arial" w:hAnsi="Arial" w:cs="Arial"/>
          <w:bCs/>
          <w:iCs/>
        </w:rPr>
        <w:t>a</w:t>
      </w:r>
      <w:r w:rsidR="007B7640" w:rsidRPr="00CD59CC">
        <w:rPr>
          <w:rFonts w:ascii="Arial" w:hAnsi="Arial" w:cs="Arial"/>
          <w:bCs/>
          <w:iCs/>
        </w:rPr>
        <w:t xml:space="preserve"> </w:t>
      </w:r>
      <w:r w:rsidRPr="00CD59CC">
        <w:rPr>
          <w:rFonts w:ascii="Arial" w:hAnsi="Arial" w:cs="Arial"/>
          <w:bCs/>
          <w:iCs/>
        </w:rPr>
        <w:t>maximum</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75%</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wage</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worker</w:t>
      </w:r>
      <w:r w:rsidR="007B7640" w:rsidRPr="00CD59CC">
        <w:rPr>
          <w:rFonts w:ascii="Arial" w:hAnsi="Arial" w:cs="Arial"/>
          <w:bCs/>
          <w:iCs/>
        </w:rPr>
        <w:t xml:space="preserve"> </w:t>
      </w:r>
      <w:r w:rsidRPr="00CD59CC">
        <w:rPr>
          <w:rFonts w:ascii="Arial" w:hAnsi="Arial" w:cs="Arial"/>
          <w:bCs/>
          <w:iCs/>
        </w:rPr>
        <w:t>with</w:t>
      </w:r>
      <w:r w:rsidR="007B7640" w:rsidRPr="00CD59CC">
        <w:rPr>
          <w:rFonts w:ascii="Arial" w:hAnsi="Arial" w:cs="Arial"/>
          <w:bCs/>
          <w:iCs/>
        </w:rPr>
        <w:t xml:space="preserve"> </w:t>
      </w:r>
      <w:r w:rsidRPr="00CD59CC">
        <w:rPr>
          <w:rFonts w:ascii="Arial" w:hAnsi="Arial" w:cs="Arial"/>
          <w:bCs/>
          <w:iCs/>
        </w:rPr>
        <w:t>disability).</w:t>
      </w:r>
      <w:r w:rsidR="007B7640" w:rsidRPr="00CD59CC">
        <w:rPr>
          <w:rFonts w:ascii="Arial" w:hAnsi="Arial" w:cs="Arial"/>
          <w:bCs/>
          <w:iCs/>
        </w:rPr>
        <w:t xml:space="preserve"> </w:t>
      </w:r>
      <w:r w:rsidRPr="00CD59CC">
        <w:rPr>
          <w:rFonts w:ascii="Arial" w:hAnsi="Arial" w:cs="Arial"/>
          <w:bCs/>
          <w:iCs/>
        </w:rPr>
        <w:t>These</w:t>
      </w:r>
      <w:r w:rsidR="007B7640" w:rsidRPr="00CD59CC">
        <w:rPr>
          <w:rFonts w:ascii="Arial" w:hAnsi="Arial" w:cs="Arial"/>
          <w:bCs/>
          <w:iCs/>
        </w:rPr>
        <w:t xml:space="preserve"> </w:t>
      </w:r>
      <w:r w:rsidRPr="00CD59CC">
        <w:rPr>
          <w:rFonts w:ascii="Arial" w:hAnsi="Arial" w:cs="Arial"/>
          <w:bCs/>
          <w:iCs/>
        </w:rPr>
        <w:t>forms</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support</w:t>
      </w:r>
      <w:r w:rsidR="007B7640" w:rsidRPr="00CD59CC">
        <w:rPr>
          <w:rFonts w:ascii="Arial" w:hAnsi="Arial" w:cs="Arial"/>
          <w:bCs/>
          <w:iCs/>
        </w:rPr>
        <w:t xml:space="preserve"> </w:t>
      </w:r>
      <w:r w:rsidRPr="00CD59CC">
        <w:rPr>
          <w:rFonts w:ascii="Arial" w:hAnsi="Arial" w:cs="Arial"/>
          <w:bCs/>
          <w:iCs/>
        </w:rPr>
        <w:t>are</w:t>
      </w:r>
      <w:r w:rsidR="007B7640" w:rsidRPr="00CD59CC">
        <w:rPr>
          <w:rFonts w:ascii="Arial" w:hAnsi="Arial" w:cs="Arial"/>
          <w:bCs/>
          <w:iCs/>
        </w:rPr>
        <w:t xml:space="preserve"> </w:t>
      </w:r>
      <w:r w:rsidRPr="00CD59CC">
        <w:rPr>
          <w:rFonts w:ascii="Arial" w:hAnsi="Arial" w:cs="Arial"/>
          <w:bCs/>
          <w:iCs/>
        </w:rPr>
        <w:t>listed</w:t>
      </w:r>
      <w:r w:rsidR="007B7640" w:rsidRPr="00CD59CC">
        <w:rPr>
          <w:rFonts w:ascii="Arial" w:hAnsi="Arial" w:cs="Arial"/>
          <w:bCs/>
          <w:iCs/>
        </w:rPr>
        <w:t xml:space="preserve"> </w:t>
      </w:r>
      <w:r w:rsidRPr="00CD59CC">
        <w:rPr>
          <w:rFonts w:ascii="Arial" w:hAnsi="Arial" w:cs="Arial"/>
          <w:bCs/>
          <w:iCs/>
        </w:rPr>
        <w:t>in</w:t>
      </w:r>
      <w:r w:rsidR="007B7640" w:rsidRPr="00CD59CC">
        <w:rPr>
          <w:rFonts w:ascii="Arial" w:hAnsi="Arial" w:cs="Arial"/>
          <w:bCs/>
          <w:iCs/>
        </w:rPr>
        <w:t xml:space="preserve"> </w:t>
      </w:r>
      <w:r w:rsidRPr="00CD59CC">
        <w:rPr>
          <w:rFonts w:ascii="Arial" w:hAnsi="Arial" w:cs="Arial"/>
          <w:bCs/>
          <w:iCs/>
        </w:rPr>
        <w:t>Articles</w:t>
      </w:r>
      <w:r w:rsidR="007B7640" w:rsidRPr="00CD59CC">
        <w:rPr>
          <w:rFonts w:ascii="Arial" w:hAnsi="Arial" w:cs="Arial"/>
          <w:bCs/>
          <w:iCs/>
        </w:rPr>
        <w:t xml:space="preserve"> </w:t>
      </w:r>
      <w:r w:rsidRPr="00CD59CC">
        <w:rPr>
          <w:rFonts w:ascii="Arial" w:hAnsi="Arial" w:cs="Arial"/>
          <w:bCs/>
          <w:iCs/>
        </w:rPr>
        <w:t>17-25</w:t>
      </w:r>
      <w:r w:rsidR="007B7640" w:rsidRPr="00CD59CC">
        <w:rPr>
          <w:rFonts w:ascii="Arial" w:hAnsi="Arial" w:cs="Arial"/>
          <w:bCs/>
          <w:iCs/>
        </w:rPr>
        <w:t xml:space="preserve"> </w:t>
      </w:r>
      <w:r w:rsidRPr="00CD59CC">
        <w:rPr>
          <w:rFonts w:ascii="Arial" w:hAnsi="Arial" w:cs="Arial"/>
          <w:bCs/>
          <w:iCs/>
        </w:rPr>
        <w:t>of</w:t>
      </w:r>
      <w:r w:rsidR="007B7640" w:rsidRPr="00CD59CC">
        <w:rPr>
          <w:rFonts w:ascii="Arial" w:hAnsi="Arial" w:cs="Arial"/>
          <w:bCs/>
          <w:iCs/>
        </w:rPr>
        <w:t xml:space="preserve"> </w:t>
      </w:r>
      <w:r w:rsidRPr="00CD59CC">
        <w:rPr>
          <w:rFonts w:ascii="Arial" w:hAnsi="Arial" w:cs="Arial"/>
          <w:bCs/>
          <w:iCs/>
        </w:rPr>
        <w:t>the</w:t>
      </w:r>
      <w:r w:rsidR="007B7640" w:rsidRPr="00CD59CC">
        <w:rPr>
          <w:rFonts w:ascii="Arial" w:hAnsi="Arial" w:cs="Arial"/>
          <w:bCs/>
          <w:iCs/>
        </w:rPr>
        <w:t xml:space="preserve"> </w:t>
      </w:r>
      <w:r w:rsidRPr="00CD59CC">
        <w:rPr>
          <w:rFonts w:ascii="Arial" w:hAnsi="Arial" w:cs="Arial"/>
          <w:bCs/>
          <w:iCs/>
        </w:rPr>
        <w:t>Accreditation</w:t>
      </w:r>
      <w:r w:rsidR="007B7640" w:rsidRPr="00CD59CC">
        <w:rPr>
          <w:rFonts w:ascii="Arial" w:hAnsi="Arial" w:cs="Arial"/>
          <w:bCs/>
          <w:iCs/>
        </w:rPr>
        <w:t xml:space="preserve"> </w:t>
      </w:r>
      <w:r w:rsidRPr="00CD59CC">
        <w:rPr>
          <w:rFonts w:ascii="Arial" w:hAnsi="Arial" w:cs="Arial"/>
          <w:bCs/>
          <w:iCs/>
        </w:rPr>
        <w:t>Decree.</w:t>
      </w:r>
    </w:p>
    <w:p w14:paraId="458F2F85" w14:textId="77777777" w:rsidR="00533706" w:rsidRPr="00BB4E9F" w:rsidRDefault="00533706" w:rsidP="00CD59CC">
      <w:pPr>
        <w:tabs>
          <w:tab w:val="num" w:pos="567"/>
        </w:tabs>
        <w:ind w:left="567" w:hanging="567"/>
        <w:rPr>
          <w:rFonts w:ascii="Arial" w:hAnsi="Arial"/>
          <w:lang w:val="en-US"/>
        </w:rPr>
      </w:pPr>
    </w:p>
    <w:p w14:paraId="211ED131" w14:textId="77777777" w:rsidR="002B5BCD" w:rsidRPr="00BB4E9F" w:rsidRDefault="002B5BCD" w:rsidP="00CD59CC">
      <w:pPr>
        <w:numPr>
          <w:ilvl w:val="0"/>
          <w:numId w:val="10"/>
        </w:numPr>
        <w:ind w:left="567" w:hanging="567"/>
        <w:rPr>
          <w:rFonts w:ascii="Arial" w:hAnsi="Arial"/>
          <w:i/>
          <w:lang w:val="en-US"/>
        </w:rPr>
      </w:pPr>
      <w:r w:rsidRPr="00BB4E9F">
        <w:rPr>
          <w:rFonts w:ascii="Arial" w:hAnsi="Arial"/>
          <w:i/>
          <w:lang w:val="en-US"/>
        </w:rPr>
        <w:t>Would</w:t>
      </w:r>
      <w:r w:rsidR="007B7640" w:rsidRPr="00BB4E9F">
        <w:rPr>
          <w:rFonts w:ascii="Arial" w:hAnsi="Arial"/>
          <w:i/>
          <w:lang w:val="en-US"/>
        </w:rPr>
        <w:t xml:space="preserve"> </w:t>
      </w:r>
      <w:r w:rsidRPr="00BB4E9F">
        <w:rPr>
          <w:rFonts w:ascii="Arial" w:hAnsi="Arial"/>
          <w:i/>
          <w:lang w:val="en-US"/>
        </w:rPr>
        <w:t>such</w:t>
      </w:r>
      <w:r w:rsidR="007B7640" w:rsidRPr="00BB4E9F">
        <w:rPr>
          <w:rFonts w:ascii="Arial" w:hAnsi="Arial"/>
          <w:i/>
          <w:lang w:val="en-US"/>
        </w:rPr>
        <w:t xml:space="preserve"> </w:t>
      </w:r>
      <w:r w:rsidRPr="00BB4E9F">
        <w:rPr>
          <w:rFonts w:ascii="Arial" w:hAnsi="Arial"/>
          <w:i/>
          <w:lang w:val="en-US"/>
        </w:rPr>
        <w:t>activities</w:t>
      </w:r>
      <w:r w:rsidR="007B7640" w:rsidRPr="00BB4E9F">
        <w:rPr>
          <w:rFonts w:ascii="Arial" w:hAnsi="Arial"/>
          <w:i/>
          <w:lang w:val="en-US"/>
        </w:rPr>
        <w:t xml:space="preserve"> </w:t>
      </w:r>
      <w:r w:rsidRPr="00BB4E9F">
        <w:rPr>
          <w:rFonts w:ascii="Arial" w:hAnsi="Arial"/>
          <w:i/>
          <w:lang w:val="en-US"/>
        </w:rPr>
        <w:t>be</w:t>
      </w:r>
      <w:r w:rsidR="007B7640" w:rsidRPr="00BB4E9F">
        <w:rPr>
          <w:rFonts w:ascii="Arial" w:hAnsi="Arial"/>
          <w:i/>
          <w:lang w:val="en-US"/>
        </w:rPr>
        <w:t xml:space="preserve"> </w:t>
      </w:r>
      <w:r w:rsidRPr="00BB4E9F">
        <w:rPr>
          <w:rFonts w:ascii="Arial" w:hAnsi="Arial"/>
          <w:i/>
          <w:lang w:val="en-US"/>
        </w:rPr>
        <w:t>considered</w:t>
      </w:r>
      <w:r w:rsidR="007B7640" w:rsidRPr="00BB4E9F">
        <w:rPr>
          <w:rFonts w:ascii="Arial" w:hAnsi="Arial"/>
          <w:i/>
          <w:lang w:val="en-US"/>
        </w:rPr>
        <w:t xml:space="preserve"> </w:t>
      </w:r>
      <w:r w:rsidRPr="00BB4E9F">
        <w:rPr>
          <w:rFonts w:ascii="Arial" w:hAnsi="Arial"/>
          <w:i/>
          <w:lang w:val="en-US"/>
        </w:rPr>
        <w:t>to</w:t>
      </w:r>
      <w:r w:rsidR="007B7640" w:rsidRPr="00BB4E9F">
        <w:rPr>
          <w:rFonts w:ascii="Arial" w:hAnsi="Arial"/>
          <w:i/>
          <w:lang w:val="en-US"/>
        </w:rPr>
        <w:t xml:space="preserve"> </w:t>
      </w:r>
      <w:r w:rsidRPr="00BB4E9F">
        <w:rPr>
          <w:rFonts w:ascii="Arial" w:hAnsi="Arial"/>
          <w:i/>
          <w:lang w:val="en-US"/>
        </w:rPr>
        <w:t>constitute</w:t>
      </w:r>
      <w:r w:rsidR="007B7640" w:rsidRPr="00BB4E9F">
        <w:rPr>
          <w:rFonts w:ascii="Arial" w:hAnsi="Arial"/>
          <w:i/>
          <w:lang w:val="en-US"/>
        </w:rPr>
        <w:t xml:space="preserve"> </w:t>
      </w:r>
      <w:r w:rsidRPr="00BB4E9F">
        <w:rPr>
          <w:rFonts w:ascii="Arial" w:hAnsi="Arial"/>
          <w:i/>
          <w:lang w:val="en-US"/>
        </w:rPr>
        <w:t>employment</w:t>
      </w:r>
      <w:r w:rsidR="007B7640" w:rsidRPr="00BB4E9F">
        <w:rPr>
          <w:rFonts w:ascii="Arial" w:hAnsi="Arial"/>
          <w:i/>
          <w:lang w:val="en-US"/>
        </w:rPr>
        <w:t xml:space="preserve"> </w:t>
      </w:r>
      <w:r w:rsidRPr="00BB4E9F">
        <w:rPr>
          <w:rFonts w:ascii="Arial" w:hAnsi="Arial"/>
          <w:i/>
          <w:lang w:val="en-US"/>
        </w:rPr>
        <w:t>under</w:t>
      </w:r>
      <w:r w:rsidR="007B7640" w:rsidRPr="00BB4E9F">
        <w:rPr>
          <w:rFonts w:ascii="Arial" w:hAnsi="Arial"/>
          <w:i/>
          <w:lang w:val="en-US"/>
        </w:rPr>
        <w:t xml:space="preserve"> </w:t>
      </w:r>
      <w:r w:rsidRPr="00BB4E9F">
        <w:rPr>
          <w:rFonts w:ascii="Arial" w:hAnsi="Arial"/>
          <w:i/>
          <w:lang w:val="en-US"/>
        </w:rPr>
        <w:t>national</w:t>
      </w:r>
      <w:r w:rsidR="007B7640" w:rsidRPr="00BB4E9F">
        <w:rPr>
          <w:rFonts w:ascii="Arial" w:hAnsi="Arial"/>
          <w:i/>
          <w:lang w:val="en-US"/>
        </w:rPr>
        <w:t xml:space="preserve"> </w:t>
      </w:r>
      <w:r w:rsidRPr="00BB4E9F">
        <w:rPr>
          <w:rFonts w:ascii="Arial" w:hAnsi="Arial"/>
          <w:i/>
          <w:lang w:val="en-US"/>
        </w:rPr>
        <w:t>law-</w:t>
      </w:r>
      <w:r w:rsidR="007B7640" w:rsidRPr="00BB4E9F">
        <w:rPr>
          <w:rFonts w:ascii="Arial" w:hAnsi="Arial"/>
          <w:i/>
          <w:lang w:val="en-US"/>
        </w:rPr>
        <w:t xml:space="preserve"> </w:t>
      </w:r>
      <w:r w:rsidRPr="00BB4E9F">
        <w:rPr>
          <w:rFonts w:ascii="Arial" w:hAnsi="Arial"/>
          <w:i/>
          <w:lang w:val="en-US"/>
        </w:rPr>
        <w:t>including</w:t>
      </w:r>
      <w:r w:rsidR="007B7640" w:rsidRPr="00BB4E9F">
        <w:rPr>
          <w:rFonts w:ascii="Arial" w:hAnsi="Arial"/>
          <w:i/>
          <w:lang w:val="en-US"/>
        </w:rPr>
        <w:t xml:space="preserve"> </w:t>
      </w:r>
      <w:r w:rsidRPr="00BB4E9F">
        <w:rPr>
          <w:rFonts w:ascii="Arial" w:hAnsi="Arial"/>
          <w:i/>
          <w:lang w:val="en-US"/>
        </w:rPr>
        <w:t>for</w:t>
      </w:r>
      <w:r w:rsidR="007B7640" w:rsidRPr="00BB4E9F">
        <w:rPr>
          <w:rFonts w:ascii="Arial" w:hAnsi="Arial"/>
          <w:i/>
          <w:lang w:val="en-US"/>
        </w:rPr>
        <w:t xml:space="preserve"> </w:t>
      </w:r>
      <w:r w:rsidRPr="00BB4E9F">
        <w:rPr>
          <w:rFonts w:ascii="Arial" w:hAnsi="Arial"/>
          <w:i/>
          <w:lang w:val="en-US"/>
        </w:rPr>
        <w:t>the</w:t>
      </w:r>
      <w:r w:rsidR="007B7640" w:rsidRPr="00BB4E9F">
        <w:rPr>
          <w:rFonts w:ascii="Arial" w:hAnsi="Arial"/>
          <w:i/>
          <w:lang w:val="en-US"/>
        </w:rPr>
        <w:t xml:space="preserve"> </w:t>
      </w:r>
      <w:r w:rsidRPr="00BB4E9F">
        <w:rPr>
          <w:rFonts w:ascii="Arial" w:hAnsi="Arial"/>
          <w:i/>
          <w:lang w:val="en-US"/>
        </w:rPr>
        <w:t>purposes</w:t>
      </w:r>
      <w:r w:rsidR="007B7640" w:rsidRPr="00BB4E9F">
        <w:rPr>
          <w:rFonts w:ascii="Arial" w:hAnsi="Arial"/>
          <w:i/>
          <w:lang w:val="en-US"/>
        </w:rPr>
        <w:t xml:space="preserve"> </w:t>
      </w:r>
      <w:r w:rsidRPr="00BB4E9F">
        <w:rPr>
          <w:rFonts w:ascii="Arial" w:hAnsi="Arial"/>
          <w:i/>
          <w:lang w:val="en-US"/>
        </w:rPr>
        <w:t>of</w:t>
      </w:r>
      <w:r w:rsidR="007B7640" w:rsidRPr="00BB4E9F">
        <w:rPr>
          <w:rFonts w:ascii="Arial" w:hAnsi="Arial"/>
          <w:i/>
          <w:lang w:val="en-US"/>
        </w:rPr>
        <w:t xml:space="preserve"> </w:t>
      </w:r>
      <w:r w:rsidRPr="00BB4E9F">
        <w:rPr>
          <w:rFonts w:ascii="Arial" w:hAnsi="Arial"/>
          <w:i/>
          <w:lang w:val="en-US"/>
        </w:rPr>
        <w:t>application</w:t>
      </w:r>
      <w:r w:rsidR="007B7640" w:rsidRPr="00BB4E9F">
        <w:rPr>
          <w:rFonts w:ascii="Arial" w:hAnsi="Arial"/>
          <w:i/>
          <w:lang w:val="en-US"/>
        </w:rPr>
        <w:t xml:space="preserve"> </w:t>
      </w:r>
      <w:r w:rsidRPr="00BB4E9F">
        <w:rPr>
          <w:rFonts w:ascii="Arial" w:hAnsi="Arial"/>
          <w:i/>
          <w:lang w:val="en-US"/>
        </w:rPr>
        <w:t>of</w:t>
      </w:r>
      <w:r w:rsidR="007B7640" w:rsidRPr="00BB4E9F">
        <w:rPr>
          <w:rFonts w:ascii="Arial" w:hAnsi="Arial"/>
          <w:i/>
          <w:lang w:val="en-US"/>
        </w:rPr>
        <w:t xml:space="preserve"> </w:t>
      </w:r>
      <w:r w:rsidRPr="00BB4E9F">
        <w:rPr>
          <w:rFonts w:ascii="Arial" w:hAnsi="Arial"/>
          <w:i/>
          <w:lang w:val="en-US"/>
        </w:rPr>
        <w:t>the</w:t>
      </w:r>
      <w:r w:rsidR="007B7640" w:rsidRPr="00BB4E9F">
        <w:rPr>
          <w:rFonts w:ascii="Arial" w:hAnsi="Arial"/>
          <w:i/>
          <w:lang w:val="en-US"/>
        </w:rPr>
        <w:t xml:space="preserve"> </w:t>
      </w:r>
      <w:r w:rsidRPr="00BB4E9F">
        <w:rPr>
          <w:rFonts w:ascii="Arial" w:hAnsi="Arial"/>
          <w:i/>
          <w:lang w:val="en-US"/>
        </w:rPr>
        <w:t>anti-discrimination</w:t>
      </w:r>
      <w:r w:rsidR="007B7640" w:rsidRPr="00BB4E9F">
        <w:rPr>
          <w:rFonts w:ascii="Arial" w:hAnsi="Arial"/>
          <w:i/>
          <w:lang w:val="en-US"/>
        </w:rPr>
        <w:t xml:space="preserve"> </w:t>
      </w:r>
      <w:r w:rsidRPr="00BB4E9F">
        <w:rPr>
          <w:rFonts w:ascii="Arial" w:hAnsi="Arial"/>
          <w:i/>
          <w:lang w:val="en-US"/>
        </w:rPr>
        <w:t>law?</w:t>
      </w:r>
    </w:p>
    <w:p w14:paraId="364C1068" w14:textId="77777777" w:rsidR="002B5BCD" w:rsidRPr="00BB4E9F" w:rsidRDefault="002B5BCD" w:rsidP="00BB4E9F">
      <w:pPr>
        <w:rPr>
          <w:rFonts w:ascii="Arial" w:hAnsi="Arial"/>
          <w:i/>
          <w:lang w:val="en-US"/>
        </w:rPr>
      </w:pPr>
    </w:p>
    <w:p w14:paraId="1F1E23D3" w14:textId="77777777" w:rsidR="00533706" w:rsidRPr="00CD59CC" w:rsidRDefault="00533706" w:rsidP="00CD59CC">
      <w:pPr>
        <w:rPr>
          <w:rFonts w:ascii="Arial" w:hAnsi="Arial" w:cs="Arial"/>
          <w:i/>
        </w:rPr>
      </w:pPr>
      <w:bookmarkStart w:id="115" w:name="_Toc220221145"/>
      <w:r w:rsidRPr="00CD59CC">
        <w:rPr>
          <w:rFonts w:ascii="Arial" w:hAnsi="Arial" w:cs="Arial"/>
          <w:bCs/>
        </w:rPr>
        <w:t>Yes.</w:t>
      </w:r>
      <w:r w:rsidR="007B7640" w:rsidRPr="00CD59CC">
        <w:rPr>
          <w:rFonts w:ascii="Arial" w:hAnsi="Arial" w:cs="Arial"/>
          <w:bCs/>
        </w:rPr>
        <w:t xml:space="preserve"> </w:t>
      </w:r>
      <w:r w:rsidRPr="00CD59CC">
        <w:rPr>
          <w:rFonts w:ascii="Arial" w:hAnsi="Arial" w:cs="Arial"/>
          <w:bCs/>
        </w:rPr>
        <w:t>One</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criteria</w:t>
      </w:r>
      <w:r w:rsidR="007B7640" w:rsidRPr="00CD59CC">
        <w:rPr>
          <w:rFonts w:ascii="Arial" w:hAnsi="Arial" w:cs="Arial"/>
          <w:bCs/>
        </w:rPr>
        <w:t xml:space="preserve"> </w:t>
      </w:r>
      <w:r w:rsidRPr="00CD59CC">
        <w:rPr>
          <w:rFonts w:ascii="Arial" w:hAnsi="Arial" w:cs="Arial"/>
          <w:bCs/>
        </w:rPr>
        <w:t>for</w:t>
      </w:r>
      <w:r w:rsidR="007B7640" w:rsidRPr="00CD59CC">
        <w:rPr>
          <w:rFonts w:ascii="Arial" w:hAnsi="Arial" w:cs="Arial"/>
          <w:bCs/>
        </w:rPr>
        <w:t xml:space="preserve"> </w:t>
      </w:r>
      <w:r w:rsidRPr="00CD59CC">
        <w:rPr>
          <w:rFonts w:ascii="Arial" w:hAnsi="Arial" w:cs="Arial"/>
          <w:bCs/>
        </w:rPr>
        <w:t>accreditation</w:t>
      </w:r>
      <w:r w:rsidR="007B7640" w:rsidRPr="00CD59CC">
        <w:rPr>
          <w:rFonts w:ascii="Arial" w:hAnsi="Arial" w:cs="Arial"/>
          <w:bCs/>
        </w:rPr>
        <w:t xml:space="preserve"> </w:t>
      </w:r>
      <w:r w:rsidRPr="00CD59CC">
        <w:rPr>
          <w:rFonts w:ascii="Arial" w:hAnsi="Arial" w:cs="Arial"/>
          <w:bCs/>
        </w:rPr>
        <w:t>that</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workers</w:t>
      </w:r>
      <w:r w:rsidR="007B7640" w:rsidRPr="00CD59CC">
        <w:rPr>
          <w:rFonts w:ascii="Arial" w:hAnsi="Arial" w:cs="Arial"/>
          <w:bCs/>
        </w:rPr>
        <w:t xml:space="preserve"> </w:t>
      </w:r>
      <w:r w:rsidRPr="00CD59CC">
        <w:rPr>
          <w:rFonts w:ascii="Arial" w:hAnsi="Arial" w:cs="Arial"/>
          <w:bCs/>
        </w:rPr>
        <w:t>with</w:t>
      </w:r>
      <w:r w:rsidR="007B7640" w:rsidRPr="00CD59CC">
        <w:rPr>
          <w:rFonts w:ascii="Arial" w:hAnsi="Arial" w:cs="Arial"/>
          <w:bCs/>
        </w:rPr>
        <w:t xml:space="preserve"> </w:t>
      </w:r>
      <w:r w:rsidRPr="00CD59CC">
        <w:rPr>
          <w:rFonts w:ascii="Arial" w:hAnsi="Arial" w:cs="Arial"/>
          <w:bCs/>
        </w:rPr>
        <w:t>disabilities</w:t>
      </w:r>
      <w:r w:rsidR="007B7640" w:rsidRPr="00CD59CC">
        <w:rPr>
          <w:rFonts w:ascii="Arial" w:hAnsi="Arial" w:cs="Arial"/>
          <w:bCs/>
        </w:rPr>
        <w:t xml:space="preserve"> </w:t>
      </w:r>
      <w:r w:rsidRPr="00CD59CC">
        <w:rPr>
          <w:rFonts w:ascii="Arial" w:hAnsi="Arial" w:cs="Arial"/>
          <w:bCs/>
        </w:rPr>
        <w:t>shall</w:t>
      </w:r>
      <w:r w:rsidR="007B7640" w:rsidRPr="00CD59CC">
        <w:rPr>
          <w:rFonts w:ascii="Arial" w:hAnsi="Arial" w:cs="Arial"/>
          <w:bCs/>
        </w:rPr>
        <w:t xml:space="preserve"> </w:t>
      </w:r>
      <w:r w:rsidRPr="00CD59CC">
        <w:rPr>
          <w:rFonts w:ascii="Arial" w:hAnsi="Arial" w:cs="Arial"/>
          <w:bCs/>
        </w:rPr>
        <w:t>be</w:t>
      </w:r>
      <w:r w:rsidR="007B7640" w:rsidRPr="00CD59CC">
        <w:rPr>
          <w:rFonts w:ascii="Arial" w:hAnsi="Arial" w:cs="Arial"/>
          <w:bCs/>
        </w:rPr>
        <w:t xml:space="preserve"> </w:t>
      </w:r>
      <w:r w:rsidRPr="00CD59CC">
        <w:rPr>
          <w:rFonts w:ascii="Arial" w:hAnsi="Arial" w:cs="Arial"/>
          <w:bCs/>
        </w:rPr>
        <w:t>employed</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framework</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a</w:t>
      </w:r>
      <w:r w:rsidR="007B7640" w:rsidRPr="00CD59CC">
        <w:rPr>
          <w:rFonts w:ascii="Arial" w:hAnsi="Arial" w:cs="Arial"/>
          <w:bCs/>
        </w:rPr>
        <w:t xml:space="preserve"> </w:t>
      </w:r>
      <w:r w:rsidRPr="00CD59CC">
        <w:rPr>
          <w:rFonts w:ascii="Arial" w:hAnsi="Arial" w:cs="Arial"/>
          <w:bCs/>
        </w:rPr>
        <w:t>regular</w:t>
      </w:r>
      <w:r w:rsidR="007B7640" w:rsidRPr="00CD59CC">
        <w:rPr>
          <w:rFonts w:ascii="Arial" w:hAnsi="Arial" w:cs="Arial"/>
          <w:bCs/>
        </w:rPr>
        <w:t xml:space="preserve"> </w:t>
      </w:r>
      <w:r w:rsidRPr="00CD59CC">
        <w:rPr>
          <w:rFonts w:ascii="Arial" w:hAnsi="Arial" w:cs="Arial"/>
          <w:bCs/>
        </w:rPr>
        <w:t>employment</w:t>
      </w:r>
      <w:r w:rsidR="007B7640" w:rsidRPr="00CD59CC">
        <w:rPr>
          <w:rFonts w:ascii="Arial" w:hAnsi="Arial" w:cs="Arial"/>
          <w:bCs/>
        </w:rPr>
        <w:t xml:space="preserve"> </w:t>
      </w:r>
      <w:r w:rsidRPr="00CD59CC">
        <w:rPr>
          <w:rFonts w:ascii="Arial" w:hAnsi="Arial" w:cs="Arial"/>
          <w:bCs/>
        </w:rPr>
        <w:t>relationship.</w:t>
      </w:r>
      <w:r w:rsidR="007B7640" w:rsidRPr="00CD59CC">
        <w:rPr>
          <w:rFonts w:ascii="Arial" w:hAnsi="Arial" w:cs="Arial"/>
          <w:bCs/>
        </w:rPr>
        <w:t xml:space="preserve"> </w:t>
      </w:r>
      <w:r w:rsidRPr="00CD59CC">
        <w:rPr>
          <w:rFonts w:ascii="Arial" w:hAnsi="Arial" w:cs="Arial"/>
          <w:bCs/>
        </w:rPr>
        <w:t>Therefore,</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possibility</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not</w:t>
      </w:r>
      <w:r w:rsidR="007B7640" w:rsidRPr="00CD59CC">
        <w:rPr>
          <w:rFonts w:ascii="Arial" w:hAnsi="Arial" w:cs="Arial"/>
          <w:bCs/>
        </w:rPr>
        <w:t xml:space="preserve"> </w:t>
      </w:r>
      <w:r w:rsidRPr="00CD59CC">
        <w:rPr>
          <w:rFonts w:ascii="Arial" w:hAnsi="Arial" w:cs="Arial"/>
          <w:bCs/>
        </w:rPr>
        <w:t>being</w:t>
      </w:r>
      <w:r w:rsidR="007B7640" w:rsidRPr="00CD59CC">
        <w:rPr>
          <w:rFonts w:ascii="Arial" w:hAnsi="Arial" w:cs="Arial"/>
          <w:bCs/>
        </w:rPr>
        <w:t xml:space="preserve"> </w:t>
      </w:r>
      <w:r w:rsidRPr="00CD59CC">
        <w:rPr>
          <w:rFonts w:ascii="Arial" w:hAnsi="Arial" w:cs="Arial"/>
          <w:bCs/>
        </w:rPr>
        <w:t>regarded</w:t>
      </w:r>
      <w:r w:rsidR="007B7640" w:rsidRPr="00CD59CC">
        <w:rPr>
          <w:rFonts w:ascii="Arial" w:hAnsi="Arial" w:cs="Arial"/>
          <w:bCs/>
        </w:rPr>
        <w:t xml:space="preserve"> </w:t>
      </w:r>
      <w:r w:rsidRPr="00CD59CC">
        <w:rPr>
          <w:rFonts w:ascii="Arial" w:hAnsi="Arial" w:cs="Arial"/>
          <w:bCs/>
        </w:rPr>
        <w:t>as</w:t>
      </w:r>
      <w:r w:rsidR="007B7640" w:rsidRPr="00CD59CC">
        <w:rPr>
          <w:rFonts w:ascii="Arial" w:hAnsi="Arial" w:cs="Arial"/>
          <w:bCs/>
        </w:rPr>
        <w:t xml:space="preserve"> </w:t>
      </w:r>
      <w:r w:rsidRPr="00CD59CC">
        <w:rPr>
          <w:rFonts w:ascii="Arial" w:hAnsi="Arial" w:cs="Arial"/>
          <w:bCs/>
        </w:rPr>
        <w:t>employment</w:t>
      </w:r>
      <w:r w:rsidR="007B7640" w:rsidRPr="00CD59CC">
        <w:rPr>
          <w:rFonts w:ascii="Arial" w:hAnsi="Arial" w:cs="Arial"/>
          <w:bCs/>
        </w:rPr>
        <w:t xml:space="preserve"> </w:t>
      </w:r>
      <w:r w:rsidRPr="00CD59CC">
        <w:rPr>
          <w:rFonts w:ascii="Arial" w:hAnsi="Arial" w:cs="Arial"/>
          <w:bCs/>
        </w:rPr>
        <w:t>under</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r w:rsidR="007B7640" w:rsidRPr="00CD59CC">
        <w:rPr>
          <w:rFonts w:ascii="Arial" w:hAnsi="Arial" w:cs="Arial"/>
          <w:bCs/>
        </w:rPr>
        <w:t xml:space="preserve"> </w:t>
      </w:r>
      <w:r w:rsidRPr="00CD59CC">
        <w:rPr>
          <w:rFonts w:ascii="Arial" w:hAnsi="Arial" w:cs="Arial"/>
          <w:bCs/>
        </w:rPr>
        <w:t>is</w:t>
      </w:r>
      <w:r w:rsidR="007B7640" w:rsidRPr="00CD59CC">
        <w:rPr>
          <w:rFonts w:ascii="Arial" w:hAnsi="Arial" w:cs="Arial"/>
          <w:bCs/>
        </w:rPr>
        <w:t xml:space="preserve"> </w:t>
      </w:r>
      <w:r w:rsidRPr="00CD59CC">
        <w:rPr>
          <w:rFonts w:ascii="Arial" w:hAnsi="Arial" w:cs="Arial"/>
          <w:bCs/>
        </w:rPr>
        <w:t>not</w:t>
      </w:r>
      <w:r w:rsidR="007B7640" w:rsidRPr="00CD59CC">
        <w:rPr>
          <w:rFonts w:ascii="Arial" w:hAnsi="Arial" w:cs="Arial"/>
          <w:bCs/>
        </w:rPr>
        <w:t xml:space="preserve"> </w:t>
      </w:r>
      <w:r w:rsidRPr="00CD59CC">
        <w:rPr>
          <w:rFonts w:ascii="Arial" w:hAnsi="Arial" w:cs="Arial"/>
          <w:bCs/>
        </w:rPr>
        <w:t>raised.</w:t>
      </w:r>
    </w:p>
    <w:p w14:paraId="62511869" w14:textId="77777777" w:rsidR="002B5BCD" w:rsidRPr="00CD59CC" w:rsidRDefault="003A3F22" w:rsidP="00CD59CC">
      <w:pPr>
        <w:pStyle w:val="Heading1"/>
        <w:rPr>
          <w:rFonts w:cs="Arial"/>
        </w:rPr>
      </w:pPr>
      <w:r w:rsidRPr="00CD59CC">
        <w:rPr>
          <w:rFonts w:cs="Arial"/>
        </w:rPr>
        <w:br w:type="page"/>
      </w:r>
      <w:bookmarkStart w:id="116" w:name="_Toc392758716"/>
      <w:bookmarkStart w:id="117" w:name="_Toc329163607"/>
      <w:bookmarkStart w:id="118" w:name="_Toc366846325"/>
      <w:r w:rsidR="002B5BCD" w:rsidRPr="00CD59CC">
        <w:rPr>
          <w:rFonts w:cs="Arial"/>
        </w:rPr>
        <w:lastRenderedPageBreak/>
        <w:t>PERSONAL</w:t>
      </w:r>
      <w:r w:rsidR="007B7640" w:rsidRPr="00CD59CC">
        <w:rPr>
          <w:rFonts w:cs="Arial"/>
        </w:rPr>
        <w:t xml:space="preserve"> </w:t>
      </w:r>
      <w:r w:rsidR="002B5BCD" w:rsidRPr="00CD59CC">
        <w:rPr>
          <w:rFonts w:cs="Arial"/>
        </w:rPr>
        <w:t>AND</w:t>
      </w:r>
      <w:r w:rsidR="007B7640" w:rsidRPr="00CD59CC">
        <w:rPr>
          <w:rFonts w:cs="Arial"/>
        </w:rPr>
        <w:t xml:space="preserve"> </w:t>
      </w:r>
      <w:r w:rsidR="002B5BCD" w:rsidRPr="00CD59CC">
        <w:rPr>
          <w:rFonts w:cs="Arial"/>
        </w:rPr>
        <w:t>MATERIAL</w:t>
      </w:r>
      <w:r w:rsidR="007B7640" w:rsidRPr="00CD59CC">
        <w:rPr>
          <w:rFonts w:cs="Arial"/>
        </w:rPr>
        <w:t xml:space="preserve"> </w:t>
      </w:r>
      <w:r w:rsidR="002B5BCD" w:rsidRPr="00CD59CC">
        <w:rPr>
          <w:rFonts w:cs="Arial"/>
        </w:rPr>
        <w:t>SCOPE</w:t>
      </w:r>
      <w:bookmarkEnd w:id="115"/>
      <w:bookmarkEnd w:id="116"/>
      <w:bookmarkEnd w:id="117"/>
      <w:bookmarkEnd w:id="118"/>
      <w:r w:rsidR="007B7640" w:rsidRPr="00CD59CC">
        <w:rPr>
          <w:rFonts w:cs="Arial"/>
        </w:rPr>
        <w:t xml:space="preserve"> </w:t>
      </w:r>
    </w:p>
    <w:p w14:paraId="5C226E47" w14:textId="77777777" w:rsidR="002B5BCD" w:rsidRPr="00CD59CC" w:rsidRDefault="002B5BCD" w:rsidP="00CD59CC">
      <w:pPr>
        <w:rPr>
          <w:rFonts w:ascii="Arial" w:hAnsi="Arial" w:cs="Arial"/>
          <w:b/>
          <w:bCs/>
          <w:i/>
        </w:rPr>
      </w:pPr>
    </w:p>
    <w:p w14:paraId="2FED767B" w14:textId="77777777" w:rsidR="002B5BCD" w:rsidRPr="00CD59CC" w:rsidRDefault="002B5BCD" w:rsidP="00CD59CC">
      <w:pPr>
        <w:pStyle w:val="Heading2"/>
        <w:rPr>
          <w:rFonts w:cs="Arial"/>
        </w:rPr>
      </w:pPr>
      <w:bookmarkStart w:id="119" w:name="_Toc220221146"/>
      <w:r w:rsidRPr="00CD59CC">
        <w:rPr>
          <w:rFonts w:cs="Arial"/>
        </w:rPr>
        <w:tab/>
      </w:r>
      <w:bookmarkStart w:id="120" w:name="_Toc392758717"/>
      <w:bookmarkStart w:id="121" w:name="_Toc329163608"/>
      <w:bookmarkStart w:id="122" w:name="_Toc366846326"/>
      <w:r w:rsidRPr="00CD59CC">
        <w:rPr>
          <w:rFonts w:cs="Arial"/>
        </w:rPr>
        <w:t>Personal</w:t>
      </w:r>
      <w:r w:rsidR="007B7640" w:rsidRPr="00CD59CC">
        <w:rPr>
          <w:rFonts w:cs="Arial"/>
        </w:rPr>
        <w:t xml:space="preserve"> </w:t>
      </w:r>
      <w:r w:rsidRPr="00CD59CC">
        <w:rPr>
          <w:rFonts w:cs="Arial"/>
        </w:rPr>
        <w:t>scope</w:t>
      </w:r>
      <w:bookmarkEnd w:id="119"/>
      <w:bookmarkEnd w:id="120"/>
      <w:bookmarkEnd w:id="121"/>
      <w:bookmarkEnd w:id="122"/>
    </w:p>
    <w:p w14:paraId="43E71A9C" w14:textId="77777777" w:rsidR="002B5BCD" w:rsidRPr="00CD59CC" w:rsidRDefault="002B5BCD" w:rsidP="00CD59CC">
      <w:pPr>
        <w:rPr>
          <w:rFonts w:ascii="Arial" w:hAnsi="Arial" w:cs="Arial"/>
        </w:rPr>
      </w:pPr>
    </w:p>
    <w:p w14:paraId="13F4A8EB" w14:textId="77777777" w:rsidR="002B5BCD" w:rsidRPr="00CD59CC" w:rsidRDefault="002B5BCD" w:rsidP="00CD59CC">
      <w:pPr>
        <w:pStyle w:val="Heading3"/>
        <w:rPr>
          <w:rFonts w:cs="Arial"/>
        </w:rPr>
      </w:pPr>
      <w:bookmarkStart w:id="123" w:name="_Toc220221147"/>
      <w:bookmarkStart w:id="124" w:name="_Toc392758718"/>
      <w:bookmarkStart w:id="125" w:name="_Toc329163609"/>
      <w:bookmarkStart w:id="126" w:name="_Toc366846327"/>
      <w:r w:rsidRPr="00CD59CC">
        <w:rPr>
          <w:rFonts w:cs="Arial"/>
        </w:rPr>
        <w:t>EU</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non-EU</w:t>
      </w:r>
      <w:r w:rsidR="007B7640" w:rsidRPr="00CD59CC">
        <w:rPr>
          <w:rFonts w:cs="Arial"/>
        </w:rPr>
        <w:t xml:space="preserve"> </w:t>
      </w:r>
      <w:r w:rsidRPr="00CD59CC">
        <w:rPr>
          <w:rFonts w:cs="Arial"/>
        </w:rPr>
        <w:t>nationals</w:t>
      </w:r>
      <w:r w:rsidR="007B7640" w:rsidRPr="00CD59CC">
        <w:rPr>
          <w:rFonts w:cs="Arial"/>
        </w:rPr>
        <w:t xml:space="preserve"> </w:t>
      </w:r>
      <w:r w:rsidRPr="00CD59CC">
        <w:rPr>
          <w:rFonts w:cs="Arial"/>
        </w:rPr>
        <w:t>(Recital</w:t>
      </w:r>
      <w:r w:rsidR="007B7640" w:rsidRPr="00CD59CC">
        <w:rPr>
          <w:rFonts w:cs="Arial"/>
        </w:rPr>
        <w:t xml:space="preserve"> </w:t>
      </w:r>
      <w:r w:rsidRPr="00CD59CC">
        <w:rPr>
          <w:rFonts w:cs="Arial"/>
        </w:rPr>
        <w:t>13</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Article</w:t>
      </w:r>
      <w:r w:rsidR="007B7640" w:rsidRPr="00CD59CC">
        <w:rPr>
          <w:rFonts w:cs="Arial"/>
        </w:rPr>
        <w:t xml:space="preserve"> </w:t>
      </w:r>
      <w:r w:rsidRPr="00CD59CC">
        <w:rPr>
          <w:rFonts w:cs="Arial"/>
        </w:rPr>
        <w:t>3(2)</w:t>
      </w:r>
      <w:r w:rsidR="007B7640" w:rsidRPr="00CD59CC">
        <w:rPr>
          <w:rFonts w:cs="Arial"/>
        </w:rPr>
        <w:t xml:space="preserve"> </w:t>
      </w:r>
      <w:r w:rsidRPr="00CD59CC">
        <w:rPr>
          <w:rFonts w:cs="Arial"/>
        </w:rPr>
        <w:t>Directive</w:t>
      </w:r>
      <w:r w:rsidR="007B7640" w:rsidRPr="00CD59CC">
        <w:rPr>
          <w:rFonts w:cs="Arial"/>
        </w:rPr>
        <w:t xml:space="preserve"> </w:t>
      </w:r>
      <w:r w:rsidRPr="00CD59CC">
        <w:rPr>
          <w:rFonts w:cs="Arial"/>
        </w:rPr>
        <w:t>2000/43</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Recital</w:t>
      </w:r>
      <w:r w:rsidR="007B7640" w:rsidRPr="00CD59CC">
        <w:rPr>
          <w:rFonts w:cs="Arial"/>
        </w:rPr>
        <w:t xml:space="preserve"> </w:t>
      </w:r>
      <w:r w:rsidRPr="00CD59CC">
        <w:rPr>
          <w:rFonts w:cs="Arial"/>
        </w:rPr>
        <w:t>12</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Article</w:t>
      </w:r>
      <w:r w:rsidR="007B7640" w:rsidRPr="00CD59CC">
        <w:rPr>
          <w:rFonts w:cs="Arial"/>
        </w:rPr>
        <w:t xml:space="preserve"> </w:t>
      </w:r>
      <w:r w:rsidRPr="00CD59CC">
        <w:rPr>
          <w:rFonts w:cs="Arial"/>
        </w:rPr>
        <w:t>3(2)</w:t>
      </w:r>
      <w:r w:rsidR="007B7640" w:rsidRPr="00CD59CC">
        <w:rPr>
          <w:rFonts w:cs="Arial"/>
        </w:rPr>
        <w:t xml:space="preserve"> </w:t>
      </w:r>
      <w:r w:rsidRPr="00CD59CC">
        <w:rPr>
          <w:rFonts w:cs="Arial"/>
        </w:rPr>
        <w:t>Directive</w:t>
      </w:r>
      <w:r w:rsidR="007B7640" w:rsidRPr="00CD59CC">
        <w:rPr>
          <w:rFonts w:cs="Arial"/>
        </w:rPr>
        <w:t xml:space="preserve"> </w:t>
      </w:r>
      <w:r w:rsidRPr="00CD59CC">
        <w:rPr>
          <w:rFonts w:cs="Arial"/>
        </w:rPr>
        <w:t>2000/78)</w:t>
      </w:r>
      <w:bookmarkEnd w:id="123"/>
      <w:bookmarkEnd w:id="124"/>
      <w:bookmarkEnd w:id="125"/>
      <w:bookmarkEnd w:id="126"/>
    </w:p>
    <w:p w14:paraId="2C00F579" w14:textId="77777777" w:rsidR="002B5BCD" w:rsidRPr="00CD59CC" w:rsidRDefault="002B5BCD" w:rsidP="00CD59CC">
      <w:pPr>
        <w:rPr>
          <w:rFonts w:ascii="Arial" w:hAnsi="Arial" w:cs="Arial"/>
          <w:b/>
        </w:rPr>
      </w:pPr>
    </w:p>
    <w:p w14:paraId="3BD5DBFA" w14:textId="77777777" w:rsidR="002B5BCD" w:rsidRPr="00CD59CC" w:rsidRDefault="002B5BCD" w:rsidP="00CD59CC">
      <w:pPr>
        <w:rPr>
          <w:rFonts w:ascii="Arial" w:hAnsi="Arial" w:cs="Arial"/>
          <w:i/>
        </w:rPr>
      </w:pPr>
      <w:r w:rsidRPr="00CD59CC">
        <w:rPr>
          <w:rFonts w:ascii="Arial" w:hAnsi="Arial" w:cs="Arial"/>
          <w:i/>
        </w:rPr>
        <w:t>Are</w:t>
      </w:r>
      <w:r w:rsidR="007B7640" w:rsidRPr="00CD59CC">
        <w:rPr>
          <w:rFonts w:ascii="Arial" w:hAnsi="Arial" w:cs="Arial"/>
          <w:i/>
        </w:rPr>
        <w:t xml:space="preserve"> </w:t>
      </w:r>
      <w:r w:rsidRPr="00CD59CC">
        <w:rPr>
          <w:rFonts w:ascii="Arial" w:hAnsi="Arial" w:cs="Arial"/>
          <w:i/>
        </w:rPr>
        <w:t>there</w:t>
      </w:r>
      <w:r w:rsidR="007B7640" w:rsidRPr="00CD59CC">
        <w:rPr>
          <w:rFonts w:ascii="Arial" w:hAnsi="Arial" w:cs="Arial"/>
          <w:i/>
        </w:rPr>
        <w:t xml:space="preserve"> </w:t>
      </w:r>
      <w:r w:rsidRPr="00CD59CC">
        <w:rPr>
          <w:rFonts w:ascii="Arial" w:hAnsi="Arial" w:cs="Arial"/>
          <w:i/>
        </w:rPr>
        <w:t>residence</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citizenship/nationality</w:t>
      </w:r>
      <w:r w:rsidR="007B7640" w:rsidRPr="00CD59CC">
        <w:rPr>
          <w:rFonts w:ascii="Arial" w:hAnsi="Arial" w:cs="Arial"/>
          <w:i/>
        </w:rPr>
        <w:t xml:space="preserve"> </w:t>
      </w:r>
      <w:r w:rsidRPr="00CD59CC">
        <w:rPr>
          <w:rFonts w:ascii="Arial" w:hAnsi="Arial" w:cs="Arial"/>
          <w:i/>
        </w:rPr>
        <w:t>requirements</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protection</w:t>
      </w:r>
      <w:r w:rsidR="007B7640" w:rsidRPr="00CD59CC">
        <w:rPr>
          <w:rFonts w:ascii="Arial" w:hAnsi="Arial" w:cs="Arial"/>
          <w:i/>
        </w:rPr>
        <w:t xml:space="preserve"> </w:t>
      </w:r>
      <w:r w:rsidRPr="00CD59CC">
        <w:rPr>
          <w:rFonts w:ascii="Arial" w:hAnsi="Arial" w:cs="Arial"/>
          <w:i/>
        </w:rPr>
        <w:t>under</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relevant</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laws</w:t>
      </w:r>
      <w:r w:rsidR="007B7640" w:rsidRPr="00CD59CC">
        <w:rPr>
          <w:rFonts w:ascii="Arial" w:hAnsi="Arial" w:cs="Arial"/>
          <w:i/>
        </w:rPr>
        <w:t xml:space="preserve"> </w:t>
      </w:r>
      <w:r w:rsidRPr="00CD59CC">
        <w:rPr>
          <w:rFonts w:ascii="Arial" w:hAnsi="Arial" w:cs="Arial"/>
          <w:i/>
        </w:rPr>
        <w:t>transposing</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Directives?</w:t>
      </w:r>
      <w:r w:rsidR="007B7640" w:rsidRPr="00CD59CC">
        <w:rPr>
          <w:rFonts w:ascii="Arial" w:hAnsi="Arial" w:cs="Arial"/>
          <w:i/>
        </w:rPr>
        <w:t xml:space="preserve"> </w:t>
      </w:r>
    </w:p>
    <w:p w14:paraId="1664E86E" w14:textId="77777777" w:rsidR="002B5BCD" w:rsidRPr="00CD59CC" w:rsidRDefault="002B5BCD" w:rsidP="00CD59CC">
      <w:pPr>
        <w:rPr>
          <w:rFonts w:ascii="Arial" w:hAnsi="Arial" w:cs="Arial"/>
        </w:rPr>
      </w:pPr>
    </w:p>
    <w:p w14:paraId="383578F0" w14:textId="77777777" w:rsidR="002F2A74" w:rsidRPr="00CD59CC" w:rsidRDefault="002F2A74"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address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issue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nationality.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lieu</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citizenship/nationality</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residence</w:t>
      </w:r>
      <w:r w:rsidR="007B7640" w:rsidRPr="00CD59CC">
        <w:rPr>
          <w:rFonts w:ascii="Arial" w:hAnsi="Arial" w:cs="Arial"/>
        </w:rPr>
        <w:t xml:space="preserve"> </w:t>
      </w:r>
      <w:r w:rsidRPr="00CD59CC">
        <w:rPr>
          <w:rFonts w:ascii="Arial" w:hAnsi="Arial" w:cs="Arial"/>
        </w:rPr>
        <w:t>requirements,</w:t>
      </w:r>
      <w:r w:rsidR="007B7640" w:rsidRPr="00CD59CC">
        <w:rPr>
          <w:rFonts w:ascii="Arial" w:hAnsi="Arial" w:cs="Arial"/>
        </w:rPr>
        <w:t xml:space="preserve"> </w:t>
      </w:r>
      <w:r w:rsidRPr="00CD59CC">
        <w:rPr>
          <w:rFonts w:ascii="Arial" w:hAnsi="Arial" w:cs="Arial"/>
        </w:rPr>
        <w:t>domestic</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covers</w:t>
      </w:r>
      <w:r w:rsidR="007B7640" w:rsidRPr="00CD59CC">
        <w:rPr>
          <w:rFonts w:ascii="Arial" w:hAnsi="Arial" w:cs="Arial"/>
        </w:rPr>
        <w:t xml:space="preserve"> </w:t>
      </w:r>
      <w:r w:rsidRPr="00CD59CC">
        <w:rPr>
          <w:rFonts w:ascii="Arial" w:hAnsi="Arial" w:cs="Arial"/>
        </w:rPr>
        <w:t>every</w:t>
      </w:r>
      <w:r w:rsidR="007B7640" w:rsidRPr="00CD59CC">
        <w:rPr>
          <w:rFonts w:ascii="Arial" w:hAnsi="Arial" w:cs="Arial"/>
        </w:rPr>
        <w:t xml:space="preserve"> </w:t>
      </w:r>
      <w:r w:rsidRPr="00CD59CC">
        <w:rPr>
          <w:rFonts w:ascii="Arial" w:hAnsi="Arial" w:cs="Arial"/>
        </w:rPr>
        <w:t>person</w:t>
      </w:r>
      <w:r w:rsidR="007B7640" w:rsidRPr="00CD59CC">
        <w:rPr>
          <w:rFonts w:ascii="Arial" w:hAnsi="Arial" w:cs="Arial"/>
        </w:rPr>
        <w:t xml:space="preserve"> </w:t>
      </w:r>
      <w:r w:rsidRPr="00CD59CC">
        <w:rPr>
          <w:rFonts w:ascii="Arial" w:hAnsi="Arial" w:cs="Arial"/>
        </w:rPr>
        <w:t>present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territory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p>
    <w:p w14:paraId="766D52C5" w14:textId="77777777" w:rsidR="002F2A74" w:rsidRPr="00CD59CC" w:rsidRDefault="002F2A74" w:rsidP="00CD59CC">
      <w:pPr>
        <w:rPr>
          <w:rFonts w:ascii="Arial" w:hAnsi="Arial" w:cs="Arial"/>
        </w:rPr>
      </w:pPr>
    </w:p>
    <w:p w14:paraId="5B0D49A0" w14:textId="7526A058" w:rsidR="002F2A74" w:rsidRPr="00CD59CC" w:rsidRDefault="002F2A74" w:rsidP="00CD59CC">
      <w:pPr>
        <w:rPr>
          <w:rFonts w:ascii="Arial" w:hAnsi="Arial" w:cs="Arial"/>
        </w:rPr>
      </w:pPr>
      <w:r w:rsidRPr="00CD59CC">
        <w:rPr>
          <w:rFonts w:ascii="Arial" w:hAnsi="Arial" w:cs="Arial"/>
        </w:rPr>
        <w:t>For</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56/2007,</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company</w:t>
      </w:r>
      <w:r w:rsidR="007B7640" w:rsidRPr="00CD59CC">
        <w:rPr>
          <w:rFonts w:ascii="Arial" w:hAnsi="Arial" w:cs="Arial"/>
        </w:rPr>
        <w:t xml:space="preserve"> </w:t>
      </w:r>
      <w:r w:rsidRPr="00CD59CC">
        <w:rPr>
          <w:rFonts w:ascii="Arial" w:hAnsi="Arial" w:cs="Arial"/>
        </w:rPr>
        <w:t>providing</w:t>
      </w:r>
      <w:r w:rsidR="007B7640" w:rsidRPr="00CD59CC">
        <w:rPr>
          <w:rFonts w:ascii="Arial" w:hAnsi="Arial" w:cs="Arial"/>
        </w:rPr>
        <w:t xml:space="preserve"> </w:t>
      </w:r>
      <w:r w:rsidRPr="00CD59CC">
        <w:rPr>
          <w:rFonts w:ascii="Arial" w:hAnsi="Arial" w:cs="Arial"/>
        </w:rPr>
        <w:t>financial</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rejected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provide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Romanian</w:t>
      </w:r>
      <w:r w:rsidR="007B7640" w:rsidRPr="00CD59CC">
        <w:rPr>
          <w:rFonts w:ascii="Arial" w:hAnsi="Arial" w:cs="Arial"/>
        </w:rPr>
        <w:t xml:space="preserve"> </w:t>
      </w:r>
      <w:r w:rsidRPr="00CD59CC">
        <w:rPr>
          <w:rFonts w:ascii="Arial" w:hAnsi="Arial" w:cs="Arial"/>
        </w:rPr>
        <w:t>citizen</w:t>
      </w:r>
      <w:r w:rsidR="007B7640" w:rsidRPr="00CD59CC">
        <w:rPr>
          <w:rFonts w:ascii="Arial" w:hAnsi="Arial" w:cs="Arial"/>
        </w:rPr>
        <w:t xml:space="preserve"> </w:t>
      </w:r>
      <w:r w:rsidRPr="00CD59CC">
        <w:rPr>
          <w:rFonts w:ascii="Arial" w:hAnsi="Arial" w:cs="Arial"/>
        </w:rPr>
        <w:t>settled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HUF</w:t>
      </w:r>
      <w:r w:rsidR="007B7640" w:rsidRPr="00CD59CC">
        <w:rPr>
          <w:rFonts w:ascii="Arial" w:hAnsi="Arial" w:cs="Arial"/>
        </w:rPr>
        <w:t xml:space="preserve"> </w:t>
      </w:r>
      <w:r w:rsidRPr="00CD59CC">
        <w:rPr>
          <w:rFonts w:ascii="Arial" w:hAnsi="Arial" w:cs="Arial"/>
        </w:rPr>
        <w:t>100,000</w:t>
      </w:r>
      <w:r w:rsidR="007B7640" w:rsidRPr="00CD59CC">
        <w:rPr>
          <w:rFonts w:ascii="Arial" w:hAnsi="Arial" w:cs="Arial"/>
        </w:rPr>
        <w:t xml:space="preserve"> </w:t>
      </w:r>
      <w:r w:rsidRPr="00CD59CC">
        <w:rPr>
          <w:rFonts w:ascii="Arial" w:hAnsi="Arial" w:cs="Arial"/>
        </w:rPr>
        <w:t>(EUR</w:t>
      </w:r>
      <w:r w:rsidR="007B7640" w:rsidRPr="00CD59CC">
        <w:rPr>
          <w:rFonts w:ascii="Arial" w:hAnsi="Arial" w:cs="Arial"/>
        </w:rPr>
        <w:t xml:space="preserve"> </w:t>
      </w:r>
      <w:r w:rsidRPr="00CD59CC">
        <w:rPr>
          <w:rFonts w:ascii="Arial" w:hAnsi="Arial" w:cs="Arial"/>
        </w:rPr>
        <w:t>3</w:t>
      </w:r>
      <w:r w:rsidR="00E44EED" w:rsidRPr="00CD59CC">
        <w:rPr>
          <w:rFonts w:ascii="Arial" w:hAnsi="Arial" w:cs="Arial"/>
        </w:rPr>
        <w:t>30</w:t>
      </w:r>
      <w:r w:rsidRPr="00CD59CC">
        <w:rPr>
          <w:rFonts w:ascii="Arial" w:hAnsi="Arial" w:cs="Arial"/>
        </w:rPr>
        <w:t>)</w:t>
      </w:r>
      <w:r w:rsidR="007B7640" w:rsidRPr="00CD59CC">
        <w:rPr>
          <w:rFonts w:ascii="Arial" w:hAnsi="Arial" w:cs="Arial"/>
        </w:rPr>
        <w:t xml:space="preserve"> </w:t>
      </w:r>
      <w:r w:rsidRPr="00CD59CC">
        <w:rPr>
          <w:rFonts w:ascii="Arial" w:hAnsi="Arial" w:cs="Arial"/>
        </w:rPr>
        <w:t>loan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home-cinema</w:t>
      </w:r>
      <w:r w:rsidR="007B7640" w:rsidRPr="00CD59CC">
        <w:rPr>
          <w:rFonts w:ascii="Arial" w:hAnsi="Arial" w:cs="Arial"/>
        </w:rPr>
        <w:t xml:space="preserve"> </w:t>
      </w:r>
      <w:r w:rsidRPr="00CD59CC">
        <w:rPr>
          <w:rFonts w:ascii="Arial" w:hAnsi="Arial" w:cs="Arial"/>
        </w:rPr>
        <w:t>system</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foreign</w:t>
      </w:r>
      <w:r w:rsidR="007B7640" w:rsidRPr="00CD59CC">
        <w:rPr>
          <w:rFonts w:ascii="Arial" w:hAnsi="Arial" w:cs="Arial"/>
        </w:rPr>
        <w:t xml:space="preserve"> </w:t>
      </w:r>
      <w:r w:rsidRPr="00CD59CC">
        <w:rPr>
          <w:rFonts w:ascii="Arial" w:hAnsi="Arial" w:cs="Arial"/>
        </w:rPr>
        <w:t>citizenship</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w:t>
      </w:r>
      <w:r w:rsidR="007B7640" w:rsidRPr="00CD59CC">
        <w:rPr>
          <w:rFonts w:ascii="Arial" w:hAnsi="Arial" w:cs="Arial"/>
        </w:rPr>
        <w:t xml:space="preserve"> </w:t>
      </w:r>
      <w:r w:rsidRPr="00CD59CC">
        <w:rPr>
          <w:rFonts w:ascii="Arial" w:hAnsi="Arial" w:cs="Arial"/>
        </w:rPr>
        <w:t>increases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risks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non-payment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costs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enforcement</w:t>
      </w:r>
      <w:r w:rsidR="007B7640" w:rsidRPr="00CD59CC">
        <w:rPr>
          <w:rFonts w:ascii="Arial" w:hAnsi="Arial" w:cs="Arial"/>
        </w:rPr>
        <w:t xml:space="preserve"> </w:t>
      </w:r>
      <w:r w:rsidRPr="00CD59CC">
        <w:rPr>
          <w:rFonts w:ascii="Arial" w:hAnsi="Arial" w:cs="Arial"/>
        </w:rPr>
        <w:t>procedure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non-payment.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automatic</w:t>
      </w:r>
      <w:r w:rsidR="007B7640" w:rsidRPr="00CD59CC">
        <w:rPr>
          <w:rFonts w:ascii="Arial" w:hAnsi="Arial" w:cs="Arial"/>
        </w:rPr>
        <w:t xml:space="preserve"> </w:t>
      </w:r>
      <w:r w:rsidRPr="00CD59CC">
        <w:rPr>
          <w:rFonts w:ascii="Arial" w:hAnsi="Arial" w:cs="Arial"/>
        </w:rPr>
        <w:t>exclusion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foreign</w:t>
      </w:r>
      <w:r w:rsidR="007B7640" w:rsidRPr="00CD59CC">
        <w:rPr>
          <w:rFonts w:ascii="Arial" w:hAnsi="Arial" w:cs="Arial"/>
        </w:rPr>
        <w:t xml:space="preserve"> </w:t>
      </w:r>
      <w:r w:rsidRPr="00CD59CC">
        <w:rPr>
          <w:rFonts w:ascii="Arial" w:hAnsi="Arial" w:cs="Arial"/>
        </w:rPr>
        <w:t>nationals</w:t>
      </w:r>
      <w:r w:rsidR="007B7640" w:rsidRPr="00CD59CC">
        <w:rPr>
          <w:rFonts w:ascii="Arial" w:hAnsi="Arial" w:cs="Arial"/>
        </w:rPr>
        <w:t xml:space="preserve"> </w:t>
      </w:r>
      <w:r w:rsidRPr="00CD59CC">
        <w:rPr>
          <w:rFonts w:ascii="Arial" w:hAnsi="Arial" w:cs="Arial"/>
        </w:rPr>
        <w:t>without</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mechanism</w:t>
      </w:r>
      <w:r w:rsidR="007B7640" w:rsidRPr="00CD59CC">
        <w:rPr>
          <w:rFonts w:ascii="Arial" w:hAnsi="Arial" w:cs="Arial"/>
        </w:rPr>
        <w:t xml:space="preserve"> </w:t>
      </w:r>
      <w:r w:rsidRPr="00CD59CC">
        <w:rPr>
          <w:rFonts w:ascii="Arial" w:hAnsi="Arial" w:cs="Arial"/>
        </w:rPr>
        <w:t>devised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examine</w:t>
      </w:r>
      <w:r w:rsidR="007B7640" w:rsidRPr="00CD59CC">
        <w:rPr>
          <w:rFonts w:ascii="Arial" w:hAnsi="Arial" w:cs="Arial"/>
        </w:rPr>
        <w:t xml:space="preserve"> </w:t>
      </w:r>
      <w:r w:rsidRPr="00CD59CC">
        <w:rPr>
          <w:rFonts w:ascii="Arial" w:hAnsi="Arial" w:cs="Arial"/>
        </w:rPr>
        <w:t>thoroughly</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relevant</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circumstances</w:t>
      </w:r>
      <w:r w:rsidR="007B7640" w:rsidRPr="00CD59CC">
        <w:rPr>
          <w:rFonts w:ascii="Arial" w:hAnsi="Arial" w:cs="Arial"/>
        </w:rPr>
        <w:t xml:space="preserve"> </w:t>
      </w:r>
      <w:r w:rsidRPr="00CD59CC">
        <w:rPr>
          <w:rFonts w:ascii="Arial" w:hAnsi="Arial" w:cs="Arial"/>
        </w:rPr>
        <w:t>(job,</w:t>
      </w:r>
      <w:r w:rsidR="007B7640" w:rsidRPr="00CD59CC">
        <w:rPr>
          <w:rFonts w:ascii="Arial" w:hAnsi="Arial" w:cs="Arial"/>
        </w:rPr>
        <w:t xml:space="preserve"> </w:t>
      </w:r>
      <w:r w:rsidRPr="00CD59CC">
        <w:rPr>
          <w:rFonts w:ascii="Arial" w:hAnsi="Arial" w:cs="Arial"/>
        </w:rPr>
        <w:t>salary,</w:t>
      </w:r>
      <w:r w:rsidR="007B7640" w:rsidRPr="00CD59CC">
        <w:rPr>
          <w:rFonts w:ascii="Arial" w:hAnsi="Arial" w:cs="Arial"/>
        </w:rPr>
        <w:t xml:space="preserve"> </w:t>
      </w:r>
      <w:r w:rsidRPr="00CD59CC">
        <w:rPr>
          <w:rFonts w:ascii="Arial" w:hAnsi="Arial" w:cs="Arial"/>
        </w:rPr>
        <w:t>etc.)</w:t>
      </w:r>
      <w:r w:rsidR="007B7640" w:rsidRPr="00CD59CC">
        <w:rPr>
          <w:rFonts w:ascii="Arial" w:hAnsi="Arial" w:cs="Arial"/>
        </w:rPr>
        <w:t xml:space="preserve"> </w:t>
      </w:r>
      <w:r w:rsidRPr="00CD59CC">
        <w:rPr>
          <w:rFonts w:ascii="Arial" w:hAnsi="Arial" w:cs="Arial"/>
        </w:rPr>
        <w:t>constitutes</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exempted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referring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increased</w:t>
      </w:r>
      <w:r w:rsidR="007B7640" w:rsidRPr="00CD59CC">
        <w:rPr>
          <w:rFonts w:ascii="Arial" w:hAnsi="Arial" w:cs="Arial"/>
        </w:rPr>
        <w:t xml:space="preserve"> </w:t>
      </w:r>
      <w:r w:rsidRPr="00CD59CC">
        <w:rPr>
          <w:rFonts w:ascii="Arial" w:hAnsi="Arial" w:cs="Arial"/>
        </w:rPr>
        <w:t>risks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costs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objective</w:t>
      </w:r>
      <w:r w:rsidR="007B7640" w:rsidRPr="00CD59CC">
        <w:rPr>
          <w:rFonts w:ascii="Arial" w:hAnsi="Arial" w:cs="Arial"/>
        </w:rPr>
        <w:t xml:space="preserve"> </w:t>
      </w:r>
      <w:r w:rsidRPr="00CD59CC">
        <w:rPr>
          <w:rFonts w:ascii="Arial" w:hAnsi="Arial" w:cs="Arial"/>
        </w:rPr>
        <w:t>justification.</w:t>
      </w:r>
    </w:p>
    <w:p w14:paraId="27CE54EB" w14:textId="77777777" w:rsidR="002F2A74" w:rsidRPr="00CD59CC" w:rsidRDefault="002F2A74" w:rsidP="00CD59CC">
      <w:pPr>
        <w:rPr>
          <w:rFonts w:ascii="Arial" w:hAnsi="Arial" w:cs="Arial"/>
        </w:rPr>
      </w:pPr>
    </w:p>
    <w:p w14:paraId="319C9463" w14:textId="77777777" w:rsidR="002F2A74" w:rsidRPr="00CD59CC" w:rsidRDefault="002F2A74" w:rsidP="00CD59CC">
      <w:pPr>
        <w:rPr>
          <w:rFonts w:ascii="Arial" w:hAnsi="Arial" w:cs="Arial"/>
          <w:bCs/>
        </w:rPr>
      </w:pPr>
      <w:r w:rsidRPr="00CD59CC">
        <w:rPr>
          <w:rFonts w:ascii="Arial" w:hAnsi="Arial" w:cs="Arial"/>
          <w:bCs/>
        </w:rPr>
        <w:t>As</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immigration</w:t>
      </w:r>
      <w:r w:rsidR="007B7640" w:rsidRPr="00CD59CC">
        <w:rPr>
          <w:rFonts w:ascii="Arial" w:hAnsi="Arial" w:cs="Arial"/>
          <w:bCs/>
        </w:rPr>
        <w:t xml:space="preserve"> </w:t>
      </w:r>
      <w:r w:rsidRPr="00CD59CC">
        <w:rPr>
          <w:rFonts w:ascii="Arial" w:hAnsi="Arial" w:cs="Arial"/>
          <w:bCs/>
        </w:rPr>
        <w:t>issues,</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following</w:t>
      </w:r>
      <w:r w:rsidR="007B7640" w:rsidRPr="00CD59CC">
        <w:rPr>
          <w:rFonts w:ascii="Arial" w:hAnsi="Arial" w:cs="Arial"/>
          <w:bCs/>
        </w:rPr>
        <w:t xml:space="preserve"> </w:t>
      </w:r>
      <w:r w:rsidRPr="00CD59CC">
        <w:rPr>
          <w:rFonts w:ascii="Arial" w:hAnsi="Arial" w:cs="Arial"/>
          <w:bCs/>
        </w:rPr>
        <w:t>can</w:t>
      </w:r>
      <w:r w:rsidR="007B7640" w:rsidRPr="00CD59CC">
        <w:rPr>
          <w:rFonts w:ascii="Arial" w:hAnsi="Arial" w:cs="Arial"/>
          <w:bCs/>
        </w:rPr>
        <w:t xml:space="preserve"> </w:t>
      </w:r>
      <w:r w:rsidRPr="00CD59CC">
        <w:rPr>
          <w:rFonts w:ascii="Arial" w:hAnsi="Arial" w:cs="Arial"/>
          <w:bCs/>
        </w:rPr>
        <w:t>be</w:t>
      </w:r>
      <w:r w:rsidR="007B7640" w:rsidRPr="00CD59CC">
        <w:rPr>
          <w:rFonts w:ascii="Arial" w:hAnsi="Arial" w:cs="Arial"/>
          <w:bCs/>
        </w:rPr>
        <w:t xml:space="preserve"> </w:t>
      </w:r>
      <w:r w:rsidRPr="00CD59CC">
        <w:rPr>
          <w:rFonts w:ascii="Arial" w:hAnsi="Arial" w:cs="Arial"/>
          <w:bCs/>
        </w:rPr>
        <w:t>said:</w:t>
      </w:r>
      <w:r w:rsidR="007B7640" w:rsidRPr="00CD59CC">
        <w:rPr>
          <w:rFonts w:ascii="Arial" w:hAnsi="Arial" w:cs="Arial"/>
          <w:bCs/>
        </w:rPr>
        <w:t xml:space="preserve"> </w:t>
      </w:r>
      <w:r w:rsidRPr="00CD59CC">
        <w:rPr>
          <w:rFonts w:ascii="Arial" w:hAnsi="Arial" w:cs="Arial"/>
          <w:bCs/>
        </w:rPr>
        <w:t>Article</w:t>
      </w:r>
      <w:r w:rsidR="007B7640" w:rsidRPr="00CD59CC">
        <w:rPr>
          <w:rFonts w:ascii="Arial" w:hAnsi="Arial" w:cs="Arial"/>
          <w:bCs/>
        </w:rPr>
        <w:t xml:space="preserve"> </w:t>
      </w:r>
      <w:r w:rsidRPr="00CD59CC">
        <w:rPr>
          <w:rFonts w:ascii="Arial" w:hAnsi="Arial" w:cs="Arial"/>
          <w:bCs/>
        </w:rPr>
        <w:t>4</w:t>
      </w:r>
      <w:r w:rsidR="007B7640" w:rsidRPr="00CD59CC">
        <w:rPr>
          <w:rFonts w:ascii="Arial" w:hAnsi="Arial" w:cs="Arial"/>
          <w:bCs/>
        </w:rPr>
        <w:t xml:space="preserve"> </w:t>
      </w:r>
      <w:r w:rsidRPr="00CD59CC">
        <w:rPr>
          <w:rFonts w:ascii="Arial" w:hAnsi="Arial" w:cs="Arial"/>
          <w:bCs/>
        </w:rPr>
        <w:t>(c)</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r w:rsidR="007B7640" w:rsidRPr="00CD59CC">
        <w:rPr>
          <w:rFonts w:ascii="Arial" w:hAnsi="Arial" w:cs="Arial"/>
          <w:bCs/>
        </w:rPr>
        <w:t xml:space="preserve"> </w:t>
      </w:r>
      <w:r w:rsidRPr="00CD59CC">
        <w:rPr>
          <w:rFonts w:ascii="Arial" w:hAnsi="Arial" w:cs="Arial"/>
          <w:bCs/>
        </w:rPr>
        <w:t>covers</w:t>
      </w:r>
      <w:r w:rsidR="007B7640" w:rsidRPr="00CD59CC">
        <w:rPr>
          <w:rFonts w:ascii="Arial" w:hAnsi="Arial" w:cs="Arial"/>
          <w:bCs/>
        </w:rPr>
        <w:t xml:space="preserve"> </w:t>
      </w:r>
      <w:r w:rsidRPr="00CD59CC">
        <w:rPr>
          <w:rFonts w:ascii="Arial" w:hAnsi="Arial" w:cs="Arial"/>
          <w:bCs/>
        </w:rPr>
        <w:t>public</w:t>
      </w:r>
      <w:r w:rsidR="007B7640" w:rsidRPr="00CD59CC">
        <w:rPr>
          <w:rFonts w:ascii="Arial" w:hAnsi="Arial" w:cs="Arial"/>
          <w:bCs/>
        </w:rPr>
        <w:t xml:space="preserve"> </w:t>
      </w:r>
      <w:r w:rsidRPr="00CD59CC">
        <w:rPr>
          <w:rFonts w:ascii="Arial" w:hAnsi="Arial" w:cs="Arial"/>
          <w:bCs/>
        </w:rPr>
        <w:t>authorities</w:t>
      </w:r>
      <w:r w:rsidR="007B7640" w:rsidRPr="00CD59CC">
        <w:rPr>
          <w:rFonts w:ascii="Arial" w:hAnsi="Arial" w:cs="Arial"/>
          <w:bCs/>
        </w:rPr>
        <w:t xml:space="preserve"> </w:t>
      </w:r>
      <w:r w:rsidRPr="00CD59CC">
        <w:rPr>
          <w:rFonts w:ascii="Arial" w:hAnsi="Arial" w:cs="Arial"/>
          <w:bCs/>
        </w:rPr>
        <w:t>without</w:t>
      </w:r>
      <w:r w:rsidR="007B7640" w:rsidRPr="00CD59CC">
        <w:rPr>
          <w:rFonts w:ascii="Arial" w:hAnsi="Arial" w:cs="Arial"/>
          <w:bCs/>
        </w:rPr>
        <w:t xml:space="preserve"> </w:t>
      </w:r>
      <w:r w:rsidRPr="00CD59CC">
        <w:rPr>
          <w:rFonts w:ascii="Arial" w:hAnsi="Arial" w:cs="Arial"/>
          <w:bCs/>
        </w:rPr>
        <w:t>a</w:t>
      </w:r>
      <w:r w:rsidR="007B7640" w:rsidRPr="00CD59CC">
        <w:rPr>
          <w:rFonts w:ascii="Arial" w:hAnsi="Arial" w:cs="Arial"/>
          <w:bCs/>
        </w:rPr>
        <w:t xml:space="preserve"> </w:t>
      </w:r>
      <w:r w:rsidRPr="00CD59CC">
        <w:rPr>
          <w:rFonts w:ascii="Arial" w:hAnsi="Arial" w:cs="Arial"/>
          <w:bCs/>
        </w:rPr>
        <w:t>territorial</w:t>
      </w:r>
      <w:r w:rsidR="007B7640" w:rsidRPr="00CD59CC">
        <w:rPr>
          <w:rFonts w:ascii="Arial" w:hAnsi="Arial" w:cs="Arial"/>
          <w:bCs/>
        </w:rPr>
        <w:t xml:space="preserve"> </w:t>
      </w:r>
      <w:r w:rsidRPr="00CD59CC">
        <w:rPr>
          <w:rFonts w:ascii="Arial" w:hAnsi="Arial" w:cs="Arial"/>
          <w:bCs/>
        </w:rPr>
        <w:t>limitation.</w:t>
      </w:r>
      <w:r w:rsidR="007B7640" w:rsidRPr="00CD59CC">
        <w:rPr>
          <w:rFonts w:ascii="Arial" w:hAnsi="Arial" w:cs="Arial"/>
          <w:bCs/>
        </w:rPr>
        <w:t xml:space="preserve"> </w:t>
      </w:r>
      <w:r w:rsidRPr="00CD59CC">
        <w:rPr>
          <w:rFonts w:ascii="Arial" w:hAnsi="Arial" w:cs="Arial"/>
          <w:bCs/>
        </w:rPr>
        <w:t>It</w:t>
      </w:r>
      <w:r w:rsidR="007B7640" w:rsidRPr="00CD59CC">
        <w:rPr>
          <w:rFonts w:ascii="Arial" w:hAnsi="Arial" w:cs="Arial"/>
          <w:bCs/>
        </w:rPr>
        <w:t xml:space="preserve"> </w:t>
      </w:r>
      <w:r w:rsidRPr="00CD59CC">
        <w:rPr>
          <w:rFonts w:ascii="Arial" w:hAnsi="Arial" w:cs="Arial"/>
          <w:bCs/>
        </w:rPr>
        <w:t>is</w:t>
      </w:r>
      <w:r w:rsidR="007B7640" w:rsidRPr="00CD59CC">
        <w:rPr>
          <w:rFonts w:ascii="Arial" w:hAnsi="Arial" w:cs="Arial"/>
          <w:bCs/>
        </w:rPr>
        <w:t xml:space="preserve"> </w:t>
      </w:r>
      <w:r w:rsidRPr="00CD59CC">
        <w:rPr>
          <w:rFonts w:ascii="Arial" w:hAnsi="Arial" w:cs="Arial"/>
          <w:bCs/>
        </w:rPr>
        <w:t>therefore</w:t>
      </w:r>
      <w:r w:rsidR="007B7640" w:rsidRPr="00CD59CC">
        <w:rPr>
          <w:rFonts w:ascii="Arial" w:hAnsi="Arial" w:cs="Arial"/>
          <w:bCs/>
        </w:rPr>
        <w:t xml:space="preserve"> </w:t>
      </w:r>
      <w:r w:rsidRPr="00CD59CC">
        <w:rPr>
          <w:rFonts w:ascii="Arial" w:hAnsi="Arial" w:cs="Arial"/>
          <w:bCs/>
        </w:rPr>
        <w:t>argued</w:t>
      </w:r>
      <w:r w:rsidR="007B7640" w:rsidRPr="00CD59CC">
        <w:rPr>
          <w:rFonts w:ascii="Arial" w:hAnsi="Arial" w:cs="Arial"/>
          <w:bCs/>
        </w:rPr>
        <w:t xml:space="preserve"> </w:t>
      </w:r>
      <w:r w:rsidRPr="00CD59CC">
        <w:rPr>
          <w:rFonts w:ascii="Arial" w:hAnsi="Arial" w:cs="Arial"/>
          <w:bCs/>
        </w:rPr>
        <w:t>that</w:t>
      </w:r>
      <w:r w:rsidR="007B7640" w:rsidRPr="00CD59CC">
        <w:rPr>
          <w:rFonts w:ascii="Arial" w:hAnsi="Arial" w:cs="Arial"/>
          <w:bCs/>
        </w:rPr>
        <w:t xml:space="preserve"> </w:t>
      </w:r>
      <w:r w:rsidRPr="00CD59CC">
        <w:rPr>
          <w:rFonts w:ascii="Arial" w:hAnsi="Arial" w:cs="Arial"/>
          <w:bCs/>
        </w:rPr>
        <w:t>domestic</w:t>
      </w:r>
      <w:r w:rsidR="007B7640" w:rsidRPr="00CD59CC">
        <w:rPr>
          <w:rFonts w:ascii="Arial" w:hAnsi="Arial" w:cs="Arial"/>
          <w:bCs/>
        </w:rPr>
        <w:t xml:space="preserve"> </w:t>
      </w:r>
      <w:r w:rsidRPr="00CD59CC">
        <w:rPr>
          <w:rFonts w:ascii="Arial" w:hAnsi="Arial" w:cs="Arial"/>
          <w:bCs/>
        </w:rPr>
        <w:t>legislation</w:t>
      </w:r>
      <w:r w:rsidR="007B7640" w:rsidRPr="00CD59CC">
        <w:rPr>
          <w:rFonts w:ascii="Arial" w:hAnsi="Arial" w:cs="Arial"/>
          <w:bCs/>
        </w:rPr>
        <w:t xml:space="preserve"> </w:t>
      </w:r>
      <w:r w:rsidRPr="00CD59CC">
        <w:rPr>
          <w:rFonts w:ascii="Arial" w:hAnsi="Arial" w:cs="Arial"/>
          <w:bCs/>
        </w:rPr>
        <w:t>covers</w:t>
      </w:r>
      <w:r w:rsidR="007B7640" w:rsidRPr="00CD59CC">
        <w:rPr>
          <w:rFonts w:ascii="Arial" w:hAnsi="Arial" w:cs="Arial"/>
          <w:bCs/>
        </w:rPr>
        <w:t xml:space="preserve"> </w:t>
      </w:r>
      <w:r w:rsidRPr="00CD59CC">
        <w:rPr>
          <w:rFonts w:ascii="Arial" w:hAnsi="Arial" w:cs="Arial"/>
          <w:bCs/>
        </w:rPr>
        <w:t>immigration</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decisions</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practices</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immigration</w:t>
      </w:r>
      <w:r w:rsidR="007B7640" w:rsidRPr="00CD59CC">
        <w:rPr>
          <w:rFonts w:ascii="Arial" w:hAnsi="Arial" w:cs="Arial"/>
          <w:bCs/>
        </w:rPr>
        <w:t xml:space="preserve"> </w:t>
      </w:r>
      <w:r w:rsidRPr="00CD59CC">
        <w:rPr>
          <w:rFonts w:ascii="Arial" w:hAnsi="Arial" w:cs="Arial"/>
          <w:bCs/>
        </w:rPr>
        <w:t>authorities</w:t>
      </w:r>
      <w:r w:rsidR="007B7640" w:rsidRPr="00CD59CC">
        <w:rPr>
          <w:rFonts w:ascii="Arial" w:hAnsi="Arial" w:cs="Arial"/>
          <w:bCs/>
        </w:rPr>
        <w:t xml:space="preserve"> </w:t>
      </w:r>
      <w:r w:rsidRPr="00CD59CC">
        <w:rPr>
          <w:rFonts w:ascii="Arial" w:hAnsi="Arial" w:cs="Arial"/>
          <w:bCs/>
        </w:rPr>
        <w:t>as</w:t>
      </w:r>
      <w:r w:rsidR="007B7640" w:rsidRPr="00CD59CC">
        <w:rPr>
          <w:rFonts w:ascii="Arial" w:hAnsi="Arial" w:cs="Arial"/>
          <w:bCs/>
        </w:rPr>
        <w:t xml:space="preserve"> </w:t>
      </w:r>
      <w:r w:rsidRPr="00CD59CC">
        <w:rPr>
          <w:rFonts w:ascii="Arial" w:hAnsi="Arial" w:cs="Arial"/>
          <w:bCs/>
        </w:rPr>
        <w:t>well.</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Equal</w:t>
      </w:r>
      <w:r w:rsidR="007B7640" w:rsidRPr="00CD59CC">
        <w:rPr>
          <w:rFonts w:ascii="Arial" w:hAnsi="Arial" w:cs="Arial"/>
          <w:bCs/>
        </w:rPr>
        <w:t xml:space="preserve"> </w:t>
      </w:r>
      <w:r w:rsidRPr="00CD59CC">
        <w:rPr>
          <w:rFonts w:ascii="Arial" w:hAnsi="Arial" w:cs="Arial"/>
          <w:bCs/>
        </w:rPr>
        <w:t>Treatment</w:t>
      </w:r>
      <w:r w:rsidR="007B7640" w:rsidRPr="00CD59CC">
        <w:rPr>
          <w:rFonts w:ascii="Arial" w:hAnsi="Arial" w:cs="Arial"/>
          <w:bCs/>
        </w:rPr>
        <w:t xml:space="preserve"> </w:t>
      </w:r>
      <w:r w:rsidRPr="00CD59CC">
        <w:rPr>
          <w:rFonts w:ascii="Arial" w:hAnsi="Arial" w:cs="Arial"/>
          <w:bCs/>
        </w:rPr>
        <w:t>Authority</w:t>
      </w:r>
      <w:r w:rsidR="007B7640" w:rsidRPr="00CD59CC">
        <w:rPr>
          <w:rFonts w:ascii="Arial" w:hAnsi="Arial" w:cs="Arial"/>
          <w:bCs/>
        </w:rPr>
        <w:t xml:space="preserve"> </w:t>
      </w:r>
      <w:r w:rsidRPr="00CD59CC">
        <w:rPr>
          <w:rFonts w:ascii="Arial" w:hAnsi="Arial" w:cs="Arial"/>
          <w:bCs/>
        </w:rPr>
        <w:t>investigated</w:t>
      </w:r>
      <w:r w:rsidR="007B7640" w:rsidRPr="00CD59CC">
        <w:rPr>
          <w:rFonts w:ascii="Arial" w:hAnsi="Arial" w:cs="Arial"/>
          <w:bCs/>
        </w:rPr>
        <w:t xml:space="preserve"> </w:t>
      </w:r>
      <w:r w:rsidRPr="00CD59CC">
        <w:rPr>
          <w:rFonts w:ascii="Arial" w:hAnsi="Arial" w:cs="Arial"/>
          <w:bCs/>
        </w:rPr>
        <w:t>a</w:t>
      </w:r>
      <w:r w:rsidR="007B7640" w:rsidRPr="00CD59CC">
        <w:rPr>
          <w:rFonts w:ascii="Arial" w:hAnsi="Arial" w:cs="Arial"/>
          <w:bCs/>
        </w:rPr>
        <w:t xml:space="preserve"> </w:t>
      </w:r>
      <w:r w:rsidRPr="00CD59CC">
        <w:rPr>
          <w:rFonts w:ascii="Arial" w:hAnsi="Arial" w:cs="Arial"/>
          <w:bCs/>
        </w:rPr>
        <w:t>case</w:t>
      </w:r>
      <w:r w:rsidR="007B7640" w:rsidRPr="00CD59CC">
        <w:rPr>
          <w:rFonts w:ascii="Arial" w:hAnsi="Arial" w:cs="Arial"/>
          <w:bCs/>
        </w:rPr>
        <w:t xml:space="preserve"> </w:t>
      </w:r>
      <w:r w:rsidRPr="00CD59CC">
        <w:rPr>
          <w:rFonts w:ascii="Arial" w:hAnsi="Arial" w:cs="Arial"/>
          <w:bCs/>
        </w:rPr>
        <w:t>relating</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immigration,</w:t>
      </w:r>
      <w:r w:rsidR="007B7640" w:rsidRPr="00CD59CC">
        <w:rPr>
          <w:rFonts w:ascii="Arial" w:hAnsi="Arial" w:cs="Arial"/>
          <w:bCs/>
        </w:rPr>
        <w:t xml:space="preserve"> </w:t>
      </w:r>
      <w:r w:rsidRPr="00CD59CC">
        <w:rPr>
          <w:rFonts w:ascii="Arial" w:hAnsi="Arial" w:cs="Arial"/>
          <w:bCs/>
        </w:rPr>
        <w:t>whereby</w:t>
      </w:r>
      <w:r w:rsidR="007B7640" w:rsidRPr="00CD59CC">
        <w:rPr>
          <w:rFonts w:ascii="Arial" w:hAnsi="Arial" w:cs="Arial"/>
          <w:bCs/>
        </w:rPr>
        <w:t xml:space="preserve"> </w:t>
      </w:r>
      <w:r w:rsidRPr="00CD59CC">
        <w:rPr>
          <w:rFonts w:ascii="Arial" w:hAnsi="Arial" w:cs="Arial"/>
          <w:bCs/>
        </w:rPr>
        <w:t>a</w:t>
      </w:r>
      <w:r w:rsidR="007B7640" w:rsidRPr="00CD59CC">
        <w:rPr>
          <w:rFonts w:ascii="Arial" w:hAnsi="Arial" w:cs="Arial"/>
          <w:bCs/>
        </w:rPr>
        <w:t xml:space="preserve"> </w:t>
      </w:r>
      <w:r w:rsidRPr="00CD59CC">
        <w:rPr>
          <w:rFonts w:ascii="Arial" w:hAnsi="Arial" w:cs="Arial"/>
          <w:bCs/>
        </w:rPr>
        <w:t>man</w:t>
      </w:r>
      <w:r w:rsidR="007B7640" w:rsidRPr="00CD59CC">
        <w:rPr>
          <w:rFonts w:ascii="Arial" w:hAnsi="Arial" w:cs="Arial"/>
          <w:bCs/>
        </w:rPr>
        <w:t xml:space="preserve"> </w:t>
      </w:r>
      <w:r w:rsidRPr="00CD59CC">
        <w:rPr>
          <w:rFonts w:ascii="Arial" w:hAnsi="Arial" w:cs="Arial"/>
          <w:bCs/>
        </w:rPr>
        <w:t>living</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same</w:t>
      </w:r>
      <w:r w:rsidR="007B7640" w:rsidRPr="00CD59CC">
        <w:rPr>
          <w:rFonts w:ascii="Arial" w:hAnsi="Arial" w:cs="Arial"/>
          <w:bCs/>
        </w:rPr>
        <w:t xml:space="preserve"> </w:t>
      </w:r>
      <w:r w:rsidRPr="00CD59CC">
        <w:rPr>
          <w:rFonts w:ascii="Arial" w:hAnsi="Arial" w:cs="Arial"/>
          <w:bCs/>
        </w:rPr>
        <w:t>sex</w:t>
      </w:r>
      <w:r w:rsidR="007B7640" w:rsidRPr="00CD59CC">
        <w:rPr>
          <w:rFonts w:ascii="Arial" w:hAnsi="Arial" w:cs="Arial"/>
          <w:bCs/>
        </w:rPr>
        <w:t xml:space="preserve"> </w:t>
      </w:r>
      <w:r w:rsidRPr="00CD59CC">
        <w:rPr>
          <w:rFonts w:ascii="Arial" w:hAnsi="Arial" w:cs="Arial"/>
          <w:bCs/>
        </w:rPr>
        <w:t>partnership</w:t>
      </w:r>
      <w:r w:rsidR="007B7640" w:rsidRPr="00CD59CC">
        <w:rPr>
          <w:rFonts w:ascii="Arial" w:hAnsi="Arial" w:cs="Arial"/>
          <w:bCs/>
        </w:rPr>
        <w:t xml:space="preserve"> </w:t>
      </w:r>
      <w:r w:rsidRPr="00CD59CC">
        <w:rPr>
          <w:rFonts w:ascii="Arial" w:hAnsi="Arial" w:cs="Arial"/>
          <w:bCs/>
        </w:rPr>
        <w:t>alleged</w:t>
      </w:r>
      <w:r w:rsidR="007B7640" w:rsidRPr="00CD59CC">
        <w:rPr>
          <w:rFonts w:ascii="Arial" w:hAnsi="Arial" w:cs="Arial"/>
          <w:bCs/>
        </w:rPr>
        <w:t xml:space="preserve"> </w:t>
      </w:r>
      <w:r w:rsidRPr="00CD59CC">
        <w:rPr>
          <w:rFonts w:ascii="Arial" w:hAnsi="Arial" w:cs="Arial"/>
          <w:bCs/>
        </w:rPr>
        <w:t>discrimination</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comparison</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heterosexual</w:t>
      </w:r>
      <w:r w:rsidR="007B7640" w:rsidRPr="00CD59CC">
        <w:rPr>
          <w:rFonts w:ascii="Arial" w:hAnsi="Arial" w:cs="Arial"/>
          <w:bCs/>
        </w:rPr>
        <w:t xml:space="preserve"> </w:t>
      </w:r>
      <w:r w:rsidRPr="00CD59CC">
        <w:rPr>
          <w:rFonts w:ascii="Arial" w:hAnsi="Arial" w:cs="Arial"/>
          <w:bCs/>
        </w:rPr>
        <w:t>partners</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relation</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granting</w:t>
      </w:r>
      <w:r w:rsidR="007B7640" w:rsidRPr="00CD59CC">
        <w:rPr>
          <w:rFonts w:ascii="Arial" w:hAnsi="Arial" w:cs="Arial"/>
          <w:bCs/>
        </w:rPr>
        <w:t xml:space="preserve"> </w:t>
      </w:r>
      <w:r w:rsidRPr="00CD59CC">
        <w:rPr>
          <w:rFonts w:ascii="Arial" w:hAnsi="Arial" w:cs="Arial"/>
          <w:bCs/>
        </w:rPr>
        <w:t>long</w:t>
      </w:r>
      <w:r w:rsidR="007B7640" w:rsidRPr="00CD59CC">
        <w:rPr>
          <w:rFonts w:ascii="Arial" w:hAnsi="Arial" w:cs="Arial"/>
          <w:bCs/>
        </w:rPr>
        <w:t xml:space="preserve"> </w:t>
      </w:r>
      <w:r w:rsidRPr="00CD59CC">
        <w:rPr>
          <w:rFonts w:ascii="Arial" w:hAnsi="Arial" w:cs="Arial"/>
          <w:bCs/>
        </w:rPr>
        <w:t>term</w:t>
      </w:r>
      <w:r w:rsidR="007B7640" w:rsidRPr="00CD59CC">
        <w:rPr>
          <w:rFonts w:ascii="Arial" w:hAnsi="Arial" w:cs="Arial"/>
          <w:bCs/>
        </w:rPr>
        <w:t xml:space="preserve"> </w:t>
      </w:r>
      <w:r w:rsidRPr="00CD59CC">
        <w:rPr>
          <w:rFonts w:ascii="Arial" w:hAnsi="Arial" w:cs="Arial"/>
          <w:bCs/>
        </w:rPr>
        <w:t>residence</w:t>
      </w:r>
      <w:r w:rsidR="007B7640" w:rsidRPr="00CD59CC">
        <w:rPr>
          <w:rFonts w:ascii="Arial" w:hAnsi="Arial" w:cs="Arial"/>
          <w:bCs/>
        </w:rPr>
        <w:t xml:space="preserve"> </w:t>
      </w:r>
      <w:r w:rsidRPr="00CD59CC">
        <w:rPr>
          <w:rFonts w:ascii="Arial" w:hAnsi="Arial" w:cs="Arial"/>
          <w:bCs/>
        </w:rPr>
        <w:t>permits</w:t>
      </w:r>
      <w:r w:rsidR="007B7640" w:rsidRPr="00CD59CC">
        <w:rPr>
          <w:rFonts w:ascii="Arial" w:hAnsi="Arial" w:cs="Arial"/>
          <w:bCs/>
        </w:rPr>
        <w:t xml:space="preserve"> </w:t>
      </w:r>
      <w:r w:rsidRPr="00CD59CC">
        <w:rPr>
          <w:rFonts w:ascii="Arial" w:hAnsi="Arial" w:cs="Arial"/>
          <w:bCs/>
        </w:rPr>
        <w:t>(</w:t>
      </w:r>
      <w:r w:rsidRPr="00CD59CC">
        <w:rPr>
          <w:rFonts w:ascii="Arial" w:hAnsi="Arial" w:cs="Arial"/>
          <w:bCs/>
          <w:i/>
          <w:iCs/>
        </w:rPr>
        <w:t>letelepedési</w:t>
      </w:r>
      <w:r w:rsidR="007B7640" w:rsidRPr="00CD59CC">
        <w:rPr>
          <w:rFonts w:ascii="Arial" w:hAnsi="Arial" w:cs="Arial"/>
          <w:bCs/>
          <w:i/>
          <w:iCs/>
        </w:rPr>
        <w:t xml:space="preserve"> </w:t>
      </w:r>
      <w:r w:rsidRPr="00CD59CC">
        <w:rPr>
          <w:rFonts w:ascii="Arial" w:hAnsi="Arial" w:cs="Arial"/>
          <w:bCs/>
          <w:i/>
          <w:iCs/>
        </w:rPr>
        <w:t>engedély</w:t>
      </w:r>
      <w:r w:rsidRPr="00CD59CC">
        <w:rPr>
          <w:rFonts w:ascii="Arial" w:hAnsi="Arial" w:cs="Arial"/>
          <w:bCs/>
        </w:rPr>
        <w:t>).</w:t>
      </w:r>
      <w:r w:rsidR="007B7640" w:rsidRPr="00CD59CC">
        <w:rPr>
          <w:rFonts w:ascii="Arial" w:hAnsi="Arial" w:cs="Arial"/>
          <w:bCs/>
        </w:rPr>
        <w:t xml:space="preserve"> </w:t>
      </w:r>
      <w:r w:rsidRPr="00CD59CC">
        <w:rPr>
          <w:rFonts w:ascii="Arial" w:hAnsi="Arial" w:cs="Arial"/>
          <w:bCs/>
        </w:rPr>
        <w:t>No</w:t>
      </w:r>
      <w:r w:rsidR="007B7640" w:rsidRPr="00CD59CC">
        <w:rPr>
          <w:rFonts w:ascii="Arial" w:hAnsi="Arial" w:cs="Arial"/>
          <w:bCs/>
        </w:rPr>
        <w:t xml:space="preserve"> </w:t>
      </w:r>
      <w:r w:rsidRPr="00CD59CC">
        <w:rPr>
          <w:rFonts w:ascii="Arial" w:hAnsi="Arial" w:cs="Arial"/>
          <w:bCs/>
        </w:rPr>
        <w:t>violation</w:t>
      </w:r>
      <w:r w:rsidR="007B7640" w:rsidRPr="00CD59CC">
        <w:rPr>
          <w:rFonts w:ascii="Arial" w:hAnsi="Arial" w:cs="Arial"/>
          <w:bCs/>
        </w:rPr>
        <w:t xml:space="preserve"> </w:t>
      </w:r>
      <w:r w:rsidRPr="00CD59CC">
        <w:rPr>
          <w:rFonts w:ascii="Arial" w:hAnsi="Arial" w:cs="Arial"/>
          <w:bCs/>
        </w:rPr>
        <w:t>was</w:t>
      </w:r>
      <w:r w:rsidR="007B7640" w:rsidRPr="00CD59CC">
        <w:rPr>
          <w:rFonts w:ascii="Arial" w:hAnsi="Arial" w:cs="Arial"/>
          <w:bCs/>
        </w:rPr>
        <w:t xml:space="preserve"> </w:t>
      </w:r>
      <w:r w:rsidRPr="00CD59CC">
        <w:rPr>
          <w:rFonts w:ascii="Arial" w:hAnsi="Arial" w:cs="Arial"/>
          <w:bCs/>
        </w:rPr>
        <w:t>found</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case</w:t>
      </w:r>
      <w:r w:rsidR="007B7640" w:rsidRPr="00CD59CC">
        <w:rPr>
          <w:rFonts w:ascii="Arial" w:hAnsi="Arial" w:cs="Arial"/>
          <w:bCs/>
        </w:rPr>
        <w:t xml:space="preserve"> </w:t>
      </w:r>
      <w:r w:rsidRPr="00CD59CC">
        <w:rPr>
          <w:rFonts w:ascii="Arial" w:hAnsi="Arial" w:cs="Arial"/>
          <w:bCs/>
        </w:rPr>
        <w:t>on</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basis</w:t>
      </w:r>
      <w:r w:rsidR="007B7640" w:rsidRPr="00CD59CC">
        <w:rPr>
          <w:rFonts w:ascii="Arial" w:hAnsi="Arial" w:cs="Arial"/>
          <w:bCs/>
        </w:rPr>
        <w:t xml:space="preserve"> </w:t>
      </w:r>
      <w:r w:rsidRPr="00CD59CC">
        <w:rPr>
          <w:rFonts w:ascii="Arial" w:hAnsi="Arial" w:cs="Arial"/>
          <w:bCs/>
        </w:rPr>
        <w:t>that</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permit</w:t>
      </w:r>
      <w:r w:rsidR="007B7640" w:rsidRPr="00CD59CC">
        <w:rPr>
          <w:rFonts w:ascii="Arial" w:hAnsi="Arial" w:cs="Arial"/>
          <w:bCs/>
        </w:rPr>
        <w:t xml:space="preserve"> </w:t>
      </w:r>
      <w:r w:rsidRPr="00CD59CC">
        <w:rPr>
          <w:rFonts w:ascii="Arial" w:hAnsi="Arial" w:cs="Arial"/>
          <w:bCs/>
        </w:rPr>
        <w:t>was</w:t>
      </w:r>
      <w:r w:rsidR="007B7640" w:rsidRPr="00CD59CC">
        <w:rPr>
          <w:rFonts w:ascii="Arial" w:hAnsi="Arial" w:cs="Arial"/>
          <w:bCs/>
        </w:rPr>
        <w:t xml:space="preserve"> </w:t>
      </w:r>
      <w:r w:rsidRPr="00CD59CC">
        <w:rPr>
          <w:rFonts w:ascii="Arial" w:hAnsi="Arial" w:cs="Arial"/>
          <w:bCs/>
        </w:rPr>
        <w:t>rejected,</w:t>
      </w:r>
      <w:r w:rsidR="007B7640" w:rsidRPr="00CD59CC">
        <w:rPr>
          <w:rFonts w:ascii="Arial" w:hAnsi="Arial" w:cs="Arial"/>
          <w:bCs/>
        </w:rPr>
        <w:t xml:space="preserve"> </w:t>
      </w:r>
      <w:r w:rsidRPr="00CD59CC">
        <w:rPr>
          <w:rFonts w:ascii="Arial" w:hAnsi="Arial" w:cs="Arial"/>
          <w:bCs/>
        </w:rPr>
        <w:t>because</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applicant</w:t>
      </w:r>
      <w:r w:rsidR="007B7640" w:rsidRPr="00CD59CC">
        <w:rPr>
          <w:rFonts w:ascii="Arial" w:hAnsi="Arial" w:cs="Arial"/>
          <w:bCs/>
        </w:rPr>
        <w:t xml:space="preserve"> </w:t>
      </w:r>
      <w:r w:rsidRPr="00CD59CC">
        <w:rPr>
          <w:rFonts w:ascii="Arial" w:hAnsi="Arial" w:cs="Arial"/>
          <w:bCs/>
        </w:rPr>
        <w:t>lacked</w:t>
      </w:r>
      <w:r w:rsidR="007B7640" w:rsidRPr="00CD59CC">
        <w:rPr>
          <w:rFonts w:ascii="Arial" w:hAnsi="Arial" w:cs="Arial"/>
          <w:bCs/>
        </w:rPr>
        <w:t xml:space="preserve"> </w:t>
      </w:r>
      <w:r w:rsidRPr="00CD59CC">
        <w:rPr>
          <w:rFonts w:ascii="Arial" w:hAnsi="Arial" w:cs="Arial"/>
          <w:bCs/>
        </w:rPr>
        <w:t>sufficient</w:t>
      </w:r>
      <w:r w:rsidR="007B7640" w:rsidRPr="00CD59CC">
        <w:rPr>
          <w:rFonts w:ascii="Arial" w:hAnsi="Arial" w:cs="Arial"/>
          <w:bCs/>
        </w:rPr>
        <w:t xml:space="preserve"> </w:t>
      </w:r>
      <w:r w:rsidRPr="00CD59CC">
        <w:rPr>
          <w:rFonts w:ascii="Arial" w:hAnsi="Arial" w:cs="Arial"/>
          <w:bCs/>
        </w:rPr>
        <w:t>financial</w:t>
      </w:r>
      <w:r w:rsidR="007B7640" w:rsidRPr="00CD59CC">
        <w:rPr>
          <w:rFonts w:ascii="Arial" w:hAnsi="Arial" w:cs="Arial"/>
          <w:bCs/>
        </w:rPr>
        <w:t xml:space="preserve"> </w:t>
      </w:r>
      <w:r w:rsidRPr="00CD59CC">
        <w:rPr>
          <w:rFonts w:ascii="Arial" w:hAnsi="Arial" w:cs="Arial"/>
          <w:bCs/>
        </w:rPr>
        <w:t>resources</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that</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immigration</w:t>
      </w:r>
      <w:r w:rsidR="007B7640" w:rsidRPr="00CD59CC">
        <w:rPr>
          <w:rFonts w:ascii="Arial" w:hAnsi="Arial" w:cs="Arial"/>
          <w:bCs/>
        </w:rPr>
        <w:t xml:space="preserve"> </w:t>
      </w:r>
      <w:r w:rsidRPr="00CD59CC">
        <w:rPr>
          <w:rFonts w:ascii="Arial" w:hAnsi="Arial" w:cs="Arial"/>
          <w:bCs/>
        </w:rPr>
        <w:t>authority</w:t>
      </w:r>
      <w:r w:rsidR="007B7640" w:rsidRPr="00CD59CC">
        <w:rPr>
          <w:rFonts w:ascii="Arial" w:hAnsi="Arial" w:cs="Arial"/>
          <w:bCs/>
        </w:rPr>
        <w:t xml:space="preserve"> </w:t>
      </w:r>
      <w:r w:rsidRPr="00CD59CC">
        <w:rPr>
          <w:rFonts w:ascii="Arial" w:hAnsi="Arial" w:cs="Arial"/>
          <w:bCs/>
        </w:rPr>
        <w:t>required</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same</w:t>
      </w:r>
      <w:r w:rsidR="007B7640" w:rsidRPr="00CD59CC">
        <w:rPr>
          <w:rFonts w:ascii="Arial" w:hAnsi="Arial" w:cs="Arial"/>
          <w:bCs/>
        </w:rPr>
        <w:t xml:space="preserve"> </w:t>
      </w:r>
      <w:r w:rsidRPr="00CD59CC">
        <w:rPr>
          <w:rFonts w:ascii="Arial" w:hAnsi="Arial" w:cs="Arial"/>
          <w:bCs/>
        </w:rPr>
        <w:t>amount</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income</w:t>
      </w:r>
      <w:r w:rsidR="007B7640" w:rsidRPr="00CD59CC">
        <w:rPr>
          <w:rFonts w:ascii="Arial" w:hAnsi="Arial" w:cs="Arial"/>
          <w:bCs/>
        </w:rPr>
        <w:t xml:space="preserve"> </w:t>
      </w:r>
      <w:r w:rsidRPr="00CD59CC">
        <w:rPr>
          <w:rFonts w:ascii="Arial" w:hAnsi="Arial" w:cs="Arial"/>
          <w:bCs/>
        </w:rPr>
        <w:t>for</w:t>
      </w:r>
      <w:r w:rsidR="007B7640" w:rsidRPr="00CD59CC">
        <w:rPr>
          <w:rFonts w:ascii="Arial" w:hAnsi="Arial" w:cs="Arial"/>
          <w:bCs/>
        </w:rPr>
        <w:t xml:space="preserve"> </w:t>
      </w:r>
      <w:r w:rsidRPr="00CD59CC">
        <w:rPr>
          <w:rFonts w:ascii="Arial" w:hAnsi="Arial" w:cs="Arial"/>
          <w:bCs/>
        </w:rPr>
        <w:t>this</w:t>
      </w:r>
      <w:r w:rsidR="007B7640" w:rsidRPr="00CD59CC">
        <w:rPr>
          <w:rFonts w:ascii="Arial" w:hAnsi="Arial" w:cs="Arial"/>
          <w:bCs/>
        </w:rPr>
        <w:t xml:space="preserve"> </w:t>
      </w:r>
      <w:r w:rsidRPr="00CD59CC">
        <w:rPr>
          <w:rFonts w:ascii="Arial" w:hAnsi="Arial" w:cs="Arial"/>
          <w:bCs/>
        </w:rPr>
        <w:t>condition</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be</w:t>
      </w:r>
      <w:r w:rsidR="007B7640" w:rsidRPr="00CD59CC">
        <w:rPr>
          <w:rFonts w:ascii="Arial" w:hAnsi="Arial" w:cs="Arial"/>
          <w:bCs/>
        </w:rPr>
        <w:t xml:space="preserve"> </w:t>
      </w:r>
      <w:r w:rsidRPr="00CD59CC">
        <w:rPr>
          <w:rFonts w:ascii="Arial" w:hAnsi="Arial" w:cs="Arial"/>
          <w:bCs/>
        </w:rPr>
        <w:t>filled</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case</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heterosexual</w:t>
      </w:r>
      <w:r w:rsidR="007B7640" w:rsidRPr="00CD59CC">
        <w:rPr>
          <w:rFonts w:ascii="Arial" w:hAnsi="Arial" w:cs="Arial"/>
          <w:bCs/>
        </w:rPr>
        <w:t xml:space="preserve"> </w:t>
      </w:r>
      <w:r w:rsidRPr="00CD59CC">
        <w:rPr>
          <w:rFonts w:ascii="Arial" w:hAnsi="Arial" w:cs="Arial"/>
          <w:bCs/>
        </w:rPr>
        <w:t>couples</w:t>
      </w:r>
      <w:r w:rsidR="007B7640" w:rsidRPr="00CD59CC">
        <w:rPr>
          <w:rFonts w:ascii="Arial" w:hAnsi="Arial" w:cs="Arial"/>
          <w:bCs/>
        </w:rPr>
        <w:t xml:space="preserve"> </w:t>
      </w:r>
      <w:r w:rsidRPr="00CD59CC">
        <w:rPr>
          <w:rFonts w:ascii="Arial" w:hAnsi="Arial" w:cs="Arial"/>
          <w:bCs/>
        </w:rPr>
        <w:t>as</w:t>
      </w:r>
      <w:r w:rsidR="007B7640" w:rsidRPr="00CD59CC">
        <w:rPr>
          <w:rFonts w:ascii="Arial" w:hAnsi="Arial" w:cs="Arial"/>
          <w:bCs/>
        </w:rPr>
        <w:t xml:space="preserve"> </w:t>
      </w:r>
      <w:r w:rsidRPr="00CD59CC">
        <w:rPr>
          <w:rFonts w:ascii="Arial" w:hAnsi="Arial" w:cs="Arial"/>
          <w:bCs/>
        </w:rPr>
        <w:t>well.</w:t>
      </w:r>
      <w:r w:rsidRPr="00CD59CC">
        <w:rPr>
          <w:rStyle w:val="FootnoteReference"/>
          <w:rFonts w:ascii="Arial" w:hAnsi="Arial" w:cs="Arial"/>
          <w:bCs/>
        </w:rPr>
        <w:footnoteReference w:id="65"/>
      </w:r>
      <w:r w:rsidR="007B7640" w:rsidRPr="00CD59CC">
        <w:rPr>
          <w:rFonts w:ascii="Arial" w:hAnsi="Arial" w:cs="Arial"/>
          <w:bCs/>
        </w:rPr>
        <w:t xml:space="preserve"> </w:t>
      </w:r>
      <w:r w:rsidRPr="00CD59CC">
        <w:rPr>
          <w:rFonts w:ascii="Arial" w:hAnsi="Arial" w:cs="Arial"/>
          <w:bCs/>
        </w:rPr>
        <w:t>(On</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issue</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nationality,</w:t>
      </w:r>
      <w:r w:rsidR="007B7640" w:rsidRPr="00CD59CC">
        <w:rPr>
          <w:rFonts w:ascii="Arial" w:hAnsi="Arial" w:cs="Arial"/>
          <w:bCs/>
        </w:rPr>
        <w:t xml:space="preserve"> </w:t>
      </w:r>
      <w:r w:rsidRPr="00CD59CC">
        <w:rPr>
          <w:rFonts w:ascii="Arial" w:hAnsi="Arial" w:cs="Arial"/>
          <w:bCs/>
        </w:rPr>
        <w:t>see</w:t>
      </w:r>
      <w:r w:rsidR="007B7640" w:rsidRPr="00CD59CC">
        <w:rPr>
          <w:rFonts w:ascii="Arial" w:hAnsi="Arial" w:cs="Arial"/>
          <w:bCs/>
        </w:rPr>
        <w:t xml:space="preserve"> </w:t>
      </w:r>
      <w:r w:rsidRPr="00CD59CC">
        <w:rPr>
          <w:rFonts w:ascii="Arial" w:hAnsi="Arial" w:cs="Arial"/>
          <w:bCs/>
        </w:rPr>
        <w:t>also</w:t>
      </w:r>
      <w:r w:rsidR="007B7640" w:rsidRPr="00CD59CC">
        <w:rPr>
          <w:rFonts w:ascii="Arial" w:hAnsi="Arial" w:cs="Arial"/>
          <w:bCs/>
        </w:rPr>
        <w:t xml:space="preserve"> </w:t>
      </w:r>
      <w:r w:rsidRPr="00CD59CC">
        <w:rPr>
          <w:rFonts w:ascii="Arial" w:hAnsi="Arial" w:cs="Arial"/>
          <w:bCs/>
        </w:rPr>
        <w:t>Section</w:t>
      </w:r>
      <w:r w:rsidR="007B7640" w:rsidRPr="00CD59CC">
        <w:rPr>
          <w:rFonts w:ascii="Arial" w:hAnsi="Arial" w:cs="Arial"/>
          <w:bCs/>
        </w:rPr>
        <w:t xml:space="preserve"> </w:t>
      </w:r>
      <w:r w:rsidRPr="00CD59CC">
        <w:rPr>
          <w:rFonts w:ascii="Arial" w:hAnsi="Arial" w:cs="Arial"/>
          <w:bCs/>
        </w:rPr>
        <w:t>4.4)</w:t>
      </w:r>
    </w:p>
    <w:p w14:paraId="5EF56BB6" w14:textId="77777777" w:rsidR="002F2A74" w:rsidRPr="00CD59CC" w:rsidRDefault="002F2A74" w:rsidP="00CD59CC">
      <w:pPr>
        <w:rPr>
          <w:rFonts w:ascii="Arial" w:hAnsi="Arial" w:cs="Arial"/>
        </w:rPr>
      </w:pPr>
    </w:p>
    <w:p w14:paraId="0832057B" w14:textId="77777777" w:rsidR="002B5BCD" w:rsidRPr="00CD59CC" w:rsidRDefault="002B5BCD" w:rsidP="00CD59CC">
      <w:pPr>
        <w:pStyle w:val="Heading3"/>
        <w:rPr>
          <w:rFonts w:cs="Arial"/>
        </w:rPr>
      </w:pPr>
      <w:bookmarkStart w:id="131" w:name="_Toc220221148"/>
      <w:bookmarkStart w:id="132" w:name="_Toc392758719"/>
      <w:bookmarkStart w:id="133" w:name="_Toc329163610"/>
      <w:bookmarkStart w:id="134" w:name="_Toc366846328"/>
      <w:r w:rsidRPr="00CD59CC">
        <w:rPr>
          <w:rFonts w:cs="Arial"/>
        </w:rPr>
        <w:t>Natural</w:t>
      </w:r>
      <w:r w:rsidR="007B7640" w:rsidRPr="00CD59CC">
        <w:rPr>
          <w:rFonts w:cs="Arial"/>
        </w:rPr>
        <w:t xml:space="preserve"> </w:t>
      </w:r>
      <w:r w:rsidRPr="00CD59CC">
        <w:rPr>
          <w:rFonts w:cs="Arial"/>
        </w:rPr>
        <w:t>persons</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legal</w:t>
      </w:r>
      <w:r w:rsidR="007B7640" w:rsidRPr="00CD59CC">
        <w:rPr>
          <w:rFonts w:cs="Arial"/>
        </w:rPr>
        <w:t xml:space="preserve"> </w:t>
      </w:r>
      <w:r w:rsidRPr="00CD59CC">
        <w:rPr>
          <w:rFonts w:cs="Arial"/>
        </w:rPr>
        <w:t>persons</w:t>
      </w:r>
      <w:r w:rsidR="007B7640" w:rsidRPr="00CD59CC">
        <w:rPr>
          <w:rFonts w:cs="Arial"/>
        </w:rPr>
        <w:t xml:space="preserve"> </w:t>
      </w:r>
      <w:r w:rsidRPr="00CD59CC">
        <w:rPr>
          <w:rFonts w:cs="Arial"/>
        </w:rPr>
        <w:t>(Recital</w:t>
      </w:r>
      <w:r w:rsidR="007B7640" w:rsidRPr="00CD59CC">
        <w:rPr>
          <w:rFonts w:cs="Arial"/>
        </w:rPr>
        <w:t xml:space="preserve"> </w:t>
      </w:r>
      <w:r w:rsidRPr="00CD59CC">
        <w:rPr>
          <w:rFonts w:cs="Arial"/>
        </w:rPr>
        <w:t>16</w:t>
      </w:r>
      <w:r w:rsidR="007B7640" w:rsidRPr="00CD59CC">
        <w:rPr>
          <w:rFonts w:cs="Arial"/>
        </w:rPr>
        <w:t xml:space="preserve"> </w:t>
      </w:r>
      <w:r w:rsidRPr="00CD59CC">
        <w:rPr>
          <w:rFonts w:cs="Arial"/>
        </w:rPr>
        <w:t>Directive</w:t>
      </w:r>
      <w:r w:rsidR="007B7640" w:rsidRPr="00CD59CC">
        <w:rPr>
          <w:rFonts w:cs="Arial"/>
        </w:rPr>
        <w:t xml:space="preserve"> </w:t>
      </w:r>
      <w:r w:rsidRPr="00CD59CC">
        <w:rPr>
          <w:rFonts w:cs="Arial"/>
        </w:rPr>
        <w:t>2000/43)</w:t>
      </w:r>
      <w:bookmarkEnd w:id="131"/>
      <w:bookmarkEnd w:id="132"/>
      <w:bookmarkEnd w:id="133"/>
      <w:bookmarkEnd w:id="134"/>
    </w:p>
    <w:p w14:paraId="0208E36E" w14:textId="77777777" w:rsidR="002B5BCD" w:rsidRPr="00CD59CC" w:rsidRDefault="002B5BCD" w:rsidP="00CD59CC">
      <w:pPr>
        <w:rPr>
          <w:rFonts w:ascii="Arial" w:hAnsi="Arial" w:cs="Arial"/>
          <w:b/>
        </w:rPr>
      </w:pPr>
    </w:p>
    <w:p w14:paraId="2A0998BA" w14:textId="65E253B1" w:rsidR="002B5BCD" w:rsidRPr="00CD59CC" w:rsidRDefault="002B5BCD" w:rsidP="00CD59CC">
      <w:pPr>
        <w:pStyle w:val="ListParagraph"/>
        <w:numPr>
          <w:ilvl w:val="0"/>
          <w:numId w:val="29"/>
        </w:numPr>
        <w:tabs>
          <w:tab w:val="left" w:pos="567"/>
        </w:tabs>
        <w:ind w:left="567" w:hanging="567"/>
        <w:contextualSpacing/>
        <w:rPr>
          <w:rFonts w:ascii="Arial" w:hAnsi="Arial" w:cs="Arial"/>
          <w:i/>
        </w:rPr>
      </w:pP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distinguish</w:t>
      </w:r>
      <w:r w:rsidR="007B7640" w:rsidRPr="00CD59CC">
        <w:rPr>
          <w:rFonts w:ascii="Arial" w:hAnsi="Arial" w:cs="Arial"/>
          <w:i/>
        </w:rPr>
        <w:t xml:space="preserve"> </w:t>
      </w:r>
      <w:r w:rsidRPr="00CD59CC">
        <w:rPr>
          <w:rFonts w:ascii="Arial" w:hAnsi="Arial" w:cs="Arial"/>
          <w:i/>
        </w:rPr>
        <w:t>between</w:t>
      </w:r>
      <w:r w:rsidR="007B7640" w:rsidRPr="00CD59CC">
        <w:rPr>
          <w:rFonts w:ascii="Arial" w:hAnsi="Arial" w:cs="Arial"/>
          <w:i/>
        </w:rPr>
        <w:t xml:space="preserve"> </w:t>
      </w:r>
      <w:r w:rsidRPr="00CD59CC">
        <w:rPr>
          <w:rFonts w:ascii="Arial" w:hAnsi="Arial" w:cs="Arial"/>
          <w:i/>
        </w:rPr>
        <w:t>natural</w:t>
      </w:r>
      <w:r w:rsidR="007B7640" w:rsidRPr="00CD59CC">
        <w:rPr>
          <w:rFonts w:ascii="Arial" w:hAnsi="Arial" w:cs="Arial"/>
          <w:i/>
        </w:rPr>
        <w:t xml:space="preserve"> </w:t>
      </w:r>
      <w:r w:rsidRPr="00CD59CC">
        <w:rPr>
          <w:rFonts w:ascii="Arial" w:hAnsi="Arial" w:cs="Arial"/>
          <w:i/>
        </w:rPr>
        <w:t>persons</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legal</w:t>
      </w:r>
      <w:r w:rsidR="007B7640" w:rsidRPr="00CD59CC">
        <w:rPr>
          <w:rFonts w:ascii="Arial" w:hAnsi="Arial" w:cs="Arial"/>
          <w:i/>
        </w:rPr>
        <w:t xml:space="preserve"> </w:t>
      </w:r>
      <w:r w:rsidRPr="00CD59CC">
        <w:rPr>
          <w:rFonts w:ascii="Arial" w:hAnsi="Arial" w:cs="Arial"/>
          <w:i/>
        </w:rPr>
        <w:t>persons,</w:t>
      </w:r>
      <w:r w:rsidR="007B7640" w:rsidRPr="00CD59CC">
        <w:rPr>
          <w:rFonts w:ascii="Arial" w:hAnsi="Arial" w:cs="Arial"/>
          <w:i/>
        </w:rPr>
        <w:t xml:space="preserve"> </w:t>
      </w:r>
      <w:r w:rsidRPr="00CD59CC">
        <w:rPr>
          <w:rFonts w:ascii="Arial" w:hAnsi="Arial" w:cs="Arial"/>
          <w:i/>
        </w:rPr>
        <w:t>either</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purposes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protection</w:t>
      </w:r>
      <w:r w:rsidR="007B7640" w:rsidRPr="00CD59CC">
        <w:rPr>
          <w:rFonts w:ascii="Arial" w:hAnsi="Arial" w:cs="Arial"/>
          <w:i/>
        </w:rPr>
        <w:t xml:space="preserve"> </w:t>
      </w:r>
      <w:r w:rsidRPr="00CD59CC">
        <w:rPr>
          <w:rFonts w:ascii="Arial" w:hAnsi="Arial" w:cs="Arial"/>
          <w:i/>
        </w:rPr>
        <w:t>against</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liability</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p>
    <w:p w14:paraId="4D34E007" w14:textId="77777777" w:rsidR="007B2B9E" w:rsidRPr="00CD59CC" w:rsidRDefault="007B2B9E" w:rsidP="00CD59CC">
      <w:pPr>
        <w:rPr>
          <w:rFonts w:ascii="Arial" w:hAnsi="Arial" w:cs="Arial"/>
          <w:bCs/>
        </w:rPr>
      </w:pPr>
    </w:p>
    <w:p w14:paraId="00834FD4" w14:textId="77777777" w:rsidR="003E08B3" w:rsidRPr="00CD59CC" w:rsidRDefault="003E08B3"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proclaims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natural</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natural</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well</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lastRenderedPageBreak/>
        <w:t>organisations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legal</w:t>
      </w:r>
      <w:r w:rsidR="007B7640" w:rsidRPr="00CD59CC">
        <w:rPr>
          <w:rFonts w:ascii="Arial" w:hAnsi="Arial" w:cs="Arial"/>
        </w:rPr>
        <w:t xml:space="preserve"> </w:t>
      </w:r>
      <w:r w:rsidRPr="00CD59CC">
        <w:rPr>
          <w:rFonts w:ascii="Arial" w:hAnsi="Arial" w:cs="Arial"/>
        </w:rPr>
        <w:t>personality</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treated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line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respect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consideration,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account</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individual</w:t>
      </w:r>
      <w:r w:rsidR="007B7640" w:rsidRPr="00CD59CC">
        <w:rPr>
          <w:rFonts w:ascii="Arial" w:hAnsi="Arial" w:cs="Arial"/>
        </w:rPr>
        <w:t xml:space="preserve"> </w:t>
      </w:r>
      <w:r w:rsidRPr="00CD59CC">
        <w:rPr>
          <w:rFonts w:ascii="Arial" w:hAnsi="Arial" w:cs="Arial"/>
        </w:rPr>
        <w:t>features”.</w:t>
      </w:r>
      <w:r w:rsidR="007B7640" w:rsidRPr="00CD59CC">
        <w:rPr>
          <w:rFonts w:ascii="Arial" w:hAnsi="Arial" w:cs="Arial"/>
        </w:rPr>
        <w:t xml:space="preserve"> </w:t>
      </w:r>
    </w:p>
    <w:p w14:paraId="489A1EFA" w14:textId="77777777" w:rsidR="003E08B3" w:rsidRPr="00CD59CC" w:rsidRDefault="003E08B3" w:rsidP="00CD59CC">
      <w:pPr>
        <w:rPr>
          <w:rFonts w:ascii="Arial" w:hAnsi="Arial" w:cs="Arial"/>
        </w:rPr>
      </w:pPr>
    </w:p>
    <w:p w14:paraId="5BA3480B" w14:textId="77777777" w:rsidR="003E08B3" w:rsidRPr="00CD59CC" w:rsidRDefault="003E08B3" w:rsidP="00CD59CC">
      <w:pPr>
        <w:rPr>
          <w:rFonts w:ascii="Arial" w:hAnsi="Arial" w:cs="Arial"/>
          <w:bCs/>
        </w:rPr>
      </w:pPr>
      <w:r w:rsidRPr="00CD59CC">
        <w:rPr>
          <w:rFonts w:ascii="Arial" w:hAnsi="Arial" w:cs="Arial"/>
          <w:bCs/>
        </w:rPr>
        <w:t>Furthermore,</w:t>
      </w:r>
      <w:r w:rsidR="007B7640" w:rsidRPr="00CD59CC">
        <w:rPr>
          <w:rFonts w:ascii="Arial" w:hAnsi="Arial" w:cs="Arial"/>
          <w:bCs/>
        </w:rPr>
        <w:t xml:space="preserve"> </w:t>
      </w:r>
      <w:r w:rsidRPr="00CD59CC">
        <w:rPr>
          <w:rFonts w:ascii="Arial" w:hAnsi="Arial" w:cs="Arial"/>
          <w:bCs/>
        </w:rPr>
        <w:t>when</w:t>
      </w:r>
      <w:r w:rsidR="007B7640" w:rsidRPr="00CD59CC">
        <w:rPr>
          <w:rFonts w:ascii="Arial" w:hAnsi="Arial" w:cs="Arial"/>
          <w:bCs/>
        </w:rPr>
        <w:t xml:space="preserve"> </w:t>
      </w:r>
      <w:r w:rsidRPr="00CD59CC">
        <w:rPr>
          <w:rFonts w:ascii="Arial" w:hAnsi="Arial" w:cs="Arial"/>
          <w:bCs/>
        </w:rPr>
        <w:t>defining</w:t>
      </w:r>
      <w:r w:rsidR="007B7640" w:rsidRPr="00CD59CC">
        <w:rPr>
          <w:rFonts w:ascii="Arial" w:hAnsi="Arial" w:cs="Arial"/>
          <w:bCs/>
        </w:rPr>
        <w:t xml:space="preserve"> </w:t>
      </w:r>
      <w:r w:rsidRPr="00CD59CC">
        <w:rPr>
          <w:rFonts w:ascii="Arial" w:hAnsi="Arial" w:cs="Arial"/>
          <w:bCs/>
        </w:rPr>
        <w:t>discrimination</w:t>
      </w:r>
      <w:r w:rsidR="007B7640" w:rsidRPr="00CD59CC">
        <w:rPr>
          <w:rFonts w:ascii="Arial" w:hAnsi="Arial" w:cs="Arial"/>
          <w:bCs/>
        </w:rPr>
        <w:t xml:space="preserve"> </w:t>
      </w:r>
      <w:r w:rsidRPr="00CD59CC">
        <w:rPr>
          <w:rFonts w:ascii="Arial" w:hAnsi="Arial" w:cs="Arial"/>
          <w:bCs/>
        </w:rPr>
        <w:t>Articles</w:t>
      </w:r>
      <w:r w:rsidR="007B7640" w:rsidRPr="00CD59CC">
        <w:rPr>
          <w:rFonts w:ascii="Arial" w:hAnsi="Arial" w:cs="Arial"/>
          <w:bCs/>
        </w:rPr>
        <w:t xml:space="preserve"> </w:t>
      </w:r>
      <w:r w:rsidRPr="00CD59CC">
        <w:rPr>
          <w:rFonts w:ascii="Arial" w:hAnsi="Arial" w:cs="Arial"/>
          <w:bCs/>
        </w:rPr>
        <w:t>8</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9</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r w:rsidR="007B7640" w:rsidRPr="00CD59CC">
        <w:rPr>
          <w:rFonts w:ascii="Arial" w:hAnsi="Arial" w:cs="Arial"/>
          <w:bCs/>
        </w:rPr>
        <w:t xml:space="preserve"> </w:t>
      </w:r>
      <w:r w:rsidRPr="00CD59CC">
        <w:rPr>
          <w:rFonts w:ascii="Arial" w:hAnsi="Arial" w:cs="Arial"/>
          <w:bCs/>
        </w:rPr>
        <w:t>refer</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“a</w:t>
      </w:r>
      <w:r w:rsidR="007B7640" w:rsidRPr="00CD59CC">
        <w:rPr>
          <w:rFonts w:ascii="Arial" w:hAnsi="Arial" w:cs="Arial"/>
          <w:bCs/>
        </w:rPr>
        <w:t xml:space="preserve"> </w:t>
      </w:r>
      <w:r w:rsidRPr="00CD59CC">
        <w:rPr>
          <w:rFonts w:ascii="Arial" w:hAnsi="Arial" w:cs="Arial"/>
          <w:bCs/>
        </w:rPr>
        <w:t>person</w:t>
      </w:r>
      <w:r w:rsidR="007B7640" w:rsidRPr="00CD59CC">
        <w:rPr>
          <w:rFonts w:ascii="Arial" w:hAnsi="Arial" w:cs="Arial"/>
          <w:bCs/>
        </w:rPr>
        <w:t xml:space="preserve"> </w:t>
      </w:r>
      <w:r w:rsidRPr="00CD59CC">
        <w:rPr>
          <w:rFonts w:ascii="Arial" w:hAnsi="Arial" w:cs="Arial"/>
          <w:bCs/>
        </w:rPr>
        <w:t>or</w:t>
      </w:r>
      <w:r w:rsidR="007B7640" w:rsidRPr="00CD59CC">
        <w:rPr>
          <w:rFonts w:ascii="Arial" w:hAnsi="Arial" w:cs="Arial"/>
          <w:bCs/>
        </w:rPr>
        <w:t xml:space="preserve"> </w:t>
      </w:r>
      <w:r w:rsidRPr="00CD59CC">
        <w:rPr>
          <w:rFonts w:ascii="Arial" w:hAnsi="Arial" w:cs="Arial"/>
          <w:bCs/>
        </w:rPr>
        <w:t>group”</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“certain</w:t>
      </w:r>
      <w:r w:rsidR="007B7640" w:rsidRPr="00CD59CC">
        <w:rPr>
          <w:rFonts w:ascii="Arial" w:hAnsi="Arial" w:cs="Arial"/>
          <w:bCs/>
        </w:rPr>
        <w:t xml:space="preserve"> </w:t>
      </w:r>
      <w:r w:rsidRPr="00CD59CC">
        <w:rPr>
          <w:rFonts w:ascii="Arial" w:hAnsi="Arial" w:cs="Arial"/>
          <w:bCs/>
        </w:rPr>
        <w:t>persons</w:t>
      </w:r>
      <w:r w:rsidR="007B7640" w:rsidRPr="00CD59CC">
        <w:rPr>
          <w:rFonts w:ascii="Arial" w:hAnsi="Arial" w:cs="Arial"/>
          <w:bCs/>
        </w:rPr>
        <w:t xml:space="preserve"> </w:t>
      </w:r>
      <w:r w:rsidRPr="00CD59CC">
        <w:rPr>
          <w:rFonts w:ascii="Arial" w:hAnsi="Arial" w:cs="Arial"/>
          <w:bCs/>
        </w:rPr>
        <w:t>or</w:t>
      </w:r>
      <w:r w:rsidR="007B7640" w:rsidRPr="00CD59CC">
        <w:rPr>
          <w:rFonts w:ascii="Arial" w:hAnsi="Arial" w:cs="Arial"/>
          <w:bCs/>
        </w:rPr>
        <w:t xml:space="preserve"> </w:t>
      </w:r>
      <w:r w:rsidRPr="00CD59CC">
        <w:rPr>
          <w:rFonts w:ascii="Arial" w:hAnsi="Arial" w:cs="Arial"/>
          <w:bCs/>
        </w:rPr>
        <w:t>groups”.</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r w:rsidR="007B7640" w:rsidRPr="00CD59CC">
        <w:rPr>
          <w:rFonts w:ascii="Arial" w:hAnsi="Arial" w:cs="Arial"/>
          <w:bCs/>
        </w:rPr>
        <w:t xml:space="preserve"> </w:t>
      </w:r>
      <w:r w:rsidRPr="00CD59CC">
        <w:rPr>
          <w:rFonts w:ascii="Arial" w:hAnsi="Arial" w:cs="Arial"/>
          <w:bCs/>
        </w:rPr>
        <w:t>itself</w:t>
      </w:r>
      <w:r w:rsidR="007B7640" w:rsidRPr="00CD59CC">
        <w:rPr>
          <w:rFonts w:ascii="Arial" w:hAnsi="Arial" w:cs="Arial"/>
          <w:bCs/>
        </w:rPr>
        <w:t xml:space="preserve"> </w:t>
      </w:r>
      <w:r w:rsidRPr="00CD59CC">
        <w:rPr>
          <w:rFonts w:ascii="Arial" w:hAnsi="Arial" w:cs="Arial"/>
          <w:bCs/>
        </w:rPr>
        <w:t>does</w:t>
      </w:r>
      <w:r w:rsidR="007B7640" w:rsidRPr="00CD59CC">
        <w:rPr>
          <w:rFonts w:ascii="Arial" w:hAnsi="Arial" w:cs="Arial"/>
          <w:bCs/>
        </w:rPr>
        <w:t xml:space="preserve"> </w:t>
      </w:r>
      <w:r w:rsidRPr="00CD59CC">
        <w:rPr>
          <w:rFonts w:ascii="Arial" w:hAnsi="Arial" w:cs="Arial"/>
          <w:bCs/>
        </w:rPr>
        <w:t>not</w:t>
      </w:r>
      <w:r w:rsidR="007B7640" w:rsidRPr="00CD59CC">
        <w:rPr>
          <w:rFonts w:ascii="Arial" w:hAnsi="Arial" w:cs="Arial"/>
          <w:bCs/>
        </w:rPr>
        <w:t xml:space="preserve"> </w:t>
      </w:r>
      <w:r w:rsidRPr="00CD59CC">
        <w:rPr>
          <w:rFonts w:ascii="Arial" w:hAnsi="Arial" w:cs="Arial"/>
          <w:bCs/>
        </w:rPr>
        <w:t>define</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term</w:t>
      </w:r>
      <w:r w:rsidR="007B7640" w:rsidRPr="00CD59CC">
        <w:rPr>
          <w:rFonts w:ascii="Arial" w:hAnsi="Arial" w:cs="Arial"/>
          <w:bCs/>
        </w:rPr>
        <w:t xml:space="preserve"> </w:t>
      </w:r>
      <w:r w:rsidRPr="00CD59CC">
        <w:rPr>
          <w:rFonts w:ascii="Arial" w:hAnsi="Arial" w:cs="Arial"/>
          <w:bCs/>
        </w:rPr>
        <w:t>person</w:t>
      </w:r>
      <w:r w:rsidR="007B7640" w:rsidRPr="00CD59CC">
        <w:rPr>
          <w:rFonts w:ascii="Arial" w:hAnsi="Arial" w:cs="Arial"/>
          <w:bCs/>
        </w:rPr>
        <w:t xml:space="preserve"> </w:t>
      </w:r>
      <w:r w:rsidRPr="00CD59CC">
        <w:rPr>
          <w:rFonts w:ascii="Arial" w:hAnsi="Arial" w:cs="Arial"/>
          <w:bCs/>
        </w:rPr>
        <w:t>for</w:t>
      </w:r>
      <w:r w:rsidR="007B7640" w:rsidRPr="00CD59CC">
        <w:rPr>
          <w:rFonts w:ascii="Arial" w:hAnsi="Arial" w:cs="Arial"/>
          <w:bCs/>
        </w:rPr>
        <w:t xml:space="preserve"> </w:t>
      </w:r>
      <w:r w:rsidRPr="00CD59CC">
        <w:rPr>
          <w:rFonts w:ascii="Arial" w:hAnsi="Arial" w:cs="Arial"/>
          <w:bCs/>
        </w:rPr>
        <w:t>its</w:t>
      </w:r>
      <w:r w:rsidR="007B7640" w:rsidRPr="00CD59CC">
        <w:rPr>
          <w:rFonts w:ascii="Arial" w:hAnsi="Arial" w:cs="Arial"/>
          <w:bCs/>
        </w:rPr>
        <w:t xml:space="preserve"> </w:t>
      </w:r>
      <w:r w:rsidRPr="00CD59CC">
        <w:rPr>
          <w:rFonts w:ascii="Arial" w:hAnsi="Arial" w:cs="Arial"/>
          <w:bCs/>
        </w:rPr>
        <w:t>purposes.</w:t>
      </w:r>
      <w:r w:rsidR="007B7640" w:rsidRPr="00CD59CC">
        <w:rPr>
          <w:rFonts w:ascii="Arial" w:hAnsi="Arial" w:cs="Arial"/>
          <w:bCs/>
        </w:rPr>
        <w:t xml:space="preserve"> </w:t>
      </w:r>
      <w:r w:rsidRPr="00CD59CC">
        <w:rPr>
          <w:rFonts w:ascii="Arial" w:hAnsi="Arial" w:cs="Arial"/>
          <w:bCs/>
        </w:rPr>
        <w:t>Thus,</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terminology</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Civil</w:t>
      </w:r>
      <w:r w:rsidR="007B7640" w:rsidRPr="00CD59CC">
        <w:rPr>
          <w:rFonts w:ascii="Arial" w:hAnsi="Arial" w:cs="Arial"/>
          <w:bCs/>
        </w:rPr>
        <w:t xml:space="preserve"> </w:t>
      </w:r>
      <w:r w:rsidRPr="00CD59CC">
        <w:rPr>
          <w:rFonts w:ascii="Arial" w:hAnsi="Arial" w:cs="Arial"/>
          <w:bCs/>
        </w:rPr>
        <w:t>Code</w:t>
      </w:r>
      <w:r w:rsidR="007B7640" w:rsidRPr="00CD59CC">
        <w:rPr>
          <w:rFonts w:ascii="Arial" w:hAnsi="Arial" w:cs="Arial"/>
          <w:bCs/>
        </w:rPr>
        <w:t xml:space="preserve"> </w:t>
      </w:r>
      <w:r w:rsidRPr="00CD59CC">
        <w:rPr>
          <w:rFonts w:ascii="Arial" w:hAnsi="Arial" w:cs="Arial"/>
          <w:bCs/>
        </w:rPr>
        <w:t>–</w:t>
      </w:r>
      <w:r w:rsidR="007B7640" w:rsidRPr="00CD59CC">
        <w:rPr>
          <w:rFonts w:ascii="Arial" w:hAnsi="Arial" w:cs="Arial"/>
          <w:bCs/>
        </w:rPr>
        <w:t xml:space="preserve"> </w:t>
      </w:r>
      <w:r w:rsidRPr="00CD59CC">
        <w:rPr>
          <w:rFonts w:ascii="Arial" w:hAnsi="Arial" w:cs="Arial"/>
          <w:bCs/>
        </w:rPr>
        <w:t>where</w:t>
      </w:r>
      <w:r w:rsidR="007B7640" w:rsidRPr="00CD59CC">
        <w:rPr>
          <w:rFonts w:ascii="Arial" w:hAnsi="Arial" w:cs="Arial"/>
          <w:bCs/>
        </w:rPr>
        <w:t xml:space="preserve"> </w:t>
      </w:r>
      <w:r w:rsidRPr="00CD59CC">
        <w:rPr>
          <w:rFonts w:ascii="Arial" w:hAnsi="Arial" w:cs="Arial"/>
          <w:bCs/>
        </w:rPr>
        <w:t>persons</w:t>
      </w:r>
      <w:r w:rsidR="007B7640" w:rsidRPr="00CD59CC">
        <w:rPr>
          <w:rFonts w:ascii="Arial" w:hAnsi="Arial" w:cs="Arial"/>
          <w:bCs/>
        </w:rPr>
        <w:t xml:space="preserve"> </w:t>
      </w:r>
      <w:r w:rsidRPr="00CD59CC">
        <w:rPr>
          <w:rFonts w:ascii="Arial" w:hAnsi="Arial" w:cs="Arial"/>
          <w:bCs/>
        </w:rPr>
        <w:t>are</w:t>
      </w:r>
      <w:r w:rsidR="007B7640" w:rsidRPr="00CD59CC">
        <w:rPr>
          <w:rFonts w:ascii="Arial" w:hAnsi="Arial" w:cs="Arial"/>
          <w:bCs/>
        </w:rPr>
        <w:t xml:space="preserve"> </w:t>
      </w:r>
      <w:r w:rsidRPr="00CD59CC">
        <w:rPr>
          <w:rFonts w:ascii="Arial" w:hAnsi="Arial" w:cs="Arial"/>
          <w:bCs/>
        </w:rPr>
        <w:t>defined</w:t>
      </w:r>
      <w:r w:rsidR="007B7640" w:rsidRPr="00CD59CC">
        <w:rPr>
          <w:rFonts w:ascii="Arial" w:hAnsi="Arial" w:cs="Arial"/>
          <w:bCs/>
        </w:rPr>
        <w:t xml:space="preserve"> </w:t>
      </w:r>
      <w:r w:rsidRPr="00CD59CC">
        <w:rPr>
          <w:rFonts w:ascii="Arial" w:hAnsi="Arial" w:cs="Arial"/>
          <w:bCs/>
        </w:rPr>
        <w:t>–</w:t>
      </w:r>
      <w:r w:rsidR="007B7640" w:rsidRPr="00CD59CC">
        <w:rPr>
          <w:rFonts w:ascii="Arial" w:hAnsi="Arial" w:cs="Arial"/>
          <w:bCs/>
        </w:rPr>
        <w:t xml:space="preserve"> </w:t>
      </w:r>
      <w:r w:rsidRPr="00CD59CC">
        <w:rPr>
          <w:rFonts w:ascii="Arial" w:hAnsi="Arial" w:cs="Arial"/>
          <w:bCs/>
        </w:rPr>
        <w:t>shall</w:t>
      </w:r>
      <w:r w:rsidR="007B7640" w:rsidRPr="00CD59CC">
        <w:rPr>
          <w:rFonts w:ascii="Arial" w:hAnsi="Arial" w:cs="Arial"/>
          <w:bCs/>
        </w:rPr>
        <w:t xml:space="preserve"> </w:t>
      </w:r>
      <w:r w:rsidRPr="00CD59CC">
        <w:rPr>
          <w:rFonts w:ascii="Arial" w:hAnsi="Arial" w:cs="Arial"/>
          <w:bCs/>
        </w:rPr>
        <w:t>apply</w:t>
      </w:r>
      <w:r w:rsidR="007B7640" w:rsidRPr="00CD59CC">
        <w:rPr>
          <w:rFonts w:ascii="Arial" w:hAnsi="Arial" w:cs="Arial"/>
          <w:bCs/>
        </w:rPr>
        <w:t xml:space="preserve"> </w:t>
      </w:r>
      <w:r w:rsidRPr="00CD59CC">
        <w:rPr>
          <w:rFonts w:ascii="Arial" w:hAnsi="Arial" w:cs="Arial"/>
          <w:bCs/>
        </w:rPr>
        <w:t>if</w:t>
      </w:r>
      <w:r w:rsidR="007B7640" w:rsidRPr="00CD59CC">
        <w:rPr>
          <w:rFonts w:ascii="Arial" w:hAnsi="Arial" w:cs="Arial"/>
          <w:bCs/>
        </w:rPr>
        <w:t xml:space="preserve"> </w:t>
      </w:r>
      <w:r w:rsidRPr="00CD59CC">
        <w:rPr>
          <w:rFonts w:ascii="Arial" w:hAnsi="Arial" w:cs="Arial"/>
          <w:bCs/>
        </w:rPr>
        <w:t>interpretation</w:t>
      </w:r>
      <w:r w:rsidR="007B7640" w:rsidRPr="00CD59CC">
        <w:rPr>
          <w:rFonts w:ascii="Arial" w:hAnsi="Arial" w:cs="Arial"/>
          <w:bCs/>
        </w:rPr>
        <w:t xml:space="preserve"> </w:t>
      </w:r>
      <w:r w:rsidRPr="00CD59CC">
        <w:rPr>
          <w:rFonts w:ascii="Arial" w:hAnsi="Arial" w:cs="Arial"/>
          <w:bCs/>
        </w:rPr>
        <w:t>is</w:t>
      </w:r>
      <w:r w:rsidR="007B7640" w:rsidRPr="00CD59CC">
        <w:rPr>
          <w:rFonts w:ascii="Arial" w:hAnsi="Arial" w:cs="Arial"/>
          <w:bCs/>
        </w:rPr>
        <w:t xml:space="preserve"> </w:t>
      </w:r>
      <w:r w:rsidRPr="00CD59CC">
        <w:rPr>
          <w:rFonts w:ascii="Arial" w:hAnsi="Arial" w:cs="Arial"/>
          <w:bCs/>
        </w:rPr>
        <w:t>necessary.</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Part</w:t>
      </w:r>
      <w:r w:rsidR="007B7640" w:rsidRPr="00CD59CC">
        <w:rPr>
          <w:rFonts w:ascii="Arial" w:hAnsi="Arial" w:cs="Arial"/>
          <w:bCs/>
        </w:rPr>
        <w:t xml:space="preserve"> </w:t>
      </w:r>
      <w:r w:rsidRPr="00CD59CC">
        <w:rPr>
          <w:rFonts w:ascii="Arial" w:hAnsi="Arial" w:cs="Arial"/>
          <w:bCs/>
        </w:rPr>
        <w:t>II,</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Civil</w:t>
      </w:r>
      <w:r w:rsidR="007B7640" w:rsidRPr="00CD59CC">
        <w:rPr>
          <w:rFonts w:ascii="Arial" w:hAnsi="Arial" w:cs="Arial"/>
          <w:bCs/>
        </w:rPr>
        <w:t xml:space="preserve"> </w:t>
      </w:r>
      <w:r w:rsidRPr="00CD59CC">
        <w:rPr>
          <w:rFonts w:ascii="Arial" w:hAnsi="Arial" w:cs="Arial"/>
          <w:bCs/>
        </w:rPr>
        <w:t>Code</w:t>
      </w:r>
      <w:r w:rsidR="007B7640" w:rsidRPr="00CD59CC">
        <w:rPr>
          <w:rFonts w:ascii="Arial" w:hAnsi="Arial" w:cs="Arial"/>
          <w:bCs/>
        </w:rPr>
        <w:t xml:space="preserve"> </w:t>
      </w:r>
      <w:r w:rsidRPr="00CD59CC">
        <w:rPr>
          <w:rFonts w:ascii="Arial" w:hAnsi="Arial" w:cs="Arial"/>
          <w:bCs/>
        </w:rPr>
        <w:t>defines</w:t>
      </w:r>
      <w:r w:rsidR="007B7640" w:rsidRPr="00CD59CC">
        <w:rPr>
          <w:rFonts w:ascii="Arial" w:hAnsi="Arial" w:cs="Arial"/>
          <w:bCs/>
        </w:rPr>
        <w:t xml:space="preserve"> </w:t>
      </w:r>
      <w:r w:rsidRPr="00CD59CC">
        <w:rPr>
          <w:rFonts w:ascii="Arial" w:hAnsi="Arial" w:cs="Arial"/>
          <w:bCs/>
        </w:rPr>
        <w:t>persons</w:t>
      </w:r>
      <w:r w:rsidR="007B7640" w:rsidRPr="00CD59CC">
        <w:rPr>
          <w:rFonts w:ascii="Arial" w:hAnsi="Arial" w:cs="Arial"/>
          <w:bCs/>
        </w:rPr>
        <w:t xml:space="preserve"> </w:t>
      </w:r>
      <w:r w:rsidRPr="00CD59CC">
        <w:rPr>
          <w:rFonts w:ascii="Arial" w:hAnsi="Arial" w:cs="Arial"/>
          <w:bCs/>
        </w:rPr>
        <w:t>as</w:t>
      </w:r>
      <w:r w:rsidR="007B7640" w:rsidRPr="00CD59CC">
        <w:rPr>
          <w:rFonts w:ascii="Arial" w:hAnsi="Arial" w:cs="Arial"/>
          <w:bCs/>
        </w:rPr>
        <w:t xml:space="preserve"> </w:t>
      </w:r>
      <w:r w:rsidRPr="00CD59CC">
        <w:rPr>
          <w:rFonts w:ascii="Arial" w:hAnsi="Arial" w:cs="Arial"/>
          <w:bCs/>
        </w:rPr>
        <w:t>being</w:t>
      </w:r>
      <w:r w:rsidR="007B7640" w:rsidRPr="00CD59CC">
        <w:rPr>
          <w:rFonts w:ascii="Arial" w:hAnsi="Arial" w:cs="Arial"/>
          <w:bCs/>
        </w:rPr>
        <w:t xml:space="preserve"> </w:t>
      </w:r>
      <w:r w:rsidRPr="00CD59CC">
        <w:rPr>
          <w:rFonts w:ascii="Arial" w:hAnsi="Arial" w:cs="Arial"/>
          <w:bCs/>
        </w:rPr>
        <w:t>natural</w:t>
      </w:r>
      <w:r w:rsidR="007B7640" w:rsidRPr="00CD59CC">
        <w:rPr>
          <w:rFonts w:ascii="Arial" w:hAnsi="Arial" w:cs="Arial"/>
          <w:bCs/>
        </w:rPr>
        <w:t xml:space="preserve"> </w:t>
      </w:r>
      <w:r w:rsidRPr="00CD59CC">
        <w:rPr>
          <w:rFonts w:ascii="Arial" w:hAnsi="Arial" w:cs="Arial"/>
          <w:bCs/>
        </w:rPr>
        <w:t>(</w:t>
      </w:r>
      <w:r w:rsidRPr="00BB4E9F">
        <w:rPr>
          <w:rFonts w:ascii="Arial" w:hAnsi="Arial"/>
          <w:i/>
        </w:rPr>
        <w:t>ember</w:t>
      </w:r>
      <w:r w:rsidRPr="00CD59CC">
        <w:rPr>
          <w:rFonts w:ascii="Arial" w:hAnsi="Arial" w:cs="Arial"/>
          <w:bCs/>
        </w:rPr>
        <w:t>)</w:t>
      </w:r>
      <w:r w:rsidR="007B7640" w:rsidRPr="00CD59CC">
        <w:rPr>
          <w:rFonts w:ascii="Arial" w:hAnsi="Arial" w:cs="Arial"/>
          <w:bCs/>
        </w:rPr>
        <w:t xml:space="preserve"> </w:t>
      </w:r>
      <w:r w:rsidRPr="00CD59CC">
        <w:rPr>
          <w:rFonts w:ascii="Arial" w:hAnsi="Arial" w:cs="Arial"/>
          <w:bCs/>
        </w:rPr>
        <w:t>or</w:t>
      </w:r>
      <w:r w:rsidR="007B7640" w:rsidRPr="00CD59CC">
        <w:rPr>
          <w:rFonts w:ascii="Arial" w:hAnsi="Arial" w:cs="Arial"/>
          <w:bCs/>
        </w:rPr>
        <w:t xml:space="preserve"> </w:t>
      </w:r>
      <w:r w:rsidRPr="00CD59CC">
        <w:rPr>
          <w:rFonts w:ascii="Arial" w:hAnsi="Arial" w:cs="Arial"/>
          <w:bCs/>
        </w:rPr>
        <w:t>legal</w:t>
      </w:r>
      <w:r w:rsidR="007B7640" w:rsidRPr="00CD59CC">
        <w:rPr>
          <w:rFonts w:ascii="Arial" w:hAnsi="Arial" w:cs="Arial"/>
          <w:bCs/>
        </w:rPr>
        <w:t xml:space="preserve"> </w:t>
      </w:r>
      <w:r w:rsidRPr="00CD59CC">
        <w:rPr>
          <w:rFonts w:ascii="Arial" w:hAnsi="Arial" w:cs="Arial"/>
          <w:bCs/>
        </w:rPr>
        <w:t>(</w:t>
      </w:r>
      <w:r w:rsidRPr="00BB4E9F">
        <w:rPr>
          <w:rFonts w:ascii="Arial" w:hAnsi="Arial"/>
          <w:i/>
        </w:rPr>
        <w:t>jogi</w:t>
      </w:r>
      <w:r w:rsidRPr="00CD59CC">
        <w:rPr>
          <w:rFonts w:ascii="Arial" w:hAnsi="Arial" w:cs="Arial"/>
          <w:bCs/>
        </w:rPr>
        <w:t>).</w:t>
      </w:r>
      <w:r w:rsidR="007B7640" w:rsidRPr="00CD59CC">
        <w:rPr>
          <w:rFonts w:ascii="Arial" w:hAnsi="Arial" w:cs="Arial"/>
          <w:bCs/>
        </w:rPr>
        <w:t xml:space="preserve"> </w:t>
      </w:r>
    </w:p>
    <w:p w14:paraId="220FB087" w14:textId="77777777" w:rsidR="003E08B3" w:rsidRPr="00CD59CC" w:rsidRDefault="003E08B3" w:rsidP="00CD59CC">
      <w:pPr>
        <w:pStyle w:val="BodyText"/>
        <w:tabs>
          <w:tab w:val="left" w:pos="480"/>
        </w:tabs>
        <w:rPr>
          <w:rFonts w:ascii="Arial" w:hAnsi="Arial" w:cs="Arial"/>
          <w:bCs/>
          <w:i w:val="0"/>
          <w:lang w:val="en-GB"/>
        </w:rPr>
      </w:pPr>
    </w:p>
    <w:p w14:paraId="4EF3FF69" w14:textId="77777777" w:rsidR="003E08B3" w:rsidRPr="00CD59CC" w:rsidRDefault="003E08B3" w:rsidP="00CD59CC">
      <w:pPr>
        <w:autoSpaceDE w:val="0"/>
        <w:rPr>
          <w:rFonts w:ascii="Arial" w:hAnsi="Arial" w:cs="Arial"/>
          <w:bCs/>
        </w:rPr>
      </w:pPr>
      <w:r w:rsidRPr="00CD59CC">
        <w:rPr>
          <w:rFonts w:ascii="Arial" w:hAnsi="Arial" w:cs="Arial"/>
          <w:bCs/>
        </w:rPr>
        <w:t>Protection</w:t>
      </w:r>
      <w:r w:rsidR="007B7640" w:rsidRPr="00CD59CC">
        <w:rPr>
          <w:rFonts w:ascii="Arial" w:hAnsi="Arial" w:cs="Arial"/>
          <w:bCs/>
        </w:rPr>
        <w:t xml:space="preserve"> </w:t>
      </w:r>
      <w:r w:rsidRPr="00CD59CC">
        <w:rPr>
          <w:rFonts w:ascii="Arial" w:hAnsi="Arial" w:cs="Arial"/>
          <w:bCs/>
        </w:rPr>
        <w:t>against</w:t>
      </w:r>
      <w:r w:rsidR="007B7640" w:rsidRPr="00CD59CC">
        <w:rPr>
          <w:rFonts w:ascii="Arial" w:hAnsi="Arial" w:cs="Arial"/>
          <w:bCs/>
        </w:rPr>
        <w:t xml:space="preserve"> </w:t>
      </w:r>
      <w:r w:rsidRPr="00CD59CC">
        <w:rPr>
          <w:rFonts w:ascii="Arial" w:hAnsi="Arial" w:cs="Arial"/>
          <w:bCs/>
        </w:rPr>
        <w:t>discrimination</w:t>
      </w:r>
      <w:r w:rsidR="007B7640" w:rsidRPr="00CD59CC">
        <w:rPr>
          <w:rFonts w:ascii="Arial" w:hAnsi="Arial" w:cs="Arial"/>
          <w:bCs/>
        </w:rPr>
        <w:t xml:space="preserve"> </w:t>
      </w:r>
      <w:r w:rsidRPr="00CD59CC">
        <w:rPr>
          <w:rFonts w:ascii="Arial" w:hAnsi="Arial" w:cs="Arial"/>
          <w:bCs/>
        </w:rPr>
        <w:t>can</w:t>
      </w:r>
      <w:r w:rsidR="007B7640" w:rsidRPr="00CD59CC">
        <w:rPr>
          <w:rFonts w:ascii="Arial" w:hAnsi="Arial" w:cs="Arial"/>
          <w:bCs/>
        </w:rPr>
        <w:t xml:space="preserve"> </w:t>
      </w:r>
      <w:r w:rsidRPr="00CD59CC">
        <w:rPr>
          <w:rFonts w:ascii="Arial" w:hAnsi="Arial" w:cs="Arial"/>
          <w:bCs/>
        </w:rPr>
        <w:t>be</w:t>
      </w:r>
      <w:r w:rsidR="007B7640" w:rsidRPr="00CD59CC">
        <w:rPr>
          <w:rFonts w:ascii="Arial" w:hAnsi="Arial" w:cs="Arial"/>
          <w:bCs/>
        </w:rPr>
        <w:t xml:space="preserve"> </w:t>
      </w:r>
      <w:r w:rsidRPr="00CD59CC">
        <w:rPr>
          <w:rFonts w:ascii="Arial" w:hAnsi="Arial" w:cs="Arial"/>
          <w:bCs/>
        </w:rPr>
        <w:t>sought</w:t>
      </w:r>
      <w:r w:rsidR="007B7640" w:rsidRPr="00CD59CC">
        <w:rPr>
          <w:rFonts w:ascii="Arial" w:hAnsi="Arial" w:cs="Arial"/>
          <w:bCs/>
        </w:rPr>
        <w:t xml:space="preserve"> </w:t>
      </w:r>
      <w:r w:rsidRPr="00CD59CC">
        <w:rPr>
          <w:rFonts w:ascii="Arial" w:hAnsi="Arial" w:cs="Arial"/>
          <w:bCs/>
        </w:rPr>
        <w:t>under</w:t>
      </w:r>
      <w:r w:rsidR="007B7640" w:rsidRPr="00CD59CC">
        <w:rPr>
          <w:rFonts w:ascii="Arial" w:hAnsi="Arial" w:cs="Arial"/>
          <w:bCs/>
        </w:rPr>
        <w:t xml:space="preserve"> </w:t>
      </w:r>
      <w:r w:rsidRPr="00CD59CC">
        <w:rPr>
          <w:rFonts w:ascii="Arial" w:hAnsi="Arial" w:cs="Arial"/>
          <w:bCs/>
        </w:rPr>
        <w:t>Article</w:t>
      </w:r>
      <w:r w:rsidR="007B7640" w:rsidRPr="00CD59CC">
        <w:rPr>
          <w:rFonts w:ascii="Arial" w:hAnsi="Arial" w:cs="Arial"/>
          <w:bCs/>
        </w:rPr>
        <w:t xml:space="preserve"> </w:t>
      </w:r>
      <w:r w:rsidRPr="00CD59CC">
        <w:rPr>
          <w:rFonts w:ascii="Arial" w:hAnsi="Arial" w:cs="Arial"/>
          <w:bCs/>
        </w:rPr>
        <w:t>76</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Civil</w:t>
      </w:r>
      <w:r w:rsidR="007B7640" w:rsidRPr="00CD59CC">
        <w:rPr>
          <w:rFonts w:ascii="Arial" w:hAnsi="Arial" w:cs="Arial"/>
          <w:bCs/>
        </w:rPr>
        <w:t xml:space="preserve"> </w:t>
      </w:r>
      <w:r w:rsidRPr="00CD59CC">
        <w:rPr>
          <w:rFonts w:ascii="Arial" w:hAnsi="Arial" w:cs="Arial"/>
          <w:bCs/>
        </w:rPr>
        <w:t>Code.</w:t>
      </w:r>
      <w:r w:rsidR="007B7640" w:rsidRPr="00CD59CC">
        <w:rPr>
          <w:rFonts w:ascii="Arial" w:hAnsi="Arial" w:cs="Arial"/>
          <w:bCs/>
        </w:rPr>
        <w:t xml:space="preserve"> </w:t>
      </w:r>
      <w:r w:rsidRPr="00CD59CC">
        <w:rPr>
          <w:rFonts w:ascii="Arial" w:hAnsi="Arial" w:cs="Arial"/>
          <w:bCs/>
        </w:rPr>
        <w:t>Under</w:t>
      </w:r>
      <w:r w:rsidR="007B7640" w:rsidRPr="00CD59CC">
        <w:rPr>
          <w:rFonts w:ascii="Arial" w:hAnsi="Arial" w:cs="Arial"/>
          <w:bCs/>
        </w:rPr>
        <w:t xml:space="preserve"> </w:t>
      </w:r>
      <w:r w:rsidRPr="00CD59CC">
        <w:rPr>
          <w:rFonts w:ascii="Arial" w:hAnsi="Arial" w:cs="Arial"/>
          <w:bCs/>
        </w:rPr>
        <w:t>Article</w:t>
      </w:r>
      <w:r w:rsidR="007B7640" w:rsidRPr="00CD59CC">
        <w:rPr>
          <w:rFonts w:ascii="Arial" w:hAnsi="Arial" w:cs="Arial"/>
          <w:bCs/>
        </w:rPr>
        <w:t xml:space="preserve"> </w:t>
      </w:r>
      <w:r w:rsidRPr="00CD59CC">
        <w:rPr>
          <w:rFonts w:ascii="Arial" w:hAnsi="Arial" w:cs="Arial"/>
          <w:bCs/>
        </w:rPr>
        <w:t>75</w:t>
      </w:r>
      <w:r w:rsidR="007B7640" w:rsidRPr="00CD59CC">
        <w:rPr>
          <w:rFonts w:ascii="Arial" w:hAnsi="Arial" w:cs="Arial"/>
          <w:bCs/>
        </w:rPr>
        <w:t xml:space="preserve"> </w:t>
      </w:r>
      <w:r w:rsidRPr="00CD59CC">
        <w:rPr>
          <w:rFonts w:ascii="Arial" w:hAnsi="Arial" w:cs="Arial"/>
          <w:bCs/>
        </w:rPr>
        <w:t>Paragraph</w:t>
      </w:r>
      <w:r w:rsidR="007B7640" w:rsidRPr="00CD59CC">
        <w:rPr>
          <w:rFonts w:ascii="Arial" w:hAnsi="Arial" w:cs="Arial"/>
          <w:bCs/>
        </w:rPr>
        <w:t xml:space="preserve"> </w:t>
      </w:r>
      <w:r w:rsidRPr="00CD59CC">
        <w:rPr>
          <w:rFonts w:ascii="Arial" w:hAnsi="Arial" w:cs="Arial"/>
          <w:bCs/>
        </w:rPr>
        <w:t>(2)</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Civil</w:t>
      </w:r>
      <w:r w:rsidR="007B7640" w:rsidRPr="00CD59CC">
        <w:rPr>
          <w:rFonts w:ascii="Arial" w:hAnsi="Arial" w:cs="Arial"/>
          <w:bCs/>
        </w:rPr>
        <w:t xml:space="preserve"> </w:t>
      </w:r>
      <w:r w:rsidRPr="00CD59CC">
        <w:rPr>
          <w:rFonts w:ascii="Arial" w:hAnsi="Arial" w:cs="Arial"/>
          <w:bCs/>
        </w:rPr>
        <w:t>Code,</w:t>
      </w:r>
      <w:r w:rsidR="007B7640" w:rsidRPr="00CD59CC">
        <w:rPr>
          <w:rFonts w:ascii="Arial" w:hAnsi="Arial" w:cs="Arial"/>
          <w:bCs/>
        </w:rPr>
        <w:t xml:space="preserve"> </w:t>
      </w:r>
      <w:r w:rsidRPr="00CD59CC">
        <w:rPr>
          <w:rFonts w:ascii="Arial" w:hAnsi="Arial" w:cs="Arial"/>
          <w:bCs/>
        </w:rPr>
        <w:t>provisions</w:t>
      </w:r>
      <w:r w:rsidR="007B7640" w:rsidRPr="00CD59CC">
        <w:rPr>
          <w:rFonts w:ascii="Arial" w:hAnsi="Arial" w:cs="Arial"/>
          <w:bCs/>
        </w:rPr>
        <w:t xml:space="preserve"> </w:t>
      </w:r>
      <w:r w:rsidRPr="00CD59CC">
        <w:rPr>
          <w:rFonts w:ascii="Arial" w:hAnsi="Arial" w:cs="Arial"/>
          <w:bCs/>
        </w:rPr>
        <w:t>relating</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protection</w:t>
      </w:r>
      <w:r w:rsidR="007B7640" w:rsidRPr="00CD59CC">
        <w:rPr>
          <w:rFonts w:ascii="Arial" w:hAnsi="Arial" w:cs="Arial"/>
          <w:bCs/>
        </w:rPr>
        <w:t xml:space="preserve"> </w:t>
      </w:r>
      <w:r w:rsidRPr="00CD59CC">
        <w:rPr>
          <w:rFonts w:ascii="Arial" w:hAnsi="Arial" w:cs="Arial"/>
          <w:bCs/>
        </w:rPr>
        <w:t>against</w:t>
      </w:r>
      <w:r w:rsidR="007B7640" w:rsidRPr="00CD59CC">
        <w:rPr>
          <w:rFonts w:ascii="Arial" w:hAnsi="Arial" w:cs="Arial"/>
          <w:bCs/>
        </w:rPr>
        <w:t xml:space="preserve"> </w:t>
      </w:r>
      <w:r w:rsidRPr="00CD59CC">
        <w:rPr>
          <w:rFonts w:ascii="Arial" w:hAnsi="Arial" w:cs="Arial"/>
          <w:bCs/>
        </w:rPr>
        <w:t>discrimination</w:t>
      </w:r>
      <w:r w:rsidR="007B7640" w:rsidRPr="00CD59CC">
        <w:rPr>
          <w:rFonts w:ascii="Arial" w:hAnsi="Arial" w:cs="Arial"/>
          <w:bCs/>
        </w:rPr>
        <w:t xml:space="preserve"> </w:t>
      </w:r>
      <w:r w:rsidRPr="00CD59CC">
        <w:rPr>
          <w:rFonts w:ascii="Arial" w:hAnsi="Arial" w:cs="Arial"/>
          <w:bCs/>
        </w:rPr>
        <w:t>apply</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legal</w:t>
      </w:r>
      <w:r w:rsidR="007B7640" w:rsidRPr="00CD59CC">
        <w:rPr>
          <w:rFonts w:ascii="Arial" w:hAnsi="Arial" w:cs="Arial"/>
          <w:bCs/>
        </w:rPr>
        <w:t xml:space="preserve"> </w:t>
      </w:r>
      <w:r w:rsidRPr="00CD59CC">
        <w:rPr>
          <w:rFonts w:ascii="Arial" w:hAnsi="Arial" w:cs="Arial"/>
          <w:bCs/>
        </w:rPr>
        <w:t>persons</w:t>
      </w:r>
      <w:r w:rsidR="007B7640" w:rsidRPr="00CD59CC">
        <w:rPr>
          <w:rFonts w:ascii="Arial" w:hAnsi="Arial" w:cs="Arial"/>
          <w:bCs/>
        </w:rPr>
        <w:t xml:space="preserve"> </w:t>
      </w:r>
      <w:r w:rsidRPr="00CD59CC">
        <w:rPr>
          <w:rFonts w:ascii="Arial" w:hAnsi="Arial" w:cs="Arial"/>
          <w:bCs/>
        </w:rPr>
        <w:t>unless</w:t>
      </w:r>
      <w:r w:rsidR="007B7640" w:rsidRPr="00CD59CC">
        <w:rPr>
          <w:rFonts w:ascii="Arial" w:hAnsi="Arial" w:cs="Arial"/>
          <w:bCs/>
        </w:rPr>
        <w:t xml:space="preserve"> </w:t>
      </w:r>
      <w:r w:rsidRPr="00CD59CC">
        <w:rPr>
          <w:rFonts w:ascii="Arial" w:hAnsi="Arial" w:cs="Arial"/>
          <w:bCs/>
        </w:rPr>
        <w:t>due</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character</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protection</w:t>
      </w:r>
      <w:r w:rsidR="007B7640" w:rsidRPr="00CD59CC">
        <w:rPr>
          <w:rFonts w:ascii="Arial" w:hAnsi="Arial" w:cs="Arial"/>
          <w:bCs/>
        </w:rPr>
        <w:t xml:space="preserve"> </w:t>
      </w:r>
      <w:r w:rsidRPr="00CD59CC">
        <w:rPr>
          <w:rFonts w:ascii="Arial" w:hAnsi="Arial" w:cs="Arial"/>
          <w:bCs/>
        </w:rPr>
        <w:t>it</w:t>
      </w:r>
      <w:r w:rsidR="007B7640" w:rsidRPr="00CD59CC">
        <w:rPr>
          <w:rFonts w:ascii="Arial" w:hAnsi="Arial" w:cs="Arial"/>
          <w:bCs/>
        </w:rPr>
        <w:t xml:space="preserve"> </w:t>
      </w:r>
      <w:r w:rsidRPr="00CD59CC">
        <w:rPr>
          <w:rFonts w:ascii="Arial" w:hAnsi="Arial" w:cs="Arial"/>
          <w:bCs/>
        </w:rPr>
        <w:t>is</w:t>
      </w:r>
      <w:r w:rsidR="007B7640" w:rsidRPr="00CD59CC">
        <w:rPr>
          <w:rFonts w:ascii="Arial" w:hAnsi="Arial" w:cs="Arial"/>
          <w:bCs/>
        </w:rPr>
        <w:t xml:space="preserve"> </w:t>
      </w:r>
      <w:r w:rsidRPr="00CD59CC">
        <w:rPr>
          <w:rFonts w:ascii="Arial" w:hAnsi="Arial" w:cs="Arial"/>
          <w:bCs/>
        </w:rPr>
        <w:t>limited</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natural</w:t>
      </w:r>
      <w:r w:rsidR="007B7640" w:rsidRPr="00CD59CC">
        <w:rPr>
          <w:rFonts w:ascii="Arial" w:hAnsi="Arial" w:cs="Arial"/>
          <w:bCs/>
        </w:rPr>
        <w:t xml:space="preserve"> </w:t>
      </w:r>
      <w:r w:rsidRPr="00CD59CC">
        <w:rPr>
          <w:rFonts w:ascii="Arial" w:hAnsi="Arial" w:cs="Arial"/>
          <w:bCs/>
        </w:rPr>
        <w:t>persons.</w:t>
      </w:r>
      <w:r w:rsidR="007B7640" w:rsidRPr="00CD59CC">
        <w:rPr>
          <w:rFonts w:ascii="Arial" w:hAnsi="Arial" w:cs="Arial"/>
          <w:bCs/>
        </w:rPr>
        <w:t xml:space="preserve"> </w:t>
      </w:r>
      <w:r w:rsidRPr="00CD59CC">
        <w:rPr>
          <w:rFonts w:ascii="Arial" w:hAnsi="Arial" w:cs="Arial"/>
          <w:bCs/>
        </w:rPr>
        <w:t>For</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purposes</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protection,</w:t>
      </w:r>
      <w:r w:rsidR="007B7640" w:rsidRPr="00CD59CC">
        <w:rPr>
          <w:rFonts w:ascii="Arial" w:hAnsi="Arial" w:cs="Arial"/>
          <w:bCs/>
        </w:rPr>
        <w:t xml:space="preserve"> </w:t>
      </w:r>
      <w:r w:rsidRPr="00CD59CC">
        <w:rPr>
          <w:rFonts w:ascii="Arial" w:hAnsi="Arial" w:cs="Arial"/>
          <w:bCs/>
        </w:rPr>
        <w:t>therefore,</w:t>
      </w:r>
      <w:r w:rsidR="007B7640" w:rsidRPr="00CD59CC">
        <w:rPr>
          <w:rFonts w:ascii="Arial" w:hAnsi="Arial" w:cs="Arial"/>
          <w:bCs/>
        </w:rPr>
        <w:t xml:space="preserve"> </w:t>
      </w:r>
      <w:r w:rsidRPr="00CD59CC">
        <w:rPr>
          <w:rFonts w:ascii="Arial" w:hAnsi="Arial" w:cs="Arial"/>
          <w:bCs/>
        </w:rPr>
        <w:t>legal</w:t>
      </w:r>
      <w:r w:rsidR="007B7640" w:rsidRPr="00CD59CC">
        <w:rPr>
          <w:rFonts w:ascii="Arial" w:hAnsi="Arial" w:cs="Arial"/>
          <w:bCs/>
        </w:rPr>
        <w:t xml:space="preserve"> </w:t>
      </w:r>
      <w:r w:rsidRPr="00CD59CC">
        <w:rPr>
          <w:rFonts w:ascii="Arial" w:hAnsi="Arial" w:cs="Arial"/>
          <w:bCs/>
        </w:rPr>
        <w:t>persons</w:t>
      </w:r>
      <w:r w:rsidR="007B7640" w:rsidRPr="00CD59CC">
        <w:rPr>
          <w:rFonts w:ascii="Arial" w:hAnsi="Arial" w:cs="Arial"/>
          <w:bCs/>
        </w:rPr>
        <w:t xml:space="preserve"> </w:t>
      </w:r>
      <w:r w:rsidRPr="00CD59CC">
        <w:rPr>
          <w:rFonts w:ascii="Arial" w:hAnsi="Arial" w:cs="Arial"/>
          <w:bCs/>
        </w:rPr>
        <w:t>are</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general</w:t>
      </w:r>
      <w:r w:rsidR="007B7640" w:rsidRPr="00CD59CC">
        <w:rPr>
          <w:rFonts w:ascii="Arial" w:hAnsi="Arial" w:cs="Arial"/>
          <w:bCs/>
        </w:rPr>
        <w:t xml:space="preserve"> </w:t>
      </w:r>
      <w:r w:rsidRPr="00CD59CC">
        <w:rPr>
          <w:rFonts w:ascii="Arial" w:hAnsi="Arial" w:cs="Arial"/>
          <w:bCs/>
        </w:rPr>
        <w:t>included.</w:t>
      </w:r>
      <w:r w:rsidR="007B7640" w:rsidRPr="00CD59CC">
        <w:rPr>
          <w:rFonts w:ascii="Arial" w:hAnsi="Arial" w:cs="Arial"/>
          <w:bCs/>
        </w:rPr>
        <w:t xml:space="preserve"> </w:t>
      </w:r>
    </w:p>
    <w:p w14:paraId="019A4D38" w14:textId="77777777" w:rsidR="003E08B3" w:rsidRPr="00CD59CC" w:rsidRDefault="003E08B3" w:rsidP="00CD59CC">
      <w:pPr>
        <w:autoSpaceDE w:val="0"/>
        <w:rPr>
          <w:rFonts w:ascii="Arial" w:hAnsi="Arial" w:cs="Arial"/>
          <w:bCs/>
        </w:rPr>
      </w:pPr>
    </w:p>
    <w:p w14:paraId="17910A4E" w14:textId="77777777" w:rsidR="003E08B3" w:rsidRPr="00CD59CC" w:rsidRDefault="003E08B3" w:rsidP="00CD59CC">
      <w:pPr>
        <w:autoSpaceDE w:val="0"/>
        <w:rPr>
          <w:rFonts w:ascii="Arial" w:hAnsi="Arial" w:cs="Arial"/>
          <w:bCs/>
        </w:rPr>
      </w:pPr>
      <w:r w:rsidRPr="00CD59CC">
        <w:rPr>
          <w:rFonts w:ascii="Arial" w:hAnsi="Arial" w:cs="Arial"/>
          <w:bCs/>
        </w:rPr>
        <w:t>As</w:t>
      </w:r>
      <w:r w:rsidR="007B7640" w:rsidRPr="00CD59CC">
        <w:rPr>
          <w:rFonts w:ascii="Arial" w:hAnsi="Arial" w:cs="Arial"/>
          <w:bCs/>
        </w:rPr>
        <w:t xml:space="preserve"> </w:t>
      </w:r>
      <w:r w:rsidRPr="00CD59CC">
        <w:rPr>
          <w:rFonts w:ascii="Arial" w:hAnsi="Arial" w:cs="Arial"/>
          <w:bCs/>
        </w:rPr>
        <w:t>for</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liability</w:t>
      </w:r>
      <w:r w:rsidR="007B7640" w:rsidRPr="00CD59CC">
        <w:rPr>
          <w:rFonts w:ascii="Arial" w:hAnsi="Arial" w:cs="Arial"/>
          <w:bCs/>
        </w:rPr>
        <w:t xml:space="preserve"> </w:t>
      </w:r>
      <w:r w:rsidRPr="00CD59CC">
        <w:rPr>
          <w:rFonts w:ascii="Arial" w:hAnsi="Arial" w:cs="Arial"/>
          <w:bCs/>
        </w:rPr>
        <w:t>for</w:t>
      </w:r>
      <w:r w:rsidR="007B7640" w:rsidRPr="00CD59CC">
        <w:rPr>
          <w:rFonts w:ascii="Arial" w:hAnsi="Arial" w:cs="Arial"/>
          <w:bCs/>
        </w:rPr>
        <w:t xml:space="preserve"> </w:t>
      </w:r>
      <w:r w:rsidRPr="00CD59CC">
        <w:rPr>
          <w:rFonts w:ascii="Arial" w:hAnsi="Arial" w:cs="Arial"/>
          <w:bCs/>
        </w:rPr>
        <w:t>discrimination,</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following</w:t>
      </w:r>
      <w:r w:rsidR="007B7640" w:rsidRPr="00CD59CC">
        <w:rPr>
          <w:rFonts w:ascii="Arial" w:hAnsi="Arial" w:cs="Arial"/>
          <w:bCs/>
        </w:rPr>
        <w:t xml:space="preserve"> </w:t>
      </w:r>
      <w:r w:rsidRPr="00CD59CC">
        <w:rPr>
          <w:rFonts w:ascii="Arial" w:hAnsi="Arial" w:cs="Arial"/>
          <w:bCs/>
        </w:rPr>
        <w:t>can</w:t>
      </w:r>
      <w:r w:rsidR="007B7640" w:rsidRPr="00CD59CC">
        <w:rPr>
          <w:rFonts w:ascii="Arial" w:hAnsi="Arial" w:cs="Arial"/>
          <w:bCs/>
        </w:rPr>
        <w:t xml:space="preserve"> </w:t>
      </w:r>
      <w:r w:rsidRPr="00CD59CC">
        <w:rPr>
          <w:rFonts w:ascii="Arial" w:hAnsi="Arial" w:cs="Arial"/>
          <w:bCs/>
        </w:rPr>
        <w:t>be</w:t>
      </w:r>
      <w:r w:rsidR="007B7640" w:rsidRPr="00CD59CC">
        <w:rPr>
          <w:rFonts w:ascii="Arial" w:hAnsi="Arial" w:cs="Arial"/>
          <w:bCs/>
        </w:rPr>
        <w:t xml:space="preserve"> </w:t>
      </w:r>
      <w:r w:rsidRPr="00CD59CC">
        <w:rPr>
          <w:rFonts w:ascii="Arial" w:hAnsi="Arial" w:cs="Arial"/>
          <w:bCs/>
        </w:rPr>
        <w:t>said.</w:t>
      </w:r>
      <w:r w:rsidR="007B7640" w:rsidRPr="00CD59CC">
        <w:rPr>
          <w:rFonts w:ascii="Arial" w:hAnsi="Arial" w:cs="Arial"/>
          <w:bCs/>
        </w:rPr>
        <w:t xml:space="preserve"> </w:t>
      </w:r>
      <w:r w:rsidRPr="00CD59CC">
        <w:rPr>
          <w:rFonts w:ascii="Arial" w:hAnsi="Arial" w:cs="Arial"/>
          <w:bCs/>
        </w:rPr>
        <w:t>Indeed,</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relation</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liability</w:t>
      </w:r>
      <w:r w:rsidR="007B7640" w:rsidRPr="00CD59CC">
        <w:rPr>
          <w:rFonts w:ascii="Arial" w:hAnsi="Arial" w:cs="Arial"/>
          <w:bCs/>
        </w:rPr>
        <w:t xml:space="preserve"> </w:t>
      </w:r>
      <w:r w:rsidRPr="00CD59CC">
        <w:rPr>
          <w:rFonts w:ascii="Arial" w:hAnsi="Arial" w:cs="Arial"/>
          <w:bCs/>
        </w:rPr>
        <w:t>–</w:t>
      </w:r>
      <w:r w:rsidR="007B7640" w:rsidRPr="00CD59CC">
        <w:rPr>
          <w:rFonts w:ascii="Arial" w:hAnsi="Arial" w:cs="Arial"/>
          <w:bCs/>
        </w:rPr>
        <w:t xml:space="preserve"> </w:t>
      </w:r>
      <w:r w:rsidRPr="00CD59CC">
        <w:rPr>
          <w:rFonts w:ascii="Arial" w:hAnsi="Arial" w:cs="Arial"/>
          <w:bCs/>
        </w:rPr>
        <w:t>for</w:t>
      </w:r>
      <w:r w:rsidR="007B7640" w:rsidRPr="00CD59CC">
        <w:rPr>
          <w:rFonts w:ascii="Arial" w:hAnsi="Arial" w:cs="Arial"/>
          <w:bCs/>
        </w:rPr>
        <w:t xml:space="preserve"> </w:t>
      </w:r>
      <w:r w:rsidRPr="00CD59CC">
        <w:rPr>
          <w:rFonts w:ascii="Arial" w:hAnsi="Arial" w:cs="Arial"/>
          <w:bCs/>
        </w:rPr>
        <w:t>historical</w:t>
      </w:r>
      <w:r w:rsidR="007B7640" w:rsidRPr="00CD59CC">
        <w:rPr>
          <w:rFonts w:ascii="Arial" w:hAnsi="Arial" w:cs="Arial"/>
          <w:bCs/>
        </w:rPr>
        <w:t xml:space="preserve"> </w:t>
      </w:r>
      <w:r w:rsidRPr="00CD59CC">
        <w:rPr>
          <w:rFonts w:ascii="Arial" w:hAnsi="Arial" w:cs="Arial"/>
          <w:bCs/>
        </w:rPr>
        <w:t>reasons</w:t>
      </w:r>
      <w:r w:rsidR="007B7640" w:rsidRPr="00CD59CC">
        <w:rPr>
          <w:rFonts w:ascii="Arial" w:hAnsi="Arial" w:cs="Arial"/>
          <w:bCs/>
        </w:rPr>
        <w:t xml:space="preserve"> </w:t>
      </w:r>
      <w:r w:rsidRPr="00CD59CC">
        <w:rPr>
          <w:rFonts w:ascii="Arial" w:hAnsi="Arial" w:cs="Arial"/>
          <w:bCs/>
        </w:rPr>
        <w:t>–</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r w:rsidR="007B7640" w:rsidRPr="00CD59CC">
        <w:rPr>
          <w:rFonts w:ascii="Arial" w:hAnsi="Arial" w:cs="Arial"/>
          <w:bCs/>
        </w:rPr>
        <w:t xml:space="preserve"> </w:t>
      </w:r>
      <w:r w:rsidRPr="00CD59CC">
        <w:rPr>
          <w:rFonts w:ascii="Arial" w:hAnsi="Arial" w:cs="Arial"/>
          <w:bCs/>
        </w:rPr>
        <w:t>primarily</w:t>
      </w:r>
      <w:r w:rsidR="007B7640" w:rsidRPr="00CD59CC">
        <w:rPr>
          <w:rFonts w:ascii="Arial" w:hAnsi="Arial" w:cs="Arial"/>
          <w:bCs/>
        </w:rPr>
        <w:t xml:space="preserve"> </w:t>
      </w:r>
      <w:r w:rsidRPr="00CD59CC">
        <w:rPr>
          <w:rFonts w:ascii="Arial" w:hAnsi="Arial" w:cs="Arial"/>
          <w:bCs/>
        </w:rPr>
        <w:t>lists</w:t>
      </w:r>
      <w:r w:rsidR="007B7640" w:rsidRPr="00CD59CC">
        <w:rPr>
          <w:rFonts w:ascii="Arial" w:hAnsi="Arial" w:cs="Arial"/>
          <w:bCs/>
        </w:rPr>
        <w:t xml:space="preserve"> </w:t>
      </w:r>
      <w:r w:rsidRPr="00CD59CC">
        <w:rPr>
          <w:rFonts w:ascii="Arial" w:hAnsi="Arial" w:cs="Arial"/>
          <w:bCs/>
        </w:rPr>
        <w:t>(mostly</w:t>
      </w:r>
      <w:r w:rsidR="007B7640" w:rsidRPr="00CD59CC">
        <w:rPr>
          <w:rFonts w:ascii="Arial" w:hAnsi="Arial" w:cs="Arial"/>
          <w:bCs/>
        </w:rPr>
        <w:t xml:space="preserve"> </w:t>
      </w:r>
      <w:r w:rsidRPr="00CD59CC">
        <w:rPr>
          <w:rFonts w:ascii="Arial" w:hAnsi="Arial" w:cs="Arial"/>
          <w:bCs/>
        </w:rPr>
        <w:t>public)</w:t>
      </w:r>
      <w:r w:rsidR="007B7640" w:rsidRPr="00CD59CC">
        <w:rPr>
          <w:rFonts w:ascii="Arial" w:hAnsi="Arial" w:cs="Arial"/>
          <w:bCs/>
        </w:rPr>
        <w:t xml:space="preserve"> </w:t>
      </w:r>
      <w:r w:rsidRPr="00CD59CC">
        <w:rPr>
          <w:rFonts w:ascii="Arial" w:hAnsi="Arial" w:cs="Arial"/>
          <w:bCs/>
        </w:rPr>
        <w:t>legal</w:t>
      </w:r>
      <w:r w:rsidR="007B7640" w:rsidRPr="00CD59CC">
        <w:rPr>
          <w:rFonts w:ascii="Arial" w:hAnsi="Arial" w:cs="Arial"/>
          <w:bCs/>
        </w:rPr>
        <w:t xml:space="preserve"> </w:t>
      </w:r>
      <w:r w:rsidRPr="00CD59CC">
        <w:rPr>
          <w:rFonts w:ascii="Arial" w:hAnsi="Arial" w:cs="Arial"/>
          <w:bCs/>
        </w:rPr>
        <w:t>entities.</w:t>
      </w:r>
      <w:r w:rsidR="007B7640" w:rsidRPr="00CD59CC">
        <w:rPr>
          <w:rFonts w:ascii="Arial" w:hAnsi="Arial" w:cs="Arial"/>
          <w:bCs/>
        </w:rPr>
        <w:t xml:space="preserve"> </w:t>
      </w:r>
      <w:r w:rsidRPr="00CD59CC">
        <w:rPr>
          <w:rFonts w:ascii="Arial" w:hAnsi="Arial" w:cs="Arial"/>
          <w:bCs/>
        </w:rPr>
        <w:t>Under</w:t>
      </w:r>
      <w:r w:rsidR="007B7640" w:rsidRPr="00CD59CC">
        <w:rPr>
          <w:rFonts w:ascii="Arial" w:hAnsi="Arial" w:cs="Arial"/>
          <w:bCs/>
        </w:rPr>
        <w:t xml:space="preserve"> </w:t>
      </w:r>
      <w:r w:rsidRPr="00CD59CC">
        <w:rPr>
          <w:rFonts w:ascii="Arial" w:hAnsi="Arial" w:cs="Arial"/>
          <w:bCs/>
        </w:rPr>
        <w:t>Article</w:t>
      </w:r>
      <w:r w:rsidR="007B7640" w:rsidRPr="00CD59CC">
        <w:rPr>
          <w:rFonts w:ascii="Arial" w:hAnsi="Arial" w:cs="Arial"/>
          <w:bCs/>
        </w:rPr>
        <w:t xml:space="preserve"> </w:t>
      </w:r>
      <w:r w:rsidRPr="00CD59CC">
        <w:rPr>
          <w:rFonts w:ascii="Arial" w:hAnsi="Arial" w:cs="Arial"/>
          <w:bCs/>
        </w:rPr>
        <w:t>4,</w:t>
      </w:r>
      <w:r w:rsidR="007B7640" w:rsidRPr="00CD59CC">
        <w:rPr>
          <w:rFonts w:ascii="Arial" w:hAnsi="Arial" w:cs="Arial"/>
          <w:bCs/>
        </w:rPr>
        <w:t xml:space="preserve"> </w:t>
      </w:r>
      <w:r w:rsidRPr="00CD59CC">
        <w:rPr>
          <w:rFonts w:ascii="Arial" w:hAnsi="Arial" w:cs="Arial"/>
          <w:bCs/>
        </w:rPr>
        <w:t>these</w:t>
      </w:r>
      <w:r w:rsidR="007B7640" w:rsidRPr="00CD59CC">
        <w:rPr>
          <w:rFonts w:ascii="Arial" w:hAnsi="Arial" w:cs="Arial"/>
          <w:bCs/>
        </w:rPr>
        <w:t xml:space="preserve"> </w:t>
      </w:r>
      <w:r w:rsidRPr="00CD59CC">
        <w:rPr>
          <w:rFonts w:ascii="Arial" w:hAnsi="Arial" w:cs="Arial"/>
          <w:bCs/>
        </w:rPr>
        <w:t>include:</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Hungarian</w:t>
      </w:r>
      <w:r w:rsidR="007B7640" w:rsidRPr="00CD59CC">
        <w:rPr>
          <w:rFonts w:ascii="Arial" w:hAnsi="Arial" w:cs="Arial"/>
          <w:bCs/>
        </w:rPr>
        <w:t xml:space="preserve"> </w:t>
      </w:r>
      <w:r w:rsidRPr="00CD59CC">
        <w:rPr>
          <w:rFonts w:ascii="Arial" w:hAnsi="Arial" w:cs="Arial"/>
          <w:bCs/>
        </w:rPr>
        <w:t>state,</w:t>
      </w:r>
      <w:r w:rsidR="007B7640" w:rsidRPr="00CD59CC">
        <w:rPr>
          <w:rFonts w:ascii="Arial" w:hAnsi="Arial" w:cs="Arial"/>
          <w:bCs/>
        </w:rPr>
        <w:t xml:space="preserve"> </w:t>
      </w:r>
      <w:r w:rsidRPr="00CD59CC">
        <w:rPr>
          <w:rFonts w:ascii="Arial" w:hAnsi="Arial" w:cs="Arial"/>
          <w:bCs/>
        </w:rPr>
        <w:t>local</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nationality</w:t>
      </w:r>
      <w:r w:rsidR="007B7640" w:rsidRPr="00CD59CC">
        <w:rPr>
          <w:rFonts w:ascii="Arial" w:hAnsi="Arial" w:cs="Arial"/>
          <w:bCs/>
        </w:rPr>
        <w:t xml:space="preserve"> </w:t>
      </w:r>
      <w:r w:rsidRPr="00CD59CC">
        <w:rPr>
          <w:rFonts w:ascii="Arial" w:hAnsi="Arial" w:cs="Arial"/>
          <w:bCs/>
        </w:rPr>
        <w:t>self-governments,</w:t>
      </w:r>
      <w:r w:rsidR="007B7640" w:rsidRPr="00CD59CC">
        <w:rPr>
          <w:rFonts w:ascii="Arial" w:hAnsi="Arial" w:cs="Arial"/>
          <w:bCs/>
        </w:rPr>
        <w:t xml:space="preserve"> </w:t>
      </w:r>
      <w:r w:rsidRPr="00CD59CC">
        <w:rPr>
          <w:rFonts w:ascii="Arial" w:hAnsi="Arial" w:cs="Arial"/>
          <w:bCs/>
        </w:rPr>
        <w:t>public</w:t>
      </w:r>
      <w:r w:rsidR="007B7640" w:rsidRPr="00CD59CC">
        <w:rPr>
          <w:rFonts w:ascii="Arial" w:hAnsi="Arial" w:cs="Arial"/>
          <w:bCs/>
        </w:rPr>
        <w:t xml:space="preserve"> </w:t>
      </w:r>
      <w:r w:rsidRPr="00CD59CC">
        <w:rPr>
          <w:rFonts w:ascii="Arial" w:hAnsi="Arial" w:cs="Arial"/>
          <w:bCs/>
        </w:rPr>
        <w:t>authorities,</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army,</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police,</w:t>
      </w:r>
      <w:r w:rsidR="007B7640" w:rsidRPr="00CD59CC">
        <w:rPr>
          <w:rFonts w:ascii="Arial" w:hAnsi="Arial" w:cs="Arial"/>
          <w:bCs/>
        </w:rPr>
        <w:t xml:space="preserve"> </w:t>
      </w:r>
      <w:r w:rsidRPr="00CD59CC">
        <w:rPr>
          <w:rFonts w:ascii="Arial" w:hAnsi="Arial" w:cs="Arial"/>
          <w:bCs/>
        </w:rPr>
        <w:t>prison</w:t>
      </w:r>
      <w:r w:rsidR="007B7640" w:rsidRPr="00CD59CC">
        <w:rPr>
          <w:rFonts w:ascii="Arial" w:hAnsi="Arial" w:cs="Arial"/>
          <w:bCs/>
        </w:rPr>
        <w:t xml:space="preserve"> </w:t>
      </w:r>
      <w:r w:rsidRPr="00CD59CC">
        <w:rPr>
          <w:rFonts w:ascii="Arial" w:hAnsi="Arial" w:cs="Arial"/>
          <w:bCs/>
        </w:rPr>
        <w:t>services,</w:t>
      </w:r>
      <w:r w:rsidR="007B7640" w:rsidRPr="00CD59CC">
        <w:rPr>
          <w:rFonts w:ascii="Arial" w:hAnsi="Arial" w:cs="Arial"/>
          <w:bCs/>
        </w:rPr>
        <w:t xml:space="preserve"> </w:t>
      </w:r>
      <w:r w:rsidRPr="00CD59CC">
        <w:rPr>
          <w:rFonts w:ascii="Arial" w:hAnsi="Arial" w:cs="Arial"/>
          <w:bCs/>
        </w:rPr>
        <w:t>border</w:t>
      </w:r>
      <w:r w:rsidR="007B7640" w:rsidRPr="00CD59CC">
        <w:rPr>
          <w:rFonts w:ascii="Arial" w:hAnsi="Arial" w:cs="Arial"/>
          <w:bCs/>
        </w:rPr>
        <w:t xml:space="preserve"> </w:t>
      </w:r>
      <w:r w:rsidRPr="00CD59CC">
        <w:rPr>
          <w:rFonts w:ascii="Arial" w:hAnsi="Arial" w:cs="Arial"/>
          <w:bCs/>
        </w:rPr>
        <w:t>guards,</w:t>
      </w:r>
      <w:r w:rsidR="007B7640" w:rsidRPr="00CD59CC">
        <w:rPr>
          <w:rFonts w:ascii="Arial" w:hAnsi="Arial" w:cs="Arial"/>
          <w:bCs/>
        </w:rPr>
        <w:t xml:space="preserve"> </w:t>
      </w:r>
      <w:r w:rsidRPr="00CD59CC">
        <w:rPr>
          <w:rFonts w:ascii="Arial" w:hAnsi="Arial" w:cs="Arial"/>
          <w:bCs/>
        </w:rPr>
        <w:t>public</w:t>
      </w:r>
      <w:r w:rsidR="007B7640" w:rsidRPr="00CD59CC">
        <w:rPr>
          <w:rFonts w:ascii="Arial" w:hAnsi="Arial" w:cs="Arial"/>
          <w:bCs/>
        </w:rPr>
        <w:t xml:space="preserve"> </w:t>
      </w:r>
      <w:r w:rsidRPr="00CD59CC">
        <w:rPr>
          <w:rFonts w:ascii="Arial" w:hAnsi="Arial" w:cs="Arial"/>
          <w:bCs/>
        </w:rPr>
        <w:t>foundations</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associations,</w:t>
      </w:r>
      <w:r w:rsidR="007B7640" w:rsidRPr="00CD59CC">
        <w:rPr>
          <w:rFonts w:ascii="Arial" w:hAnsi="Arial" w:cs="Arial"/>
          <w:bCs/>
        </w:rPr>
        <w:t xml:space="preserve"> </w:t>
      </w:r>
      <w:r w:rsidRPr="00CD59CC">
        <w:rPr>
          <w:rFonts w:ascii="Arial" w:hAnsi="Arial" w:cs="Arial"/>
          <w:bCs/>
        </w:rPr>
        <w:t>bodies</w:t>
      </w:r>
      <w:r w:rsidR="007B7640" w:rsidRPr="00CD59CC">
        <w:rPr>
          <w:rFonts w:ascii="Arial" w:hAnsi="Arial" w:cs="Arial"/>
          <w:bCs/>
        </w:rPr>
        <w:t xml:space="preserve"> </w:t>
      </w:r>
      <w:r w:rsidRPr="00CD59CC">
        <w:rPr>
          <w:rFonts w:ascii="Arial" w:hAnsi="Arial" w:cs="Arial"/>
          <w:bCs/>
        </w:rPr>
        <w:t>providing</w:t>
      </w:r>
      <w:r w:rsidR="007B7640" w:rsidRPr="00CD59CC">
        <w:rPr>
          <w:rFonts w:ascii="Arial" w:hAnsi="Arial" w:cs="Arial"/>
          <w:bCs/>
        </w:rPr>
        <w:t xml:space="preserve"> </w:t>
      </w:r>
      <w:r w:rsidRPr="00CD59CC">
        <w:rPr>
          <w:rFonts w:ascii="Arial" w:hAnsi="Arial" w:cs="Arial"/>
          <w:bCs/>
        </w:rPr>
        <w:t>public</w:t>
      </w:r>
      <w:r w:rsidR="007B7640" w:rsidRPr="00CD59CC">
        <w:rPr>
          <w:rFonts w:ascii="Arial" w:hAnsi="Arial" w:cs="Arial"/>
          <w:bCs/>
        </w:rPr>
        <w:t xml:space="preserve"> </w:t>
      </w:r>
      <w:r w:rsidRPr="00CD59CC">
        <w:rPr>
          <w:rFonts w:ascii="Arial" w:hAnsi="Arial" w:cs="Arial"/>
          <w:bCs/>
        </w:rPr>
        <w:t>services,</w:t>
      </w:r>
      <w:r w:rsidR="007B7640" w:rsidRPr="00CD59CC">
        <w:rPr>
          <w:rFonts w:ascii="Arial" w:hAnsi="Arial" w:cs="Arial"/>
          <w:bCs/>
        </w:rPr>
        <w:t xml:space="preserve"> </w:t>
      </w:r>
      <w:r w:rsidRPr="00CD59CC">
        <w:rPr>
          <w:rFonts w:ascii="Arial" w:hAnsi="Arial" w:cs="Arial"/>
          <w:bCs/>
        </w:rPr>
        <w:t>schools</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universities,</w:t>
      </w:r>
      <w:r w:rsidR="007B7640" w:rsidRPr="00CD59CC">
        <w:rPr>
          <w:rFonts w:ascii="Arial" w:hAnsi="Arial" w:cs="Arial"/>
          <w:bCs/>
        </w:rPr>
        <w:t xml:space="preserve"> </w:t>
      </w:r>
      <w:r w:rsidRPr="00CD59CC">
        <w:rPr>
          <w:rFonts w:ascii="Arial" w:hAnsi="Arial" w:cs="Arial"/>
          <w:bCs/>
        </w:rPr>
        <w:t>persons</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institutions</w:t>
      </w:r>
      <w:r w:rsidR="007B7640" w:rsidRPr="00CD59CC">
        <w:rPr>
          <w:rFonts w:ascii="Arial" w:hAnsi="Arial" w:cs="Arial"/>
          <w:bCs/>
        </w:rPr>
        <w:t xml:space="preserve"> </w:t>
      </w:r>
      <w:r w:rsidRPr="00CD59CC">
        <w:rPr>
          <w:rFonts w:ascii="Arial" w:hAnsi="Arial" w:cs="Arial"/>
          <w:bCs/>
        </w:rPr>
        <w:t>providing</w:t>
      </w:r>
      <w:r w:rsidR="007B7640" w:rsidRPr="00CD59CC">
        <w:rPr>
          <w:rFonts w:ascii="Arial" w:hAnsi="Arial" w:cs="Arial"/>
          <w:bCs/>
        </w:rPr>
        <w:t xml:space="preserve"> </w:t>
      </w:r>
      <w:r w:rsidRPr="00CD59CC">
        <w:rPr>
          <w:rFonts w:ascii="Arial" w:hAnsi="Arial" w:cs="Arial"/>
          <w:bCs/>
        </w:rPr>
        <w:t>social</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child</w:t>
      </w:r>
      <w:r w:rsidR="007B7640" w:rsidRPr="00CD59CC">
        <w:rPr>
          <w:rFonts w:ascii="Arial" w:hAnsi="Arial" w:cs="Arial"/>
          <w:bCs/>
        </w:rPr>
        <w:t xml:space="preserve"> </w:t>
      </w:r>
      <w:r w:rsidRPr="00CD59CC">
        <w:rPr>
          <w:rFonts w:ascii="Arial" w:hAnsi="Arial" w:cs="Arial"/>
          <w:bCs/>
        </w:rPr>
        <w:t>protection</w:t>
      </w:r>
      <w:r w:rsidR="007B7640" w:rsidRPr="00CD59CC">
        <w:rPr>
          <w:rFonts w:ascii="Arial" w:hAnsi="Arial" w:cs="Arial"/>
          <w:bCs/>
        </w:rPr>
        <w:t xml:space="preserve"> </w:t>
      </w:r>
      <w:r w:rsidRPr="00CD59CC">
        <w:rPr>
          <w:rFonts w:ascii="Arial" w:hAnsi="Arial" w:cs="Arial"/>
          <w:bCs/>
        </w:rPr>
        <w:t>services,</w:t>
      </w:r>
      <w:r w:rsidR="007B7640" w:rsidRPr="00CD59CC">
        <w:rPr>
          <w:rFonts w:ascii="Arial" w:hAnsi="Arial" w:cs="Arial"/>
          <w:bCs/>
        </w:rPr>
        <w:t xml:space="preserve"> </w:t>
      </w:r>
      <w:r w:rsidRPr="00CD59CC">
        <w:rPr>
          <w:rFonts w:ascii="Arial" w:hAnsi="Arial" w:cs="Arial"/>
          <w:bCs/>
        </w:rPr>
        <w:t>museums,</w:t>
      </w:r>
      <w:r w:rsidR="007B7640" w:rsidRPr="00CD59CC">
        <w:rPr>
          <w:rFonts w:ascii="Arial" w:hAnsi="Arial" w:cs="Arial"/>
          <w:bCs/>
        </w:rPr>
        <w:t xml:space="preserve"> </w:t>
      </w:r>
      <w:r w:rsidRPr="00CD59CC">
        <w:rPr>
          <w:rFonts w:ascii="Arial" w:hAnsi="Arial" w:cs="Arial"/>
          <w:bCs/>
        </w:rPr>
        <w:t>libraries,</w:t>
      </w:r>
      <w:r w:rsidR="007B7640" w:rsidRPr="00CD59CC">
        <w:rPr>
          <w:rFonts w:ascii="Arial" w:hAnsi="Arial" w:cs="Arial"/>
          <w:bCs/>
        </w:rPr>
        <w:t xml:space="preserve"> </w:t>
      </w:r>
      <w:r w:rsidRPr="00CD59CC">
        <w:rPr>
          <w:rFonts w:ascii="Arial" w:hAnsi="Arial" w:cs="Arial"/>
          <w:bCs/>
        </w:rPr>
        <w:t>private</w:t>
      </w:r>
      <w:r w:rsidR="007B7640" w:rsidRPr="00CD59CC">
        <w:rPr>
          <w:rFonts w:ascii="Arial" w:hAnsi="Arial" w:cs="Arial"/>
          <w:bCs/>
        </w:rPr>
        <w:t xml:space="preserve"> </w:t>
      </w:r>
      <w:r w:rsidRPr="00CD59CC">
        <w:rPr>
          <w:rFonts w:ascii="Arial" w:hAnsi="Arial" w:cs="Arial"/>
          <w:bCs/>
        </w:rPr>
        <w:t>pension</w:t>
      </w:r>
      <w:r w:rsidR="007B7640" w:rsidRPr="00CD59CC">
        <w:rPr>
          <w:rFonts w:ascii="Arial" w:hAnsi="Arial" w:cs="Arial"/>
          <w:bCs/>
        </w:rPr>
        <w:t xml:space="preserve"> </w:t>
      </w:r>
      <w:r w:rsidRPr="00CD59CC">
        <w:rPr>
          <w:rFonts w:ascii="Arial" w:hAnsi="Arial" w:cs="Arial"/>
          <w:bCs/>
        </w:rPr>
        <w:t>schemes,</w:t>
      </w:r>
      <w:r w:rsidR="007B7640" w:rsidRPr="00CD59CC">
        <w:rPr>
          <w:rFonts w:ascii="Arial" w:hAnsi="Arial" w:cs="Arial"/>
          <w:bCs/>
        </w:rPr>
        <w:t xml:space="preserve"> </w:t>
      </w:r>
      <w:r w:rsidRPr="00CD59CC">
        <w:rPr>
          <w:rFonts w:ascii="Arial" w:hAnsi="Arial" w:cs="Arial"/>
          <w:bCs/>
        </w:rPr>
        <w:t>voluntary</w:t>
      </w:r>
      <w:r w:rsidR="007B7640" w:rsidRPr="00CD59CC">
        <w:rPr>
          <w:rFonts w:ascii="Arial" w:hAnsi="Arial" w:cs="Arial"/>
          <w:bCs/>
        </w:rPr>
        <w:t xml:space="preserve"> </w:t>
      </w:r>
      <w:r w:rsidRPr="00CD59CC">
        <w:rPr>
          <w:rFonts w:ascii="Arial" w:hAnsi="Arial" w:cs="Arial"/>
          <w:bCs/>
        </w:rPr>
        <w:t>mutual</w:t>
      </w:r>
      <w:r w:rsidR="007B7640" w:rsidRPr="00CD59CC">
        <w:rPr>
          <w:rFonts w:ascii="Arial" w:hAnsi="Arial" w:cs="Arial"/>
          <w:bCs/>
        </w:rPr>
        <w:t xml:space="preserve"> </w:t>
      </w:r>
      <w:r w:rsidRPr="00CD59CC">
        <w:rPr>
          <w:rFonts w:ascii="Arial" w:hAnsi="Arial" w:cs="Arial"/>
          <w:bCs/>
        </w:rPr>
        <w:t>insurance</w:t>
      </w:r>
      <w:r w:rsidR="007B7640" w:rsidRPr="00CD59CC">
        <w:rPr>
          <w:rFonts w:ascii="Arial" w:hAnsi="Arial" w:cs="Arial"/>
          <w:bCs/>
        </w:rPr>
        <w:t xml:space="preserve"> </w:t>
      </w:r>
      <w:r w:rsidRPr="00CD59CC">
        <w:rPr>
          <w:rFonts w:ascii="Arial" w:hAnsi="Arial" w:cs="Arial"/>
          <w:bCs/>
        </w:rPr>
        <w:t>schemes,</w:t>
      </w:r>
      <w:r w:rsidR="007B7640" w:rsidRPr="00CD59CC">
        <w:rPr>
          <w:rFonts w:ascii="Arial" w:hAnsi="Arial" w:cs="Arial"/>
          <w:bCs/>
        </w:rPr>
        <w:t xml:space="preserve"> </w:t>
      </w:r>
      <w:r w:rsidRPr="00CD59CC">
        <w:rPr>
          <w:rFonts w:ascii="Arial" w:hAnsi="Arial" w:cs="Arial"/>
          <w:bCs/>
        </w:rPr>
        <w:t>health</w:t>
      </w:r>
      <w:r w:rsidR="007B7640" w:rsidRPr="00CD59CC">
        <w:rPr>
          <w:rFonts w:ascii="Arial" w:hAnsi="Arial" w:cs="Arial"/>
          <w:bCs/>
        </w:rPr>
        <w:t xml:space="preserve"> </w:t>
      </w:r>
      <w:r w:rsidRPr="00CD59CC">
        <w:rPr>
          <w:rFonts w:ascii="Arial" w:hAnsi="Arial" w:cs="Arial"/>
          <w:bCs/>
        </w:rPr>
        <w:t>service</w:t>
      </w:r>
      <w:r w:rsidR="007B7640" w:rsidRPr="00CD59CC">
        <w:rPr>
          <w:rFonts w:ascii="Arial" w:hAnsi="Arial" w:cs="Arial"/>
          <w:bCs/>
        </w:rPr>
        <w:t xml:space="preserve"> </w:t>
      </w:r>
      <w:r w:rsidRPr="00CD59CC">
        <w:rPr>
          <w:rFonts w:ascii="Arial" w:hAnsi="Arial" w:cs="Arial"/>
          <w:bCs/>
        </w:rPr>
        <w:t>providers,</w:t>
      </w:r>
      <w:r w:rsidR="007B7640" w:rsidRPr="00CD59CC">
        <w:rPr>
          <w:rFonts w:ascii="Arial" w:hAnsi="Arial" w:cs="Arial"/>
          <w:bCs/>
        </w:rPr>
        <w:t xml:space="preserve"> </w:t>
      </w:r>
      <w:r w:rsidRPr="00CD59CC">
        <w:rPr>
          <w:rFonts w:ascii="Arial" w:hAnsi="Arial" w:cs="Arial"/>
          <w:bCs/>
        </w:rPr>
        <w:t>political</w:t>
      </w:r>
      <w:r w:rsidR="007B7640" w:rsidRPr="00CD59CC">
        <w:rPr>
          <w:rFonts w:ascii="Arial" w:hAnsi="Arial" w:cs="Arial"/>
          <w:bCs/>
        </w:rPr>
        <w:t xml:space="preserve"> </w:t>
      </w:r>
      <w:r w:rsidRPr="00CD59CC">
        <w:rPr>
          <w:rFonts w:ascii="Arial" w:hAnsi="Arial" w:cs="Arial"/>
          <w:bCs/>
        </w:rPr>
        <w:t>parties</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other</w:t>
      </w:r>
      <w:r w:rsidR="007B7640" w:rsidRPr="00CD59CC">
        <w:rPr>
          <w:rFonts w:ascii="Arial" w:hAnsi="Arial" w:cs="Arial"/>
          <w:bCs/>
        </w:rPr>
        <w:t xml:space="preserve"> </w:t>
      </w:r>
      <w:r w:rsidRPr="00CD59CC">
        <w:rPr>
          <w:rFonts w:ascii="Arial" w:hAnsi="Arial" w:cs="Arial"/>
          <w:bCs/>
        </w:rPr>
        <w:t>organs</w:t>
      </w:r>
      <w:r w:rsidR="007B7640" w:rsidRPr="00CD59CC">
        <w:rPr>
          <w:rFonts w:ascii="Arial" w:hAnsi="Arial" w:cs="Arial"/>
          <w:bCs/>
        </w:rPr>
        <w:t xml:space="preserve"> </w:t>
      </w:r>
      <w:r w:rsidRPr="00CD59CC">
        <w:rPr>
          <w:rFonts w:ascii="Arial" w:hAnsi="Arial" w:cs="Arial"/>
          <w:bCs/>
        </w:rPr>
        <w:t>funded</w:t>
      </w:r>
      <w:r w:rsidR="007B7640" w:rsidRPr="00CD59CC">
        <w:rPr>
          <w:rFonts w:ascii="Arial" w:hAnsi="Arial" w:cs="Arial"/>
          <w:bCs/>
        </w:rPr>
        <w:t xml:space="preserve"> </w:t>
      </w:r>
      <w:r w:rsidRPr="00CD59CC">
        <w:rPr>
          <w:rFonts w:ascii="Arial" w:hAnsi="Arial" w:cs="Arial"/>
          <w:bCs/>
        </w:rPr>
        <w:t>from</w:t>
      </w:r>
      <w:r w:rsidR="007B7640" w:rsidRPr="00CD59CC">
        <w:rPr>
          <w:rFonts w:ascii="Arial" w:hAnsi="Arial" w:cs="Arial"/>
          <w:bCs/>
        </w:rPr>
        <w:t xml:space="preserve"> </w:t>
      </w:r>
      <w:r w:rsidRPr="00CD59CC">
        <w:rPr>
          <w:rFonts w:ascii="Arial" w:hAnsi="Arial" w:cs="Arial"/>
          <w:bCs/>
        </w:rPr>
        <w:t>central</w:t>
      </w:r>
      <w:r w:rsidR="007B7640" w:rsidRPr="00CD59CC">
        <w:rPr>
          <w:rFonts w:ascii="Arial" w:hAnsi="Arial" w:cs="Arial"/>
          <w:bCs/>
        </w:rPr>
        <w:t xml:space="preserve"> </w:t>
      </w:r>
      <w:r w:rsidRPr="00CD59CC">
        <w:rPr>
          <w:rFonts w:ascii="Arial" w:hAnsi="Arial" w:cs="Arial"/>
          <w:bCs/>
        </w:rPr>
        <w:t>budget.</w:t>
      </w:r>
      <w:r w:rsidR="007B7640" w:rsidRPr="00CD59CC">
        <w:rPr>
          <w:rFonts w:ascii="Arial" w:hAnsi="Arial" w:cs="Arial"/>
          <w:bCs/>
        </w:rPr>
        <w:t xml:space="preserve"> </w:t>
      </w:r>
    </w:p>
    <w:p w14:paraId="32450537" w14:textId="77777777" w:rsidR="003E08B3" w:rsidRPr="00CD59CC" w:rsidRDefault="003E08B3" w:rsidP="00CD59CC">
      <w:pPr>
        <w:autoSpaceDE w:val="0"/>
        <w:rPr>
          <w:rFonts w:ascii="Arial" w:hAnsi="Arial" w:cs="Arial"/>
          <w:bCs/>
        </w:rPr>
      </w:pPr>
    </w:p>
    <w:p w14:paraId="1CE5DAC6" w14:textId="77777777" w:rsidR="003E08B3" w:rsidRPr="00CD59CC" w:rsidRDefault="003E08B3" w:rsidP="00CD59CC">
      <w:pPr>
        <w:autoSpaceDE w:val="0"/>
        <w:rPr>
          <w:rFonts w:ascii="Arial" w:hAnsi="Arial" w:cs="Arial"/>
          <w:bCs/>
        </w:rPr>
      </w:pPr>
      <w:r w:rsidRPr="00CD59CC">
        <w:rPr>
          <w:rFonts w:ascii="Arial" w:hAnsi="Arial" w:cs="Arial"/>
          <w:bCs/>
        </w:rPr>
        <w:t>Four</w:t>
      </w:r>
      <w:r w:rsidR="007B7640" w:rsidRPr="00CD59CC">
        <w:rPr>
          <w:rFonts w:ascii="Arial" w:hAnsi="Arial" w:cs="Arial"/>
          <w:bCs/>
        </w:rPr>
        <w:t xml:space="preserve"> </w:t>
      </w:r>
      <w:r w:rsidRPr="00CD59CC">
        <w:rPr>
          <w:rFonts w:ascii="Arial" w:hAnsi="Arial" w:cs="Arial"/>
          <w:bCs/>
        </w:rPr>
        <w:t>groups</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private</w:t>
      </w:r>
      <w:r w:rsidR="007B7640" w:rsidRPr="00CD59CC">
        <w:rPr>
          <w:rFonts w:ascii="Arial" w:hAnsi="Arial" w:cs="Arial"/>
          <w:bCs/>
        </w:rPr>
        <w:t xml:space="preserve"> </w:t>
      </w:r>
      <w:r w:rsidRPr="00CD59CC">
        <w:rPr>
          <w:rFonts w:ascii="Arial" w:hAnsi="Arial" w:cs="Arial"/>
          <w:bCs/>
        </w:rPr>
        <w:t>actors</w:t>
      </w:r>
      <w:r w:rsidR="007B7640" w:rsidRPr="00CD59CC">
        <w:rPr>
          <w:rFonts w:ascii="Arial" w:hAnsi="Arial" w:cs="Arial"/>
          <w:bCs/>
        </w:rPr>
        <w:t xml:space="preserve"> </w:t>
      </w:r>
      <w:r w:rsidRPr="00CD59CC">
        <w:rPr>
          <w:rFonts w:ascii="Arial" w:hAnsi="Arial" w:cs="Arial"/>
          <w:bCs/>
        </w:rPr>
        <w:t>are</w:t>
      </w:r>
      <w:r w:rsidR="007B7640" w:rsidRPr="00CD59CC">
        <w:rPr>
          <w:rFonts w:ascii="Arial" w:hAnsi="Arial" w:cs="Arial"/>
          <w:bCs/>
        </w:rPr>
        <w:t xml:space="preserve"> </w:t>
      </w:r>
      <w:r w:rsidRPr="00CD59CC">
        <w:rPr>
          <w:rFonts w:ascii="Arial" w:hAnsi="Arial" w:cs="Arial"/>
          <w:bCs/>
        </w:rPr>
        <w:t>mentioned</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Article</w:t>
      </w:r>
      <w:r w:rsidR="007B7640" w:rsidRPr="00CD59CC">
        <w:rPr>
          <w:rFonts w:ascii="Arial" w:hAnsi="Arial" w:cs="Arial"/>
          <w:bCs/>
        </w:rPr>
        <w:t xml:space="preserve"> </w:t>
      </w:r>
      <w:r w:rsidRPr="00CD59CC">
        <w:rPr>
          <w:rFonts w:ascii="Arial" w:hAnsi="Arial" w:cs="Arial"/>
          <w:bCs/>
        </w:rPr>
        <w:t>5.</w:t>
      </w:r>
      <w:r w:rsidR="007B7640" w:rsidRPr="00CD59CC">
        <w:rPr>
          <w:rFonts w:ascii="Arial" w:hAnsi="Arial" w:cs="Arial"/>
          <w:bCs/>
        </w:rPr>
        <w:t xml:space="preserve"> </w:t>
      </w:r>
      <w:r w:rsidRPr="00CD59CC">
        <w:rPr>
          <w:rFonts w:ascii="Arial" w:hAnsi="Arial" w:cs="Arial"/>
          <w:bCs/>
        </w:rPr>
        <w:t>Private</w:t>
      </w:r>
      <w:r w:rsidR="007B7640" w:rsidRPr="00CD59CC">
        <w:rPr>
          <w:rFonts w:ascii="Arial" w:hAnsi="Arial" w:cs="Arial"/>
          <w:bCs/>
        </w:rPr>
        <w:t xml:space="preserve"> </w:t>
      </w:r>
      <w:r w:rsidRPr="00CD59CC">
        <w:rPr>
          <w:rFonts w:ascii="Arial" w:hAnsi="Arial" w:cs="Arial"/>
          <w:bCs/>
        </w:rPr>
        <w:t>actors</w:t>
      </w:r>
      <w:r w:rsidR="007B7640" w:rsidRPr="00CD59CC">
        <w:rPr>
          <w:rFonts w:ascii="Arial" w:hAnsi="Arial" w:cs="Arial"/>
          <w:bCs/>
        </w:rPr>
        <w:t xml:space="preserve"> </w:t>
      </w:r>
      <w:r w:rsidRPr="00CD59CC">
        <w:rPr>
          <w:rFonts w:ascii="Arial" w:hAnsi="Arial" w:cs="Arial"/>
          <w:bCs/>
        </w:rPr>
        <w:t>fall</w:t>
      </w:r>
      <w:r w:rsidR="007B7640" w:rsidRPr="00CD59CC">
        <w:rPr>
          <w:rFonts w:ascii="Arial" w:hAnsi="Arial" w:cs="Arial"/>
          <w:bCs/>
        </w:rPr>
        <w:t xml:space="preserve"> </w:t>
      </w:r>
      <w:r w:rsidRPr="00CD59CC">
        <w:rPr>
          <w:rFonts w:ascii="Arial" w:hAnsi="Arial" w:cs="Arial"/>
          <w:bCs/>
        </w:rPr>
        <w:t>under</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scope</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shall</w:t>
      </w:r>
      <w:r w:rsidR="007B7640" w:rsidRPr="00CD59CC">
        <w:rPr>
          <w:rFonts w:ascii="Arial" w:hAnsi="Arial" w:cs="Arial"/>
          <w:bCs/>
        </w:rPr>
        <w:t xml:space="preserve"> </w:t>
      </w:r>
      <w:r w:rsidRPr="00CD59CC">
        <w:rPr>
          <w:rFonts w:ascii="Arial" w:hAnsi="Arial" w:cs="Arial"/>
          <w:bCs/>
        </w:rPr>
        <w:t>therefore</w:t>
      </w:r>
      <w:r w:rsidR="007B7640" w:rsidRPr="00CD59CC">
        <w:rPr>
          <w:rFonts w:ascii="Arial" w:hAnsi="Arial" w:cs="Arial"/>
          <w:bCs/>
        </w:rPr>
        <w:t xml:space="preserve"> </w:t>
      </w:r>
      <w:r w:rsidRPr="00CD59CC">
        <w:rPr>
          <w:rFonts w:ascii="Arial" w:hAnsi="Arial" w:cs="Arial"/>
          <w:bCs/>
        </w:rPr>
        <w:t>abide</w:t>
      </w:r>
      <w:r w:rsidR="007B7640" w:rsidRPr="00CD59CC">
        <w:rPr>
          <w:rFonts w:ascii="Arial" w:hAnsi="Arial" w:cs="Arial"/>
          <w:bCs/>
        </w:rPr>
        <w:t xml:space="preserve"> </w:t>
      </w:r>
      <w:r w:rsidRPr="00CD59CC">
        <w:rPr>
          <w:rFonts w:ascii="Arial" w:hAnsi="Arial" w:cs="Arial"/>
          <w:bCs/>
        </w:rPr>
        <w:t>by</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requirement</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equal</w:t>
      </w:r>
      <w:r w:rsidR="007B7640" w:rsidRPr="00CD59CC">
        <w:rPr>
          <w:rFonts w:ascii="Arial" w:hAnsi="Arial" w:cs="Arial"/>
          <w:bCs/>
        </w:rPr>
        <w:t xml:space="preserve"> </w:t>
      </w:r>
      <w:r w:rsidRPr="00CD59CC">
        <w:rPr>
          <w:rFonts w:ascii="Arial" w:hAnsi="Arial" w:cs="Arial"/>
          <w:bCs/>
        </w:rPr>
        <w:t>treatment</w:t>
      </w:r>
      <w:r w:rsidR="007B7640" w:rsidRPr="00CD59CC">
        <w:rPr>
          <w:rFonts w:ascii="Arial" w:hAnsi="Arial" w:cs="Arial"/>
          <w:bCs/>
        </w:rPr>
        <w:t xml:space="preserve"> </w:t>
      </w:r>
      <w:r w:rsidRPr="00CD59CC">
        <w:rPr>
          <w:rFonts w:ascii="Arial" w:hAnsi="Arial" w:cs="Arial"/>
          <w:bCs/>
        </w:rPr>
        <w:t>if</w:t>
      </w:r>
      <w:r w:rsidR="007B7640" w:rsidRPr="00CD59CC">
        <w:rPr>
          <w:rFonts w:ascii="Arial" w:hAnsi="Arial" w:cs="Arial"/>
          <w:bCs/>
        </w:rPr>
        <w:t xml:space="preserve"> </w:t>
      </w:r>
      <w:r w:rsidRPr="00CD59CC">
        <w:rPr>
          <w:rFonts w:ascii="Arial" w:hAnsi="Arial" w:cs="Arial"/>
          <w:bCs/>
        </w:rPr>
        <w:t>they</w:t>
      </w:r>
      <w:r w:rsidR="007B7640" w:rsidRPr="00CD59CC">
        <w:rPr>
          <w:rFonts w:ascii="Arial" w:hAnsi="Arial" w:cs="Arial"/>
          <w:bCs/>
        </w:rPr>
        <w:t xml:space="preserve"> </w:t>
      </w:r>
      <w:r w:rsidRPr="00CD59CC">
        <w:rPr>
          <w:rFonts w:ascii="Arial" w:hAnsi="Arial" w:cs="Arial"/>
          <w:bCs/>
        </w:rPr>
        <w:t>(i)</w:t>
      </w:r>
      <w:r w:rsidR="007B7640" w:rsidRPr="00CD59CC">
        <w:rPr>
          <w:rFonts w:ascii="Arial" w:hAnsi="Arial" w:cs="Arial"/>
          <w:bCs/>
        </w:rPr>
        <w:t xml:space="preserve"> </w:t>
      </w:r>
      <w:r w:rsidRPr="00CD59CC">
        <w:rPr>
          <w:rFonts w:ascii="Arial" w:hAnsi="Arial" w:cs="Arial"/>
          <w:bCs/>
        </w:rPr>
        <w:t>offer</w:t>
      </w:r>
      <w:r w:rsidR="007B7640" w:rsidRPr="00CD59CC">
        <w:rPr>
          <w:rFonts w:ascii="Arial" w:hAnsi="Arial" w:cs="Arial"/>
          <w:bCs/>
        </w:rPr>
        <w:t xml:space="preserve"> </w:t>
      </w:r>
      <w:r w:rsidRPr="00CD59CC">
        <w:rPr>
          <w:rFonts w:ascii="Arial" w:hAnsi="Arial" w:cs="Arial"/>
          <w:bCs/>
        </w:rPr>
        <w:t>a</w:t>
      </w:r>
      <w:r w:rsidR="007B7640" w:rsidRPr="00CD59CC">
        <w:rPr>
          <w:rFonts w:ascii="Arial" w:hAnsi="Arial" w:cs="Arial"/>
          <w:bCs/>
        </w:rPr>
        <w:t xml:space="preserve"> </w:t>
      </w:r>
      <w:r w:rsidRPr="00CD59CC">
        <w:rPr>
          <w:rFonts w:ascii="Arial" w:hAnsi="Arial" w:cs="Arial"/>
          <w:bCs/>
        </w:rPr>
        <w:t>public</w:t>
      </w:r>
      <w:r w:rsidR="007B7640" w:rsidRPr="00CD59CC">
        <w:rPr>
          <w:rFonts w:ascii="Arial" w:hAnsi="Arial" w:cs="Arial"/>
          <w:bCs/>
        </w:rPr>
        <w:t xml:space="preserve"> </w:t>
      </w:r>
      <w:r w:rsidRPr="00CD59CC">
        <w:rPr>
          <w:rFonts w:ascii="Arial" w:hAnsi="Arial" w:cs="Arial"/>
          <w:bCs/>
        </w:rPr>
        <w:t>contract</w:t>
      </w:r>
      <w:r w:rsidR="007B7640" w:rsidRPr="00CD59CC">
        <w:rPr>
          <w:rFonts w:ascii="Arial" w:hAnsi="Arial" w:cs="Arial"/>
          <w:bCs/>
        </w:rPr>
        <w:t xml:space="preserve"> </w:t>
      </w:r>
      <w:r w:rsidRPr="00CD59CC">
        <w:rPr>
          <w:rFonts w:ascii="Arial" w:hAnsi="Arial" w:cs="Arial"/>
          <w:bCs/>
        </w:rPr>
        <w:t>or</w:t>
      </w:r>
      <w:r w:rsidR="007B7640" w:rsidRPr="00CD59CC">
        <w:rPr>
          <w:rFonts w:ascii="Arial" w:hAnsi="Arial" w:cs="Arial"/>
          <w:bCs/>
        </w:rPr>
        <w:t xml:space="preserve"> </w:t>
      </w:r>
      <w:r w:rsidRPr="00CD59CC">
        <w:rPr>
          <w:rFonts w:ascii="Arial" w:hAnsi="Arial" w:cs="Arial"/>
          <w:bCs/>
        </w:rPr>
        <w:t>make</w:t>
      </w:r>
      <w:r w:rsidR="007B7640" w:rsidRPr="00CD59CC">
        <w:rPr>
          <w:rFonts w:ascii="Arial" w:hAnsi="Arial" w:cs="Arial"/>
          <w:bCs/>
        </w:rPr>
        <w:t xml:space="preserve"> </w:t>
      </w:r>
      <w:r w:rsidRPr="00CD59CC">
        <w:rPr>
          <w:rFonts w:ascii="Arial" w:hAnsi="Arial" w:cs="Arial"/>
          <w:bCs/>
        </w:rPr>
        <w:t>a</w:t>
      </w:r>
      <w:r w:rsidR="007B7640" w:rsidRPr="00CD59CC">
        <w:rPr>
          <w:rFonts w:ascii="Arial" w:hAnsi="Arial" w:cs="Arial"/>
          <w:bCs/>
        </w:rPr>
        <w:t xml:space="preserve"> </w:t>
      </w:r>
      <w:r w:rsidRPr="00CD59CC">
        <w:rPr>
          <w:rFonts w:ascii="Arial" w:hAnsi="Arial" w:cs="Arial"/>
          <w:bCs/>
        </w:rPr>
        <w:t>public</w:t>
      </w:r>
      <w:r w:rsidR="007B7640" w:rsidRPr="00CD59CC">
        <w:rPr>
          <w:rFonts w:ascii="Arial" w:hAnsi="Arial" w:cs="Arial"/>
          <w:bCs/>
        </w:rPr>
        <w:t xml:space="preserve"> </w:t>
      </w:r>
      <w:r w:rsidRPr="00CD59CC">
        <w:rPr>
          <w:rFonts w:ascii="Arial" w:hAnsi="Arial" w:cs="Arial"/>
          <w:bCs/>
        </w:rPr>
        <w:t>offer,</w:t>
      </w:r>
      <w:r w:rsidR="007B7640" w:rsidRPr="00CD59CC">
        <w:rPr>
          <w:rFonts w:ascii="Arial" w:hAnsi="Arial" w:cs="Arial"/>
          <w:bCs/>
        </w:rPr>
        <w:t xml:space="preserve"> </w:t>
      </w:r>
      <w:r w:rsidRPr="00CD59CC">
        <w:rPr>
          <w:rFonts w:ascii="Arial" w:hAnsi="Arial" w:cs="Arial"/>
          <w:bCs/>
        </w:rPr>
        <w:t>or</w:t>
      </w:r>
      <w:r w:rsidR="007B7640" w:rsidRPr="00CD59CC">
        <w:rPr>
          <w:rFonts w:ascii="Arial" w:hAnsi="Arial" w:cs="Arial"/>
          <w:bCs/>
        </w:rPr>
        <w:t xml:space="preserve"> </w:t>
      </w:r>
      <w:r w:rsidRPr="00CD59CC">
        <w:rPr>
          <w:rFonts w:ascii="Arial" w:hAnsi="Arial" w:cs="Arial"/>
          <w:bCs/>
        </w:rPr>
        <w:t>(ii)</w:t>
      </w:r>
      <w:r w:rsidR="007B7640" w:rsidRPr="00CD59CC">
        <w:rPr>
          <w:rFonts w:ascii="Arial" w:hAnsi="Arial" w:cs="Arial"/>
          <w:bCs/>
        </w:rPr>
        <w:t xml:space="preserve"> </w:t>
      </w:r>
      <w:r w:rsidRPr="00CD59CC">
        <w:rPr>
          <w:rFonts w:ascii="Arial" w:hAnsi="Arial" w:cs="Arial"/>
          <w:bCs/>
        </w:rPr>
        <w:t>provide</w:t>
      </w:r>
      <w:r w:rsidR="007B7640" w:rsidRPr="00CD59CC">
        <w:rPr>
          <w:rFonts w:ascii="Arial" w:hAnsi="Arial" w:cs="Arial"/>
          <w:bCs/>
        </w:rPr>
        <w:t xml:space="preserve"> </w:t>
      </w:r>
      <w:r w:rsidRPr="00CD59CC">
        <w:rPr>
          <w:rFonts w:ascii="Arial" w:hAnsi="Arial" w:cs="Arial"/>
          <w:bCs/>
        </w:rPr>
        <w:t>public</w:t>
      </w:r>
      <w:r w:rsidR="007B7640" w:rsidRPr="00CD59CC">
        <w:rPr>
          <w:rFonts w:ascii="Arial" w:hAnsi="Arial" w:cs="Arial"/>
          <w:bCs/>
        </w:rPr>
        <w:t xml:space="preserve"> </w:t>
      </w:r>
      <w:r w:rsidRPr="00CD59CC">
        <w:rPr>
          <w:rFonts w:ascii="Arial" w:hAnsi="Arial" w:cs="Arial"/>
          <w:bCs/>
        </w:rPr>
        <w:t>services</w:t>
      </w:r>
      <w:r w:rsidR="007B7640" w:rsidRPr="00CD59CC">
        <w:rPr>
          <w:rFonts w:ascii="Arial" w:hAnsi="Arial" w:cs="Arial"/>
          <w:bCs/>
        </w:rPr>
        <w:t xml:space="preserve"> </w:t>
      </w:r>
      <w:r w:rsidRPr="00CD59CC">
        <w:rPr>
          <w:rFonts w:ascii="Arial" w:hAnsi="Arial" w:cs="Arial"/>
          <w:bCs/>
        </w:rPr>
        <w:t>or</w:t>
      </w:r>
      <w:r w:rsidR="007B7640" w:rsidRPr="00CD59CC">
        <w:rPr>
          <w:rFonts w:ascii="Arial" w:hAnsi="Arial" w:cs="Arial"/>
          <w:bCs/>
        </w:rPr>
        <w:t xml:space="preserve"> </w:t>
      </w:r>
      <w:r w:rsidRPr="00CD59CC">
        <w:rPr>
          <w:rFonts w:ascii="Arial" w:hAnsi="Arial" w:cs="Arial"/>
          <w:bCs/>
        </w:rPr>
        <w:t>sell</w:t>
      </w:r>
      <w:r w:rsidR="007B7640" w:rsidRPr="00CD59CC">
        <w:rPr>
          <w:rFonts w:ascii="Arial" w:hAnsi="Arial" w:cs="Arial"/>
          <w:bCs/>
        </w:rPr>
        <w:t xml:space="preserve"> </w:t>
      </w:r>
      <w:r w:rsidRPr="00CD59CC">
        <w:rPr>
          <w:rFonts w:ascii="Arial" w:hAnsi="Arial" w:cs="Arial"/>
          <w:bCs/>
        </w:rPr>
        <w:t>goods.</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third</w:t>
      </w:r>
      <w:r w:rsidR="007B7640" w:rsidRPr="00CD59CC">
        <w:rPr>
          <w:rFonts w:ascii="Arial" w:hAnsi="Arial" w:cs="Arial"/>
          <w:bCs/>
        </w:rPr>
        <w:t xml:space="preserve"> </w:t>
      </w:r>
      <w:r w:rsidRPr="00CD59CC">
        <w:rPr>
          <w:rFonts w:ascii="Arial" w:hAnsi="Arial" w:cs="Arial"/>
          <w:bCs/>
        </w:rPr>
        <w:t>group</w:t>
      </w:r>
      <w:r w:rsidR="007B7640" w:rsidRPr="00CD59CC">
        <w:rPr>
          <w:rFonts w:ascii="Arial" w:hAnsi="Arial" w:cs="Arial"/>
          <w:bCs/>
        </w:rPr>
        <w:t xml:space="preserve"> </w:t>
      </w:r>
      <w:r w:rsidRPr="00CD59CC">
        <w:rPr>
          <w:rFonts w:ascii="Arial" w:hAnsi="Arial" w:cs="Arial"/>
          <w:bCs/>
        </w:rPr>
        <w:t>includes</w:t>
      </w:r>
      <w:r w:rsidR="007B7640" w:rsidRPr="00CD59CC">
        <w:rPr>
          <w:rFonts w:ascii="Arial" w:hAnsi="Arial" w:cs="Arial"/>
          <w:bCs/>
        </w:rPr>
        <w:t xml:space="preserve"> </w:t>
      </w:r>
      <w:r w:rsidRPr="00CD59CC">
        <w:rPr>
          <w:rFonts w:ascii="Arial" w:hAnsi="Arial" w:cs="Arial"/>
          <w:bCs/>
        </w:rPr>
        <w:t>entrepreneurs,</w:t>
      </w:r>
      <w:r w:rsidR="007B7640" w:rsidRPr="00CD59CC">
        <w:rPr>
          <w:rFonts w:ascii="Arial" w:hAnsi="Arial" w:cs="Arial"/>
          <w:bCs/>
        </w:rPr>
        <w:t xml:space="preserve"> </w:t>
      </w:r>
      <w:r w:rsidRPr="00CD59CC">
        <w:rPr>
          <w:rFonts w:ascii="Arial" w:hAnsi="Arial" w:cs="Arial"/>
          <w:bCs/>
        </w:rPr>
        <w:t>companies</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other</w:t>
      </w:r>
      <w:r w:rsidR="007B7640" w:rsidRPr="00CD59CC">
        <w:rPr>
          <w:rFonts w:ascii="Arial" w:hAnsi="Arial" w:cs="Arial"/>
          <w:bCs/>
        </w:rPr>
        <w:t xml:space="preserve"> </w:t>
      </w:r>
      <w:r w:rsidRPr="00CD59CC">
        <w:rPr>
          <w:rFonts w:ascii="Arial" w:hAnsi="Arial" w:cs="Arial"/>
          <w:bCs/>
        </w:rPr>
        <w:t>private</w:t>
      </w:r>
      <w:r w:rsidR="007B7640" w:rsidRPr="00CD59CC">
        <w:rPr>
          <w:rFonts w:ascii="Arial" w:hAnsi="Arial" w:cs="Arial"/>
          <w:bCs/>
        </w:rPr>
        <w:t xml:space="preserve"> </w:t>
      </w:r>
      <w:r w:rsidRPr="00CD59CC">
        <w:rPr>
          <w:rFonts w:ascii="Arial" w:hAnsi="Arial" w:cs="Arial"/>
          <w:bCs/>
        </w:rPr>
        <w:t>legal</w:t>
      </w:r>
      <w:r w:rsidR="007B7640" w:rsidRPr="00CD59CC">
        <w:rPr>
          <w:rFonts w:ascii="Arial" w:hAnsi="Arial" w:cs="Arial"/>
          <w:bCs/>
        </w:rPr>
        <w:t xml:space="preserve"> </w:t>
      </w:r>
      <w:r w:rsidRPr="00CD59CC">
        <w:rPr>
          <w:rFonts w:ascii="Arial" w:hAnsi="Arial" w:cs="Arial"/>
          <w:bCs/>
        </w:rPr>
        <w:t>entities</w:t>
      </w:r>
      <w:r w:rsidR="007B7640" w:rsidRPr="00CD59CC">
        <w:rPr>
          <w:rFonts w:ascii="Arial" w:hAnsi="Arial" w:cs="Arial"/>
          <w:bCs/>
        </w:rPr>
        <w:t xml:space="preserve"> </w:t>
      </w:r>
      <w:r w:rsidRPr="00CD59CC">
        <w:rPr>
          <w:rFonts w:ascii="Arial" w:hAnsi="Arial" w:cs="Arial"/>
          <w:bCs/>
        </w:rPr>
        <w:t>using</w:t>
      </w:r>
      <w:r w:rsidR="007B7640" w:rsidRPr="00CD59CC">
        <w:rPr>
          <w:rFonts w:ascii="Arial" w:hAnsi="Arial" w:cs="Arial"/>
          <w:bCs/>
        </w:rPr>
        <w:t xml:space="preserve"> </w:t>
      </w:r>
      <w:r w:rsidRPr="00CD59CC">
        <w:rPr>
          <w:rFonts w:ascii="Arial" w:hAnsi="Arial" w:cs="Arial"/>
          <w:bCs/>
        </w:rPr>
        <w:t>state</w:t>
      </w:r>
      <w:r w:rsidR="007B7640" w:rsidRPr="00CD59CC">
        <w:rPr>
          <w:rFonts w:ascii="Arial" w:hAnsi="Arial" w:cs="Arial"/>
          <w:bCs/>
        </w:rPr>
        <w:t xml:space="preserve"> </w:t>
      </w:r>
      <w:r w:rsidRPr="00CD59CC">
        <w:rPr>
          <w:rFonts w:ascii="Arial" w:hAnsi="Arial" w:cs="Arial"/>
          <w:bCs/>
        </w:rPr>
        <w:t>support,</w:t>
      </w:r>
      <w:r w:rsidR="007B7640" w:rsidRPr="00CD59CC">
        <w:rPr>
          <w:rFonts w:ascii="Arial" w:hAnsi="Arial" w:cs="Arial"/>
          <w:bCs/>
        </w:rPr>
        <w:t xml:space="preserve"> </w:t>
      </w:r>
      <w:r w:rsidRPr="00CD59CC">
        <w:rPr>
          <w:rFonts w:ascii="Arial" w:hAnsi="Arial" w:cs="Arial"/>
          <w:bCs/>
        </w:rPr>
        <w:t>while</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fourth</w:t>
      </w:r>
      <w:r w:rsidR="007B7640" w:rsidRPr="00CD59CC">
        <w:rPr>
          <w:rFonts w:ascii="Arial" w:hAnsi="Arial" w:cs="Arial"/>
          <w:bCs/>
        </w:rPr>
        <w:t xml:space="preserve"> </w:t>
      </w:r>
      <w:r w:rsidRPr="00CD59CC">
        <w:rPr>
          <w:rFonts w:ascii="Arial" w:hAnsi="Arial" w:cs="Arial"/>
          <w:bCs/>
        </w:rPr>
        <w:t>group</w:t>
      </w:r>
      <w:r w:rsidR="007B7640" w:rsidRPr="00CD59CC">
        <w:rPr>
          <w:rFonts w:ascii="Arial" w:hAnsi="Arial" w:cs="Arial"/>
          <w:bCs/>
        </w:rPr>
        <w:t xml:space="preserve"> </w:t>
      </w:r>
      <w:r w:rsidRPr="00CD59CC">
        <w:rPr>
          <w:rFonts w:ascii="Arial" w:hAnsi="Arial" w:cs="Arial"/>
          <w:bCs/>
        </w:rPr>
        <w:t>comprises</w:t>
      </w:r>
      <w:r w:rsidR="007B7640" w:rsidRPr="00CD59CC">
        <w:rPr>
          <w:rFonts w:ascii="Arial" w:hAnsi="Arial" w:cs="Arial"/>
          <w:bCs/>
        </w:rPr>
        <w:t xml:space="preserve"> </w:t>
      </w:r>
      <w:r w:rsidRPr="00CD59CC">
        <w:rPr>
          <w:rFonts w:ascii="Arial" w:hAnsi="Arial" w:cs="Arial"/>
          <w:bCs/>
        </w:rPr>
        <w:t>employers</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contractors.</w:t>
      </w:r>
      <w:r w:rsidR="007B7640" w:rsidRPr="00CD59CC">
        <w:rPr>
          <w:rFonts w:ascii="Arial" w:hAnsi="Arial" w:cs="Arial"/>
          <w:bCs/>
        </w:rPr>
        <w:t xml:space="preserve"> </w:t>
      </w:r>
      <w:r w:rsidR="00487B0A" w:rsidRPr="00CD59CC">
        <w:rPr>
          <w:rFonts w:ascii="Arial" w:hAnsi="Arial" w:cs="Arial"/>
          <w:bCs/>
        </w:rPr>
        <w:t>(At</w:t>
      </w:r>
      <w:r w:rsidR="007B7640" w:rsidRPr="00CD59CC">
        <w:rPr>
          <w:rFonts w:ascii="Arial" w:hAnsi="Arial" w:cs="Arial"/>
          <w:bCs/>
        </w:rPr>
        <w:t xml:space="preserve"> </w:t>
      </w:r>
      <w:r w:rsidR="00487B0A" w:rsidRPr="00CD59CC">
        <w:rPr>
          <w:rFonts w:ascii="Arial" w:hAnsi="Arial" w:cs="Arial"/>
          <w:bCs/>
        </w:rPr>
        <w:t>the</w:t>
      </w:r>
      <w:r w:rsidR="007B7640" w:rsidRPr="00CD59CC">
        <w:rPr>
          <w:rFonts w:ascii="Arial" w:hAnsi="Arial" w:cs="Arial"/>
          <w:bCs/>
        </w:rPr>
        <w:t xml:space="preserve"> </w:t>
      </w:r>
      <w:r w:rsidR="00487B0A" w:rsidRPr="00CD59CC">
        <w:rPr>
          <w:rFonts w:ascii="Arial" w:hAnsi="Arial" w:cs="Arial"/>
          <w:bCs/>
        </w:rPr>
        <w:t>same</w:t>
      </w:r>
      <w:r w:rsidR="007B7640" w:rsidRPr="00CD59CC">
        <w:rPr>
          <w:rFonts w:ascii="Arial" w:hAnsi="Arial" w:cs="Arial"/>
          <w:bCs/>
        </w:rPr>
        <w:t xml:space="preserve"> </w:t>
      </w:r>
      <w:r w:rsidR="00487B0A" w:rsidRPr="00CD59CC">
        <w:rPr>
          <w:rFonts w:ascii="Arial" w:hAnsi="Arial" w:cs="Arial"/>
          <w:bCs/>
        </w:rPr>
        <w:t>time,</w:t>
      </w:r>
      <w:r w:rsidR="007B7640" w:rsidRPr="00CD59CC">
        <w:rPr>
          <w:rFonts w:ascii="Arial" w:hAnsi="Arial" w:cs="Arial"/>
          <w:bCs/>
        </w:rPr>
        <w:t xml:space="preserve"> </w:t>
      </w:r>
      <w:r w:rsidR="00487B0A" w:rsidRPr="00CD59CC">
        <w:rPr>
          <w:rFonts w:ascii="Arial" w:hAnsi="Arial" w:cs="Arial"/>
          <w:bCs/>
        </w:rPr>
        <w:t>it</w:t>
      </w:r>
      <w:r w:rsidR="007B7640" w:rsidRPr="00CD59CC">
        <w:rPr>
          <w:rFonts w:ascii="Arial" w:hAnsi="Arial" w:cs="Arial"/>
          <w:bCs/>
        </w:rPr>
        <w:t xml:space="preserve"> </w:t>
      </w:r>
      <w:r w:rsidR="00487B0A" w:rsidRPr="00CD59CC">
        <w:rPr>
          <w:rFonts w:ascii="Arial" w:hAnsi="Arial" w:cs="Arial"/>
          <w:bCs/>
        </w:rPr>
        <w:t>depends</w:t>
      </w:r>
      <w:r w:rsidR="007B7640" w:rsidRPr="00CD59CC">
        <w:rPr>
          <w:rFonts w:ascii="Arial" w:hAnsi="Arial" w:cs="Arial"/>
          <w:bCs/>
        </w:rPr>
        <w:t xml:space="preserve"> </w:t>
      </w:r>
      <w:r w:rsidR="00487B0A" w:rsidRPr="00CD59CC">
        <w:rPr>
          <w:rFonts w:ascii="Arial" w:hAnsi="Arial" w:cs="Arial"/>
          <w:bCs/>
        </w:rPr>
        <w:t>on</w:t>
      </w:r>
      <w:r w:rsidR="007B7640" w:rsidRPr="00CD59CC">
        <w:rPr>
          <w:rFonts w:ascii="Arial" w:hAnsi="Arial" w:cs="Arial"/>
          <w:bCs/>
        </w:rPr>
        <w:t xml:space="preserve"> </w:t>
      </w:r>
      <w:r w:rsidR="00487B0A" w:rsidRPr="00CD59CC">
        <w:rPr>
          <w:rFonts w:ascii="Arial" w:hAnsi="Arial" w:cs="Arial"/>
          <w:bCs/>
        </w:rPr>
        <w:t>judicial</w:t>
      </w:r>
      <w:r w:rsidR="007B7640" w:rsidRPr="00CD59CC">
        <w:rPr>
          <w:rFonts w:ascii="Arial" w:hAnsi="Arial" w:cs="Arial"/>
          <w:bCs/>
        </w:rPr>
        <w:t xml:space="preserve"> </w:t>
      </w:r>
      <w:r w:rsidR="00487B0A" w:rsidRPr="00CD59CC">
        <w:rPr>
          <w:rFonts w:ascii="Arial" w:hAnsi="Arial" w:cs="Arial"/>
          <w:bCs/>
        </w:rPr>
        <w:t>interpretation</w:t>
      </w:r>
      <w:r w:rsidR="007B7640" w:rsidRPr="00CD59CC">
        <w:rPr>
          <w:rFonts w:ascii="Arial" w:hAnsi="Arial" w:cs="Arial"/>
          <w:bCs/>
        </w:rPr>
        <w:t xml:space="preserve"> </w:t>
      </w:r>
      <w:r w:rsidR="00487B0A" w:rsidRPr="00CD59CC">
        <w:rPr>
          <w:rFonts w:ascii="Arial" w:hAnsi="Arial" w:cs="Arial"/>
          <w:bCs/>
        </w:rPr>
        <w:t>whether</w:t>
      </w:r>
      <w:r w:rsidR="007B7640" w:rsidRPr="00CD59CC">
        <w:rPr>
          <w:rFonts w:ascii="Arial" w:hAnsi="Arial" w:cs="Arial"/>
          <w:bCs/>
        </w:rPr>
        <w:t xml:space="preserve"> </w:t>
      </w:r>
      <w:r w:rsidR="00487B0A" w:rsidRPr="00CD59CC">
        <w:rPr>
          <w:rFonts w:ascii="Arial" w:hAnsi="Arial" w:cs="Arial"/>
          <w:bCs/>
        </w:rPr>
        <w:t>those</w:t>
      </w:r>
      <w:r w:rsidR="007B7640" w:rsidRPr="00CD59CC">
        <w:rPr>
          <w:rFonts w:ascii="Arial" w:hAnsi="Arial" w:cs="Arial"/>
          <w:bCs/>
        </w:rPr>
        <w:t xml:space="preserve"> </w:t>
      </w:r>
      <w:r w:rsidR="00487B0A" w:rsidRPr="00CD59CC">
        <w:rPr>
          <w:rFonts w:ascii="Arial" w:hAnsi="Arial" w:cs="Arial"/>
          <w:bCs/>
        </w:rPr>
        <w:t>private</w:t>
      </w:r>
      <w:r w:rsidR="007B7640" w:rsidRPr="00CD59CC">
        <w:rPr>
          <w:rFonts w:ascii="Arial" w:hAnsi="Arial" w:cs="Arial"/>
          <w:bCs/>
        </w:rPr>
        <w:t xml:space="preserve"> </w:t>
      </w:r>
      <w:r w:rsidR="00487B0A" w:rsidRPr="00CD59CC">
        <w:rPr>
          <w:rFonts w:ascii="Arial" w:hAnsi="Arial" w:cs="Arial"/>
          <w:bCs/>
        </w:rPr>
        <w:t>actors</w:t>
      </w:r>
      <w:r w:rsidR="007B7640" w:rsidRPr="00CD59CC">
        <w:rPr>
          <w:rFonts w:ascii="Arial" w:hAnsi="Arial" w:cs="Arial"/>
          <w:bCs/>
        </w:rPr>
        <w:t xml:space="preserve"> </w:t>
      </w:r>
      <w:r w:rsidR="00487B0A" w:rsidRPr="00CD59CC">
        <w:rPr>
          <w:rFonts w:ascii="Arial" w:hAnsi="Arial" w:cs="Arial"/>
          <w:bCs/>
        </w:rPr>
        <w:t>who</w:t>
      </w:r>
      <w:r w:rsidR="007B7640" w:rsidRPr="00CD59CC">
        <w:rPr>
          <w:rFonts w:ascii="Arial" w:hAnsi="Arial" w:cs="Arial"/>
          <w:bCs/>
        </w:rPr>
        <w:t xml:space="preserve"> </w:t>
      </w:r>
      <w:r w:rsidR="00487B0A" w:rsidRPr="00CD59CC">
        <w:rPr>
          <w:rFonts w:ascii="Arial" w:hAnsi="Arial" w:cs="Arial"/>
          <w:bCs/>
        </w:rPr>
        <w:t>do</w:t>
      </w:r>
      <w:r w:rsidR="007B7640" w:rsidRPr="00CD59CC">
        <w:rPr>
          <w:rFonts w:ascii="Arial" w:hAnsi="Arial" w:cs="Arial"/>
          <w:bCs/>
        </w:rPr>
        <w:t xml:space="preserve"> </w:t>
      </w:r>
      <w:r w:rsidR="00487B0A" w:rsidRPr="00CD59CC">
        <w:rPr>
          <w:rFonts w:ascii="Arial" w:hAnsi="Arial" w:cs="Arial"/>
          <w:bCs/>
        </w:rPr>
        <w:t>not</w:t>
      </w:r>
      <w:r w:rsidR="007B7640" w:rsidRPr="00CD59CC">
        <w:rPr>
          <w:rFonts w:ascii="Arial" w:hAnsi="Arial" w:cs="Arial"/>
          <w:bCs/>
        </w:rPr>
        <w:t xml:space="preserve"> </w:t>
      </w:r>
      <w:r w:rsidR="00487B0A" w:rsidRPr="00CD59CC">
        <w:rPr>
          <w:rFonts w:ascii="Arial" w:hAnsi="Arial" w:cs="Arial"/>
          <w:bCs/>
        </w:rPr>
        <w:t>fall</w:t>
      </w:r>
      <w:r w:rsidR="007B7640" w:rsidRPr="00CD59CC">
        <w:rPr>
          <w:rFonts w:ascii="Arial" w:hAnsi="Arial" w:cs="Arial"/>
          <w:bCs/>
        </w:rPr>
        <w:t xml:space="preserve"> </w:t>
      </w:r>
      <w:r w:rsidR="00487B0A" w:rsidRPr="00CD59CC">
        <w:rPr>
          <w:rFonts w:ascii="Arial" w:hAnsi="Arial" w:cs="Arial"/>
          <w:bCs/>
        </w:rPr>
        <w:t>into</w:t>
      </w:r>
      <w:r w:rsidR="007B7640" w:rsidRPr="00CD59CC">
        <w:rPr>
          <w:rFonts w:ascii="Arial" w:hAnsi="Arial" w:cs="Arial"/>
          <w:bCs/>
        </w:rPr>
        <w:t xml:space="preserve"> </w:t>
      </w:r>
      <w:r w:rsidR="00487B0A" w:rsidRPr="00CD59CC">
        <w:rPr>
          <w:rFonts w:ascii="Arial" w:hAnsi="Arial" w:cs="Arial"/>
          <w:bCs/>
        </w:rPr>
        <w:t>these</w:t>
      </w:r>
      <w:r w:rsidR="007B7640" w:rsidRPr="00CD59CC">
        <w:rPr>
          <w:rFonts w:ascii="Arial" w:hAnsi="Arial" w:cs="Arial"/>
          <w:bCs/>
        </w:rPr>
        <w:t xml:space="preserve"> </w:t>
      </w:r>
      <w:r w:rsidR="00487B0A" w:rsidRPr="00CD59CC">
        <w:rPr>
          <w:rFonts w:ascii="Arial" w:hAnsi="Arial" w:cs="Arial"/>
          <w:bCs/>
        </w:rPr>
        <w:t>four</w:t>
      </w:r>
      <w:r w:rsidR="007B7640" w:rsidRPr="00CD59CC">
        <w:rPr>
          <w:rFonts w:ascii="Arial" w:hAnsi="Arial" w:cs="Arial"/>
          <w:bCs/>
        </w:rPr>
        <w:t xml:space="preserve"> </w:t>
      </w:r>
      <w:r w:rsidR="00487B0A" w:rsidRPr="00CD59CC">
        <w:rPr>
          <w:rFonts w:ascii="Arial" w:hAnsi="Arial" w:cs="Arial"/>
          <w:bCs/>
        </w:rPr>
        <w:t>categories</w:t>
      </w:r>
      <w:r w:rsidR="007B7640" w:rsidRPr="00CD59CC">
        <w:rPr>
          <w:rFonts w:ascii="Arial" w:hAnsi="Arial" w:cs="Arial"/>
          <w:bCs/>
        </w:rPr>
        <w:t xml:space="preserve"> </w:t>
      </w:r>
      <w:r w:rsidR="00487B0A" w:rsidRPr="00CD59CC">
        <w:rPr>
          <w:rFonts w:ascii="Arial" w:hAnsi="Arial" w:cs="Arial"/>
          <w:bCs/>
        </w:rPr>
        <w:t>are</w:t>
      </w:r>
      <w:r w:rsidR="007B7640" w:rsidRPr="00CD59CC">
        <w:rPr>
          <w:rFonts w:ascii="Arial" w:hAnsi="Arial" w:cs="Arial"/>
          <w:bCs/>
        </w:rPr>
        <w:t xml:space="preserve"> </w:t>
      </w:r>
      <w:r w:rsidR="00487B0A" w:rsidRPr="00CD59CC">
        <w:rPr>
          <w:rFonts w:ascii="Arial" w:hAnsi="Arial" w:cs="Arial"/>
          <w:bCs/>
        </w:rPr>
        <w:t>liable</w:t>
      </w:r>
      <w:r w:rsidR="007B7640" w:rsidRPr="00CD59CC">
        <w:rPr>
          <w:rFonts w:ascii="Arial" w:hAnsi="Arial" w:cs="Arial"/>
          <w:bCs/>
        </w:rPr>
        <w:t xml:space="preserve"> </w:t>
      </w:r>
      <w:r w:rsidR="00487B0A" w:rsidRPr="00CD59CC">
        <w:rPr>
          <w:rFonts w:ascii="Arial" w:hAnsi="Arial" w:cs="Arial"/>
          <w:bCs/>
        </w:rPr>
        <w:t>for</w:t>
      </w:r>
      <w:r w:rsidR="007B7640" w:rsidRPr="00CD59CC">
        <w:rPr>
          <w:rFonts w:ascii="Arial" w:hAnsi="Arial" w:cs="Arial"/>
          <w:bCs/>
        </w:rPr>
        <w:t xml:space="preserve"> </w:t>
      </w:r>
      <w:r w:rsidR="00487B0A" w:rsidRPr="00CD59CC">
        <w:rPr>
          <w:rFonts w:ascii="Arial" w:hAnsi="Arial" w:cs="Arial"/>
          <w:bCs/>
        </w:rPr>
        <w:t>discrimination</w:t>
      </w:r>
      <w:r w:rsidR="007B7640" w:rsidRPr="00CD59CC">
        <w:rPr>
          <w:rFonts w:ascii="Arial" w:hAnsi="Arial" w:cs="Arial"/>
          <w:bCs/>
        </w:rPr>
        <w:t xml:space="preserve"> </w:t>
      </w:r>
      <w:r w:rsidR="00487B0A" w:rsidRPr="00CD59CC">
        <w:rPr>
          <w:rFonts w:ascii="Arial" w:hAnsi="Arial" w:cs="Arial"/>
          <w:bCs/>
        </w:rPr>
        <w:t>under</w:t>
      </w:r>
      <w:r w:rsidR="007B7640" w:rsidRPr="00CD59CC">
        <w:rPr>
          <w:rFonts w:ascii="Arial" w:hAnsi="Arial" w:cs="Arial"/>
          <w:bCs/>
        </w:rPr>
        <w:t xml:space="preserve"> </w:t>
      </w:r>
      <w:r w:rsidR="00487B0A" w:rsidRPr="00CD59CC">
        <w:rPr>
          <w:rFonts w:ascii="Arial" w:hAnsi="Arial" w:cs="Arial"/>
          <w:bCs/>
        </w:rPr>
        <w:t>the</w:t>
      </w:r>
      <w:r w:rsidR="007B7640" w:rsidRPr="00CD59CC">
        <w:rPr>
          <w:rFonts w:ascii="Arial" w:hAnsi="Arial" w:cs="Arial"/>
          <w:bCs/>
        </w:rPr>
        <w:t xml:space="preserve"> </w:t>
      </w:r>
      <w:r w:rsidR="00487B0A" w:rsidRPr="00CD59CC">
        <w:rPr>
          <w:rFonts w:ascii="Arial" w:hAnsi="Arial" w:cs="Arial"/>
          <w:bCs/>
        </w:rPr>
        <w:t>general</w:t>
      </w:r>
      <w:r w:rsidR="007B7640" w:rsidRPr="00CD59CC">
        <w:rPr>
          <w:rFonts w:ascii="Arial" w:hAnsi="Arial" w:cs="Arial"/>
          <w:bCs/>
        </w:rPr>
        <w:t xml:space="preserve"> </w:t>
      </w:r>
      <w:r w:rsidR="00487B0A" w:rsidRPr="00CD59CC">
        <w:rPr>
          <w:rFonts w:ascii="Arial" w:hAnsi="Arial" w:cs="Arial"/>
          <w:bCs/>
        </w:rPr>
        <w:t>norms</w:t>
      </w:r>
      <w:r w:rsidR="007B7640" w:rsidRPr="00CD59CC">
        <w:rPr>
          <w:rFonts w:ascii="Arial" w:hAnsi="Arial" w:cs="Arial"/>
          <w:bCs/>
        </w:rPr>
        <w:t xml:space="preserve"> </w:t>
      </w:r>
      <w:r w:rsidR="00487B0A" w:rsidRPr="00CD59CC">
        <w:rPr>
          <w:rFonts w:ascii="Arial" w:hAnsi="Arial" w:cs="Arial"/>
          <w:bCs/>
        </w:rPr>
        <w:t>of</w:t>
      </w:r>
      <w:r w:rsidR="007B7640" w:rsidRPr="00CD59CC">
        <w:rPr>
          <w:rFonts w:ascii="Arial" w:hAnsi="Arial" w:cs="Arial"/>
          <w:bCs/>
        </w:rPr>
        <w:t xml:space="preserve"> </w:t>
      </w:r>
      <w:r w:rsidR="00487B0A" w:rsidRPr="00CD59CC">
        <w:rPr>
          <w:rFonts w:ascii="Arial" w:hAnsi="Arial" w:cs="Arial"/>
          <w:bCs/>
        </w:rPr>
        <w:t>the</w:t>
      </w:r>
      <w:r w:rsidR="007B7640" w:rsidRPr="00CD59CC">
        <w:rPr>
          <w:rFonts w:ascii="Arial" w:hAnsi="Arial" w:cs="Arial"/>
          <w:bCs/>
        </w:rPr>
        <w:t xml:space="preserve"> </w:t>
      </w:r>
      <w:r w:rsidR="00487B0A" w:rsidRPr="00CD59CC">
        <w:rPr>
          <w:rFonts w:ascii="Arial" w:hAnsi="Arial" w:cs="Arial"/>
          <w:bCs/>
        </w:rPr>
        <w:t>Civil</w:t>
      </w:r>
      <w:r w:rsidR="007B7640" w:rsidRPr="00CD59CC">
        <w:rPr>
          <w:rFonts w:ascii="Arial" w:hAnsi="Arial" w:cs="Arial"/>
          <w:bCs/>
        </w:rPr>
        <w:t xml:space="preserve"> </w:t>
      </w:r>
      <w:r w:rsidR="00487B0A" w:rsidRPr="00CD59CC">
        <w:rPr>
          <w:rFonts w:ascii="Arial" w:hAnsi="Arial" w:cs="Arial"/>
          <w:bCs/>
        </w:rPr>
        <w:t>Code</w:t>
      </w:r>
      <w:r w:rsidR="007B7640" w:rsidRPr="00CD59CC">
        <w:rPr>
          <w:rFonts w:ascii="Arial" w:hAnsi="Arial" w:cs="Arial"/>
          <w:bCs/>
        </w:rPr>
        <w:t xml:space="preserve"> </w:t>
      </w:r>
      <w:r w:rsidR="00487B0A" w:rsidRPr="00CD59CC">
        <w:rPr>
          <w:rFonts w:ascii="Arial" w:hAnsi="Arial" w:cs="Arial"/>
          <w:bCs/>
        </w:rPr>
        <w:t>pertaining</w:t>
      </w:r>
      <w:r w:rsidR="007B7640" w:rsidRPr="00CD59CC">
        <w:rPr>
          <w:rFonts w:ascii="Arial" w:hAnsi="Arial" w:cs="Arial"/>
          <w:bCs/>
        </w:rPr>
        <w:t xml:space="preserve"> </w:t>
      </w:r>
      <w:r w:rsidR="00487B0A" w:rsidRPr="00CD59CC">
        <w:rPr>
          <w:rFonts w:ascii="Arial" w:hAnsi="Arial" w:cs="Arial"/>
          <w:bCs/>
        </w:rPr>
        <w:t>to</w:t>
      </w:r>
      <w:r w:rsidR="007B7640" w:rsidRPr="00CD59CC">
        <w:rPr>
          <w:rFonts w:ascii="Arial" w:hAnsi="Arial" w:cs="Arial"/>
          <w:bCs/>
        </w:rPr>
        <w:t xml:space="preserve"> </w:t>
      </w:r>
      <w:r w:rsidR="00487B0A" w:rsidRPr="00CD59CC">
        <w:rPr>
          <w:rFonts w:ascii="Arial" w:hAnsi="Arial" w:cs="Arial"/>
          <w:bCs/>
        </w:rPr>
        <w:t>the</w:t>
      </w:r>
      <w:r w:rsidR="007B7640" w:rsidRPr="00CD59CC">
        <w:rPr>
          <w:rFonts w:ascii="Arial" w:hAnsi="Arial" w:cs="Arial"/>
          <w:bCs/>
        </w:rPr>
        <w:t xml:space="preserve"> </w:t>
      </w:r>
      <w:r w:rsidR="00487B0A" w:rsidRPr="00CD59CC">
        <w:rPr>
          <w:rFonts w:ascii="Arial" w:hAnsi="Arial" w:cs="Arial"/>
          <w:bCs/>
        </w:rPr>
        <w:t>protection</w:t>
      </w:r>
      <w:r w:rsidR="007B7640" w:rsidRPr="00CD59CC">
        <w:rPr>
          <w:rFonts w:ascii="Arial" w:hAnsi="Arial" w:cs="Arial"/>
          <w:bCs/>
        </w:rPr>
        <w:t xml:space="preserve"> </w:t>
      </w:r>
      <w:r w:rsidR="00487B0A" w:rsidRPr="00CD59CC">
        <w:rPr>
          <w:rFonts w:ascii="Arial" w:hAnsi="Arial" w:cs="Arial"/>
          <w:bCs/>
        </w:rPr>
        <w:t>of</w:t>
      </w:r>
      <w:r w:rsidR="007B7640" w:rsidRPr="00CD59CC">
        <w:rPr>
          <w:rFonts w:ascii="Arial" w:hAnsi="Arial" w:cs="Arial"/>
          <w:bCs/>
        </w:rPr>
        <w:t xml:space="preserve"> </w:t>
      </w:r>
      <w:r w:rsidR="00487B0A" w:rsidRPr="00CD59CC">
        <w:rPr>
          <w:rFonts w:ascii="Arial" w:hAnsi="Arial" w:cs="Arial"/>
          <w:bCs/>
        </w:rPr>
        <w:t>inherent</w:t>
      </w:r>
      <w:r w:rsidR="007B7640" w:rsidRPr="00CD59CC">
        <w:rPr>
          <w:rFonts w:ascii="Arial" w:hAnsi="Arial" w:cs="Arial"/>
          <w:bCs/>
        </w:rPr>
        <w:t xml:space="preserve"> </w:t>
      </w:r>
      <w:r w:rsidR="00487B0A" w:rsidRPr="00CD59CC">
        <w:rPr>
          <w:rFonts w:ascii="Arial" w:hAnsi="Arial" w:cs="Arial"/>
          <w:bCs/>
        </w:rPr>
        <w:t>personal</w:t>
      </w:r>
      <w:r w:rsidR="007B7640" w:rsidRPr="00CD59CC">
        <w:rPr>
          <w:rFonts w:ascii="Arial" w:hAnsi="Arial" w:cs="Arial"/>
          <w:bCs/>
        </w:rPr>
        <w:t xml:space="preserve"> </w:t>
      </w:r>
      <w:r w:rsidR="00487B0A" w:rsidRPr="00CD59CC">
        <w:rPr>
          <w:rFonts w:ascii="Arial" w:hAnsi="Arial" w:cs="Arial"/>
          <w:bCs/>
        </w:rPr>
        <w:t>rights.)</w:t>
      </w:r>
    </w:p>
    <w:p w14:paraId="39069A36" w14:textId="77777777" w:rsidR="003E08B3" w:rsidRPr="00CD59CC" w:rsidRDefault="003E08B3" w:rsidP="00CD59CC">
      <w:pPr>
        <w:autoSpaceDE w:val="0"/>
        <w:rPr>
          <w:rFonts w:ascii="Arial" w:hAnsi="Arial" w:cs="Arial"/>
          <w:bCs/>
        </w:rPr>
      </w:pPr>
    </w:p>
    <w:p w14:paraId="4D56D542" w14:textId="77777777" w:rsidR="003E08B3" w:rsidRPr="00CD59CC" w:rsidRDefault="003E08B3" w:rsidP="00CD59CC">
      <w:pPr>
        <w:autoSpaceDE w:val="0"/>
        <w:rPr>
          <w:rFonts w:ascii="Arial" w:hAnsi="Arial" w:cs="Arial"/>
          <w:bCs/>
        </w:rPr>
      </w:pP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following</w:t>
      </w:r>
      <w:r w:rsidR="007B7640" w:rsidRPr="00CD59CC">
        <w:rPr>
          <w:rFonts w:ascii="Arial" w:hAnsi="Arial" w:cs="Arial"/>
          <w:bCs/>
        </w:rPr>
        <w:t xml:space="preserve"> </w:t>
      </w:r>
      <w:r w:rsidRPr="00CD59CC">
        <w:rPr>
          <w:rFonts w:ascii="Arial" w:hAnsi="Arial" w:cs="Arial"/>
          <w:bCs/>
        </w:rPr>
        <w:t>are</w:t>
      </w:r>
      <w:r w:rsidR="007B7640" w:rsidRPr="00CD59CC">
        <w:rPr>
          <w:rFonts w:ascii="Arial" w:hAnsi="Arial" w:cs="Arial"/>
          <w:bCs/>
        </w:rPr>
        <w:t xml:space="preserve"> </w:t>
      </w:r>
      <w:r w:rsidRPr="00CD59CC">
        <w:rPr>
          <w:rFonts w:ascii="Arial" w:hAnsi="Arial" w:cs="Arial"/>
          <w:bCs/>
        </w:rPr>
        <w:t>expressly</w:t>
      </w:r>
      <w:r w:rsidR="007B7640" w:rsidRPr="00CD59CC">
        <w:rPr>
          <w:rFonts w:ascii="Arial" w:hAnsi="Arial" w:cs="Arial"/>
          <w:bCs/>
        </w:rPr>
        <w:t xml:space="preserve"> </w:t>
      </w:r>
      <w:r w:rsidRPr="00CD59CC">
        <w:rPr>
          <w:rFonts w:ascii="Arial" w:hAnsi="Arial" w:cs="Arial"/>
          <w:bCs/>
        </w:rPr>
        <w:t>excluded</w:t>
      </w:r>
      <w:r w:rsidR="007B7640" w:rsidRPr="00CD59CC">
        <w:rPr>
          <w:rFonts w:ascii="Arial" w:hAnsi="Arial" w:cs="Arial"/>
          <w:bCs/>
        </w:rPr>
        <w:t xml:space="preserve"> </w:t>
      </w:r>
      <w:r w:rsidRPr="00CD59CC">
        <w:rPr>
          <w:rFonts w:ascii="Arial" w:hAnsi="Arial" w:cs="Arial"/>
          <w:bCs/>
        </w:rPr>
        <w:t>from</w:t>
      </w:r>
      <w:r w:rsidR="007B7640" w:rsidRPr="00CD59CC">
        <w:rPr>
          <w:rFonts w:ascii="Arial" w:hAnsi="Arial" w:cs="Arial"/>
          <w:bCs/>
        </w:rPr>
        <w:t xml:space="preserve"> </w:t>
      </w:r>
      <w:r w:rsidRPr="00CD59CC">
        <w:rPr>
          <w:rFonts w:ascii="Arial" w:hAnsi="Arial" w:cs="Arial"/>
          <w:bCs/>
        </w:rPr>
        <w:t>ETA’s</w:t>
      </w:r>
      <w:r w:rsidR="007B7640" w:rsidRPr="00CD59CC">
        <w:rPr>
          <w:rFonts w:ascii="Arial" w:hAnsi="Arial" w:cs="Arial"/>
          <w:bCs/>
        </w:rPr>
        <w:t xml:space="preserve"> </w:t>
      </w:r>
      <w:r w:rsidRPr="00CD59CC">
        <w:rPr>
          <w:rFonts w:ascii="Arial" w:hAnsi="Arial" w:cs="Arial"/>
          <w:bCs/>
        </w:rPr>
        <w:t>scope</w:t>
      </w:r>
      <w:r w:rsidR="007B7640" w:rsidRPr="00CD59CC">
        <w:rPr>
          <w:rFonts w:ascii="Arial" w:hAnsi="Arial" w:cs="Arial"/>
          <w:bCs/>
        </w:rPr>
        <w:t xml:space="preserve"> </w:t>
      </w:r>
      <w:r w:rsidRPr="00CD59CC">
        <w:rPr>
          <w:rFonts w:ascii="Arial" w:hAnsi="Arial" w:cs="Arial"/>
          <w:bCs/>
        </w:rPr>
        <w:t>(Article</w:t>
      </w:r>
      <w:r w:rsidR="007B7640" w:rsidRPr="00CD59CC">
        <w:rPr>
          <w:rFonts w:ascii="Arial" w:hAnsi="Arial" w:cs="Arial"/>
          <w:bCs/>
        </w:rPr>
        <w:t xml:space="preserve"> </w:t>
      </w:r>
      <w:r w:rsidRPr="00CD59CC">
        <w:rPr>
          <w:rFonts w:ascii="Arial" w:hAnsi="Arial" w:cs="Arial"/>
          <w:bCs/>
        </w:rPr>
        <w:t>6):</w:t>
      </w:r>
      <w:r w:rsidR="007B7640" w:rsidRPr="00CD59CC">
        <w:rPr>
          <w:rFonts w:ascii="Arial" w:hAnsi="Arial" w:cs="Arial"/>
          <w:bCs/>
        </w:rPr>
        <w:t xml:space="preserve"> </w:t>
      </w:r>
      <w:r w:rsidRPr="00CD59CC">
        <w:rPr>
          <w:rFonts w:ascii="Arial" w:hAnsi="Arial" w:cs="Arial"/>
          <w:bCs/>
        </w:rPr>
        <w:t>(i)</w:t>
      </w:r>
      <w:r w:rsidR="007B7640" w:rsidRPr="00CD59CC">
        <w:rPr>
          <w:rFonts w:ascii="Arial" w:hAnsi="Arial" w:cs="Arial"/>
          <w:bCs/>
        </w:rPr>
        <w:t xml:space="preserve"> </w:t>
      </w:r>
      <w:r w:rsidRPr="00CD59CC">
        <w:rPr>
          <w:rFonts w:ascii="Arial" w:hAnsi="Arial" w:cs="Arial"/>
          <w:bCs/>
        </w:rPr>
        <w:t>family</w:t>
      </w:r>
      <w:r w:rsidR="007B7640" w:rsidRPr="00CD59CC">
        <w:rPr>
          <w:rFonts w:ascii="Arial" w:hAnsi="Arial" w:cs="Arial"/>
          <w:bCs/>
        </w:rPr>
        <w:t xml:space="preserve"> </w:t>
      </w:r>
      <w:r w:rsidRPr="00CD59CC">
        <w:rPr>
          <w:rFonts w:ascii="Arial" w:hAnsi="Arial" w:cs="Arial"/>
          <w:bCs/>
        </w:rPr>
        <w:t>relations,</w:t>
      </w:r>
      <w:r w:rsidR="007B7640" w:rsidRPr="00CD59CC">
        <w:rPr>
          <w:rFonts w:ascii="Arial" w:hAnsi="Arial" w:cs="Arial"/>
          <w:bCs/>
        </w:rPr>
        <w:t xml:space="preserve"> </w:t>
      </w:r>
      <w:r w:rsidRPr="00CD59CC">
        <w:rPr>
          <w:rFonts w:ascii="Arial" w:hAnsi="Arial" w:cs="Arial"/>
          <w:bCs/>
        </w:rPr>
        <w:t>(ii)</w:t>
      </w:r>
      <w:r w:rsidR="007B7640" w:rsidRPr="00CD59CC">
        <w:rPr>
          <w:rFonts w:ascii="Arial" w:hAnsi="Arial" w:cs="Arial"/>
          <w:bCs/>
        </w:rPr>
        <w:t xml:space="preserve"> </w:t>
      </w:r>
      <w:r w:rsidRPr="00CD59CC">
        <w:rPr>
          <w:rFonts w:ascii="Arial" w:hAnsi="Arial" w:cs="Arial"/>
          <w:bCs/>
        </w:rPr>
        <w:t>legal</w:t>
      </w:r>
      <w:r w:rsidR="007B7640" w:rsidRPr="00CD59CC">
        <w:rPr>
          <w:rFonts w:ascii="Arial" w:hAnsi="Arial" w:cs="Arial"/>
          <w:bCs/>
        </w:rPr>
        <w:t xml:space="preserve"> </w:t>
      </w:r>
      <w:r w:rsidRPr="00CD59CC">
        <w:rPr>
          <w:rFonts w:ascii="Arial" w:hAnsi="Arial" w:cs="Arial"/>
          <w:bCs/>
        </w:rPr>
        <w:t>relations</w:t>
      </w:r>
      <w:r w:rsidR="007B7640" w:rsidRPr="00CD59CC">
        <w:rPr>
          <w:rFonts w:ascii="Arial" w:hAnsi="Arial" w:cs="Arial"/>
          <w:bCs/>
        </w:rPr>
        <w:t xml:space="preserve"> </w:t>
      </w:r>
      <w:r w:rsidRPr="00CD59CC">
        <w:rPr>
          <w:rFonts w:ascii="Arial" w:hAnsi="Arial" w:cs="Arial"/>
          <w:bCs/>
        </w:rPr>
        <w:t>between</w:t>
      </w:r>
      <w:r w:rsidR="007B7640" w:rsidRPr="00CD59CC">
        <w:rPr>
          <w:rFonts w:ascii="Arial" w:hAnsi="Arial" w:cs="Arial"/>
          <w:bCs/>
        </w:rPr>
        <w:t xml:space="preserve"> </w:t>
      </w:r>
      <w:r w:rsidRPr="00CD59CC">
        <w:rPr>
          <w:rFonts w:ascii="Arial" w:hAnsi="Arial" w:cs="Arial"/>
          <w:bCs/>
        </w:rPr>
        <w:t>relatives;</w:t>
      </w:r>
      <w:r w:rsidR="007B7640" w:rsidRPr="00CD59CC">
        <w:rPr>
          <w:rFonts w:ascii="Arial" w:hAnsi="Arial" w:cs="Arial"/>
          <w:bCs/>
        </w:rPr>
        <w:t xml:space="preserve"> </w:t>
      </w:r>
      <w:r w:rsidRPr="00CD59CC">
        <w:rPr>
          <w:rFonts w:ascii="Arial" w:hAnsi="Arial" w:cs="Arial"/>
          <w:bCs/>
        </w:rPr>
        <w:t>(iii)</w:t>
      </w:r>
      <w:r w:rsidR="007B7640" w:rsidRPr="00CD59CC">
        <w:rPr>
          <w:rFonts w:ascii="Arial" w:hAnsi="Arial" w:cs="Arial"/>
          <w:bCs/>
        </w:rPr>
        <w:t xml:space="preserve"> </w:t>
      </w:r>
      <w:r w:rsidRPr="00CD59CC">
        <w:rPr>
          <w:rFonts w:ascii="Arial" w:hAnsi="Arial" w:cs="Arial"/>
          <w:bCs/>
        </w:rPr>
        <w:t>issues</w:t>
      </w:r>
      <w:r w:rsidR="007B7640" w:rsidRPr="00CD59CC">
        <w:rPr>
          <w:rFonts w:ascii="Arial" w:hAnsi="Arial" w:cs="Arial"/>
          <w:bCs/>
        </w:rPr>
        <w:t xml:space="preserve"> </w:t>
      </w:r>
      <w:r w:rsidRPr="00CD59CC">
        <w:rPr>
          <w:rFonts w:ascii="Arial" w:hAnsi="Arial" w:cs="Arial"/>
          <w:bCs/>
        </w:rPr>
        <w:t>relating</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faith</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churches</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use</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exact</w:t>
      </w:r>
      <w:r w:rsidR="007B7640" w:rsidRPr="00CD59CC">
        <w:rPr>
          <w:rFonts w:ascii="Arial" w:hAnsi="Arial" w:cs="Arial"/>
          <w:bCs/>
        </w:rPr>
        <w:t xml:space="preserve"> </w:t>
      </w:r>
      <w:r w:rsidRPr="00CD59CC">
        <w:rPr>
          <w:rFonts w:ascii="Arial" w:hAnsi="Arial" w:cs="Arial"/>
          <w:bCs/>
        </w:rPr>
        <w:t>–</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not</w:t>
      </w:r>
      <w:r w:rsidR="007B7640" w:rsidRPr="00CD59CC">
        <w:rPr>
          <w:rFonts w:ascii="Arial" w:hAnsi="Arial" w:cs="Arial"/>
          <w:bCs/>
        </w:rPr>
        <w:t xml:space="preserve"> </w:t>
      </w:r>
      <w:r w:rsidRPr="00CD59CC">
        <w:rPr>
          <w:rFonts w:ascii="Arial" w:hAnsi="Arial" w:cs="Arial"/>
          <w:bCs/>
        </w:rPr>
        <w:t>entirely</w:t>
      </w:r>
      <w:r w:rsidR="007B7640" w:rsidRPr="00CD59CC">
        <w:rPr>
          <w:rFonts w:ascii="Arial" w:hAnsi="Arial" w:cs="Arial"/>
          <w:bCs/>
        </w:rPr>
        <w:t xml:space="preserve"> </w:t>
      </w:r>
      <w:r w:rsidRPr="00CD59CC">
        <w:rPr>
          <w:rFonts w:ascii="Arial" w:hAnsi="Arial" w:cs="Arial"/>
          <w:bCs/>
        </w:rPr>
        <w:t>clear</w:t>
      </w:r>
      <w:r w:rsidR="007B7640" w:rsidRPr="00CD59CC">
        <w:rPr>
          <w:rFonts w:ascii="Arial" w:hAnsi="Arial" w:cs="Arial"/>
          <w:bCs/>
        </w:rPr>
        <w:t xml:space="preserve"> </w:t>
      </w:r>
      <w:r w:rsidRPr="00CD59CC">
        <w:rPr>
          <w:rFonts w:ascii="Arial" w:hAnsi="Arial" w:cs="Arial"/>
          <w:bCs/>
        </w:rPr>
        <w:t>–</w:t>
      </w:r>
      <w:r w:rsidR="007B7640" w:rsidRPr="00CD59CC">
        <w:rPr>
          <w:rFonts w:ascii="Arial" w:hAnsi="Arial" w:cs="Arial"/>
          <w:bCs/>
        </w:rPr>
        <w:t xml:space="preserve"> </w:t>
      </w:r>
      <w:r w:rsidRPr="00CD59CC">
        <w:rPr>
          <w:rFonts w:ascii="Arial" w:hAnsi="Arial" w:cs="Arial"/>
          <w:bCs/>
        </w:rPr>
        <w:t>wording</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Hungarian</w:t>
      </w:r>
      <w:r w:rsidR="007B7640" w:rsidRPr="00CD59CC">
        <w:rPr>
          <w:rFonts w:ascii="Arial" w:hAnsi="Arial" w:cs="Arial"/>
          <w:bCs/>
        </w:rPr>
        <w:t xml:space="preserve"> </w:t>
      </w:r>
      <w:r w:rsidRPr="00CD59CC">
        <w:rPr>
          <w:rFonts w:ascii="Arial" w:hAnsi="Arial" w:cs="Arial"/>
          <w:bCs/>
        </w:rPr>
        <w:t>legislation:</w:t>
      </w:r>
      <w:r w:rsidR="007B7640" w:rsidRPr="00CD59CC">
        <w:rPr>
          <w:rFonts w:ascii="Arial" w:hAnsi="Arial" w:cs="Arial"/>
          <w:bCs/>
        </w:rPr>
        <w:t xml:space="preserve"> </w:t>
      </w:r>
      <w:r w:rsidRPr="00CD59CC">
        <w:rPr>
          <w:rFonts w:ascii="Arial" w:hAnsi="Arial" w:cs="Arial"/>
          <w:bCs/>
        </w:rPr>
        <w:t>“a</w:t>
      </w:r>
      <w:r w:rsidR="007B7640" w:rsidRPr="00CD59CC">
        <w:rPr>
          <w:rFonts w:ascii="Arial" w:hAnsi="Arial" w:cs="Arial"/>
          <w:bCs/>
        </w:rPr>
        <w:t xml:space="preserve"> </w:t>
      </w:r>
      <w:r w:rsidRPr="00CD59CC">
        <w:rPr>
          <w:rFonts w:ascii="Arial" w:hAnsi="Arial" w:cs="Arial"/>
          <w:bCs/>
        </w:rPr>
        <w:t>denominational</w:t>
      </w:r>
      <w:r w:rsidR="007B7640" w:rsidRPr="00CD59CC">
        <w:rPr>
          <w:rFonts w:ascii="Arial" w:hAnsi="Arial" w:cs="Arial"/>
          <w:bCs/>
        </w:rPr>
        <w:t xml:space="preserve"> </w:t>
      </w:r>
      <w:r w:rsidRPr="00CD59CC">
        <w:rPr>
          <w:rFonts w:ascii="Arial" w:hAnsi="Arial" w:cs="Arial"/>
          <w:bCs/>
        </w:rPr>
        <w:t>legal</w:t>
      </w:r>
      <w:r w:rsidR="007B7640" w:rsidRPr="00CD59CC">
        <w:rPr>
          <w:rFonts w:ascii="Arial" w:hAnsi="Arial" w:cs="Arial"/>
          <w:bCs/>
        </w:rPr>
        <w:t xml:space="preserve"> </w:t>
      </w:r>
      <w:r w:rsidRPr="00CD59CC">
        <w:rPr>
          <w:rFonts w:ascii="Arial" w:hAnsi="Arial" w:cs="Arial"/>
          <w:bCs/>
        </w:rPr>
        <w:t>person's</w:t>
      </w:r>
      <w:r w:rsidR="007B7640" w:rsidRPr="00CD59CC">
        <w:rPr>
          <w:rFonts w:ascii="Arial" w:hAnsi="Arial" w:cs="Arial"/>
          <w:bCs/>
        </w:rPr>
        <w:t xml:space="preserve"> </w:t>
      </w:r>
      <w:r w:rsidRPr="00CD59CC">
        <w:rPr>
          <w:rFonts w:ascii="Arial" w:hAnsi="Arial" w:cs="Arial"/>
          <w:bCs/>
        </w:rPr>
        <w:t>legal</w:t>
      </w:r>
      <w:r w:rsidR="007B7640" w:rsidRPr="00CD59CC">
        <w:rPr>
          <w:rFonts w:ascii="Arial" w:hAnsi="Arial" w:cs="Arial"/>
          <w:bCs/>
        </w:rPr>
        <w:t xml:space="preserve"> </w:t>
      </w:r>
      <w:r w:rsidRPr="00CD59CC">
        <w:rPr>
          <w:rFonts w:ascii="Arial" w:hAnsi="Arial" w:cs="Arial"/>
          <w:bCs/>
        </w:rPr>
        <w:t>relationship</w:t>
      </w:r>
      <w:r w:rsidR="007B7640" w:rsidRPr="00CD59CC">
        <w:rPr>
          <w:rFonts w:ascii="Arial" w:hAnsi="Arial" w:cs="Arial"/>
          <w:bCs/>
        </w:rPr>
        <w:t xml:space="preserve"> </w:t>
      </w:r>
      <w:r w:rsidRPr="00CD59CC">
        <w:rPr>
          <w:rFonts w:ascii="Arial" w:hAnsi="Arial" w:cs="Arial"/>
          <w:bCs/>
        </w:rPr>
        <w:t>directly</w:t>
      </w:r>
      <w:r w:rsidR="007B7640" w:rsidRPr="00CD59CC">
        <w:rPr>
          <w:rFonts w:ascii="Arial" w:hAnsi="Arial" w:cs="Arial"/>
          <w:bCs/>
        </w:rPr>
        <w:t xml:space="preserve"> </w:t>
      </w:r>
      <w:r w:rsidRPr="00CD59CC">
        <w:rPr>
          <w:rFonts w:ascii="Arial" w:hAnsi="Arial" w:cs="Arial"/>
          <w:bCs/>
        </w:rPr>
        <w:t>related</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denomination's</w:t>
      </w:r>
      <w:r w:rsidR="007B7640" w:rsidRPr="00CD59CC">
        <w:rPr>
          <w:rFonts w:ascii="Arial" w:hAnsi="Arial" w:cs="Arial"/>
          <w:bCs/>
        </w:rPr>
        <w:t xml:space="preserve"> </w:t>
      </w:r>
      <w:r w:rsidRPr="00CD59CC">
        <w:rPr>
          <w:rFonts w:ascii="Arial" w:hAnsi="Arial" w:cs="Arial"/>
          <w:bCs/>
        </w:rPr>
        <w:t>religious</w:t>
      </w:r>
      <w:r w:rsidR="007B7640" w:rsidRPr="00CD59CC">
        <w:rPr>
          <w:rFonts w:ascii="Arial" w:hAnsi="Arial" w:cs="Arial"/>
          <w:bCs/>
        </w:rPr>
        <w:t xml:space="preserve"> </w:t>
      </w:r>
      <w:r w:rsidRPr="00CD59CC">
        <w:rPr>
          <w:rFonts w:ascii="Arial" w:hAnsi="Arial" w:cs="Arial"/>
          <w:bCs/>
        </w:rPr>
        <w:t>activity”),</w:t>
      </w:r>
      <w:r w:rsidR="007B7640" w:rsidRPr="00CD59CC">
        <w:rPr>
          <w:rFonts w:ascii="Arial" w:hAnsi="Arial" w:cs="Arial"/>
          <w:bCs/>
        </w:rPr>
        <w:t xml:space="preserve"> </w:t>
      </w:r>
      <w:r w:rsidRPr="00CD59CC">
        <w:rPr>
          <w:rFonts w:ascii="Arial" w:hAnsi="Arial" w:cs="Arial"/>
          <w:bCs/>
        </w:rPr>
        <w:t>(iv)</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i/>
        </w:rPr>
        <w:t>internal</w:t>
      </w:r>
      <w:r w:rsidR="007B7640" w:rsidRPr="00CD59CC">
        <w:rPr>
          <w:rFonts w:ascii="Arial" w:hAnsi="Arial" w:cs="Arial"/>
          <w:bCs/>
        </w:rPr>
        <w:t xml:space="preserve"> </w:t>
      </w:r>
      <w:r w:rsidRPr="00CD59CC">
        <w:rPr>
          <w:rFonts w:ascii="Arial" w:hAnsi="Arial" w:cs="Arial"/>
          <w:bCs/>
        </w:rPr>
        <w:t>operations</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NGOs</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legal</w:t>
      </w:r>
      <w:r w:rsidR="007B7640" w:rsidRPr="00CD59CC">
        <w:rPr>
          <w:rFonts w:ascii="Arial" w:hAnsi="Arial" w:cs="Arial"/>
          <w:bCs/>
        </w:rPr>
        <w:t xml:space="preserve"> </w:t>
      </w:r>
      <w:r w:rsidRPr="00CD59CC">
        <w:rPr>
          <w:rFonts w:ascii="Arial" w:hAnsi="Arial" w:cs="Arial"/>
          <w:bCs/>
        </w:rPr>
        <w:t>entities</w:t>
      </w:r>
      <w:r w:rsidR="007B7640" w:rsidRPr="00CD59CC">
        <w:rPr>
          <w:rFonts w:ascii="Arial" w:hAnsi="Arial" w:cs="Arial"/>
          <w:bCs/>
        </w:rPr>
        <w:t xml:space="preserve"> </w:t>
      </w:r>
      <w:r w:rsidRPr="00CD59CC">
        <w:rPr>
          <w:rFonts w:ascii="Arial" w:hAnsi="Arial" w:cs="Arial"/>
          <w:bCs/>
        </w:rPr>
        <w:t>–</w:t>
      </w:r>
      <w:r w:rsidR="007B7640" w:rsidRPr="00CD59CC">
        <w:rPr>
          <w:rFonts w:ascii="Arial" w:hAnsi="Arial" w:cs="Arial"/>
          <w:bCs/>
        </w:rPr>
        <w:t xml:space="preserve"> </w:t>
      </w:r>
      <w:r w:rsidRPr="00CD59CC">
        <w:rPr>
          <w:rFonts w:ascii="Arial" w:hAnsi="Arial" w:cs="Arial"/>
          <w:bCs/>
        </w:rPr>
        <w:t>except</w:t>
      </w:r>
      <w:r w:rsidR="007B7640" w:rsidRPr="00CD59CC">
        <w:rPr>
          <w:rFonts w:ascii="Arial" w:hAnsi="Arial" w:cs="Arial"/>
          <w:bCs/>
        </w:rPr>
        <w:t xml:space="preserve"> </w:t>
      </w:r>
      <w:r w:rsidRPr="00CD59CC">
        <w:rPr>
          <w:rFonts w:ascii="Arial" w:hAnsi="Arial" w:cs="Arial"/>
          <w:bCs/>
        </w:rPr>
        <w:t>for</w:t>
      </w:r>
      <w:r w:rsidR="007B7640" w:rsidRPr="00CD59CC">
        <w:rPr>
          <w:rFonts w:ascii="Arial" w:hAnsi="Arial" w:cs="Arial"/>
          <w:bCs/>
        </w:rPr>
        <w:t xml:space="preserve"> </w:t>
      </w:r>
      <w:r w:rsidRPr="00CD59CC">
        <w:rPr>
          <w:rFonts w:ascii="Arial" w:hAnsi="Arial" w:cs="Arial"/>
          <w:bCs/>
        </w:rPr>
        <w:t>establishing</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terminating</w:t>
      </w:r>
      <w:r w:rsidR="007B7640" w:rsidRPr="00CD59CC">
        <w:rPr>
          <w:rFonts w:ascii="Arial" w:hAnsi="Arial" w:cs="Arial"/>
          <w:bCs/>
        </w:rPr>
        <w:t xml:space="preserve"> </w:t>
      </w:r>
      <w:r w:rsidRPr="00CD59CC">
        <w:rPr>
          <w:rFonts w:ascii="Arial" w:hAnsi="Arial" w:cs="Arial"/>
          <w:bCs/>
        </w:rPr>
        <w:t>membership.</w:t>
      </w:r>
      <w:r w:rsidR="007B7640" w:rsidRPr="00CD59CC">
        <w:rPr>
          <w:rFonts w:ascii="Arial" w:hAnsi="Arial" w:cs="Arial"/>
          <w:bCs/>
        </w:rPr>
        <w:t xml:space="preserve"> </w:t>
      </w:r>
      <w:r w:rsidRPr="00CD59CC">
        <w:rPr>
          <w:rFonts w:ascii="Arial" w:hAnsi="Arial" w:cs="Arial"/>
          <w:bCs/>
        </w:rPr>
        <w:t>Political</w:t>
      </w:r>
      <w:r w:rsidR="007B7640" w:rsidRPr="00CD59CC">
        <w:rPr>
          <w:rFonts w:ascii="Arial" w:hAnsi="Arial" w:cs="Arial"/>
          <w:bCs/>
        </w:rPr>
        <w:t xml:space="preserve"> </w:t>
      </w:r>
      <w:r w:rsidRPr="00CD59CC">
        <w:rPr>
          <w:rFonts w:ascii="Arial" w:hAnsi="Arial" w:cs="Arial"/>
          <w:bCs/>
        </w:rPr>
        <w:t>parties</w:t>
      </w:r>
      <w:r w:rsidR="007B7640" w:rsidRPr="00CD59CC">
        <w:rPr>
          <w:rFonts w:ascii="Arial" w:hAnsi="Arial" w:cs="Arial"/>
          <w:bCs/>
        </w:rPr>
        <w:t xml:space="preserve"> </w:t>
      </w:r>
      <w:r w:rsidRPr="00CD59CC">
        <w:rPr>
          <w:rFonts w:ascii="Arial" w:hAnsi="Arial" w:cs="Arial"/>
          <w:bCs/>
        </w:rPr>
        <w:t>also</w:t>
      </w:r>
      <w:r w:rsidR="007B7640" w:rsidRPr="00CD59CC">
        <w:rPr>
          <w:rFonts w:ascii="Arial" w:hAnsi="Arial" w:cs="Arial"/>
          <w:bCs/>
        </w:rPr>
        <w:t xml:space="preserve"> </w:t>
      </w:r>
      <w:r w:rsidRPr="00CD59CC">
        <w:rPr>
          <w:rFonts w:ascii="Arial" w:hAnsi="Arial" w:cs="Arial"/>
          <w:bCs/>
        </w:rPr>
        <w:t>mean</w:t>
      </w:r>
      <w:r w:rsidR="007B7640" w:rsidRPr="00CD59CC">
        <w:rPr>
          <w:rFonts w:ascii="Arial" w:hAnsi="Arial" w:cs="Arial"/>
          <w:bCs/>
        </w:rPr>
        <w:t xml:space="preserve"> </w:t>
      </w:r>
      <w:r w:rsidRPr="00CD59CC">
        <w:rPr>
          <w:rFonts w:ascii="Arial" w:hAnsi="Arial" w:cs="Arial"/>
          <w:bCs/>
        </w:rPr>
        <w:t>an</w:t>
      </w:r>
      <w:r w:rsidR="007B7640" w:rsidRPr="00CD59CC">
        <w:rPr>
          <w:rFonts w:ascii="Arial" w:hAnsi="Arial" w:cs="Arial"/>
          <w:bCs/>
        </w:rPr>
        <w:t xml:space="preserve"> </w:t>
      </w:r>
      <w:r w:rsidRPr="00CD59CC">
        <w:rPr>
          <w:rFonts w:ascii="Arial" w:hAnsi="Arial" w:cs="Arial"/>
          <w:bCs/>
        </w:rPr>
        <w:t>exception</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this</w:t>
      </w:r>
      <w:r w:rsidR="007B7640" w:rsidRPr="00CD59CC">
        <w:rPr>
          <w:rFonts w:ascii="Arial" w:hAnsi="Arial" w:cs="Arial"/>
          <w:bCs/>
        </w:rPr>
        <w:t xml:space="preserve"> </w:t>
      </w:r>
      <w:r w:rsidRPr="00CD59CC">
        <w:rPr>
          <w:rFonts w:ascii="Arial" w:hAnsi="Arial" w:cs="Arial"/>
          <w:bCs/>
        </w:rPr>
        <w:t>rule:</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their</w:t>
      </w:r>
      <w:r w:rsidR="007B7640" w:rsidRPr="00CD59CC">
        <w:rPr>
          <w:rFonts w:ascii="Arial" w:hAnsi="Arial" w:cs="Arial"/>
          <w:bCs/>
        </w:rPr>
        <w:t xml:space="preserve"> </w:t>
      </w:r>
      <w:r w:rsidRPr="00CD59CC">
        <w:rPr>
          <w:rFonts w:ascii="Arial" w:hAnsi="Arial" w:cs="Arial"/>
          <w:bCs/>
        </w:rPr>
        <w:t>case,</w:t>
      </w:r>
      <w:r w:rsidR="007B7640" w:rsidRPr="00CD59CC">
        <w:rPr>
          <w:rFonts w:ascii="Arial" w:hAnsi="Arial" w:cs="Arial"/>
          <w:bCs/>
        </w:rPr>
        <w:t xml:space="preserve"> </w:t>
      </w:r>
      <w:r w:rsidRPr="00CD59CC">
        <w:rPr>
          <w:rFonts w:ascii="Arial" w:hAnsi="Arial" w:cs="Arial"/>
          <w:bCs/>
        </w:rPr>
        <w:t>only</w:t>
      </w:r>
      <w:r w:rsidR="007B7640" w:rsidRPr="00CD59CC">
        <w:rPr>
          <w:rFonts w:ascii="Arial" w:hAnsi="Arial" w:cs="Arial"/>
          <w:bCs/>
        </w:rPr>
        <w:t xml:space="preserve"> </w:t>
      </w:r>
      <w:r w:rsidRPr="00CD59CC">
        <w:rPr>
          <w:rFonts w:ascii="Arial" w:hAnsi="Arial" w:cs="Arial"/>
          <w:bCs/>
        </w:rPr>
        <w:t>differentiation</w:t>
      </w:r>
      <w:r w:rsidR="007B7640" w:rsidRPr="00CD59CC">
        <w:rPr>
          <w:rFonts w:ascii="Arial" w:hAnsi="Arial" w:cs="Arial"/>
          <w:bCs/>
        </w:rPr>
        <w:t xml:space="preserve"> </w:t>
      </w:r>
      <w:r w:rsidRPr="00CD59CC">
        <w:rPr>
          <w:rFonts w:ascii="Arial" w:hAnsi="Arial" w:cs="Arial"/>
          <w:bCs/>
        </w:rPr>
        <w:t>based</w:t>
      </w:r>
      <w:r w:rsidR="007B7640" w:rsidRPr="00CD59CC">
        <w:rPr>
          <w:rFonts w:ascii="Arial" w:hAnsi="Arial" w:cs="Arial"/>
          <w:bCs/>
        </w:rPr>
        <w:t xml:space="preserve"> </w:t>
      </w:r>
      <w:r w:rsidRPr="00CD59CC">
        <w:rPr>
          <w:rFonts w:ascii="Arial" w:hAnsi="Arial" w:cs="Arial"/>
          <w:bCs/>
        </w:rPr>
        <w:t>on</w:t>
      </w:r>
      <w:r w:rsidR="007B7640" w:rsidRPr="00CD59CC">
        <w:rPr>
          <w:rFonts w:ascii="Arial" w:hAnsi="Arial" w:cs="Arial"/>
          <w:bCs/>
        </w:rPr>
        <w:t xml:space="preserve"> </w:t>
      </w:r>
      <w:r w:rsidRPr="00CD59CC">
        <w:rPr>
          <w:rFonts w:ascii="Arial" w:hAnsi="Arial" w:cs="Arial"/>
          <w:bCs/>
        </w:rPr>
        <w:t>political</w:t>
      </w:r>
      <w:r w:rsidR="007B7640" w:rsidRPr="00CD59CC">
        <w:rPr>
          <w:rFonts w:ascii="Arial" w:hAnsi="Arial" w:cs="Arial"/>
          <w:bCs/>
        </w:rPr>
        <w:t xml:space="preserve"> </w:t>
      </w:r>
      <w:r w:rsidRPr="00CD59CC">
        <w:rPr>
          <w:rFonts w:ascii="Arial" w:hAnsi="Arial" w:cs="Arial"/>
          <w:bCs/>
        </w:rPr>
        <w:t>views</w:t>
      </w:r>
      <w:r w:rsidR="007B7640" w:rsidRPr="00CD59CC">
        <w:rPr>
          <w:rFonts w:ascii="Arial" w:hAnsi="Arial" w:cs="Arial"/>
          <w:bCs/>
        </w:rPr>
        <w:t xml:space="preserve"> </w:t>
      </w:r>
      <w:r w:rsidRPr="00CD59CC">
        <w:rPr>
          <w:rFonts w:ascii="Arial" w:hAnsi="Arial" w:cs="Arial"/>
          <w:bCs/>
        </w:rPr>
        <w:t>falls</w:t>
      </w:r>
      <w:r w:rsidR="007B7640" w:rsidRPr="00CD59CC">
        <w:rPr>
          <w:rFonts w:ascii="Arial" w:hAnsi="Arial" w:cs="Arial"/>
          <w:bCs/>
        </w:rPr>
        <w:t xml:space="preserve"> </w:t>
      </w:r>
      <w:r w:rsidRPr="00CD59CC">
        <w:rPr>
          <w:rFonts w:ascii="Arial" w:hAnsi="Arial" w:cs="Arial"/>
          <w:bCs/>
        </w:rPr>
        <w:t>outside</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scope</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r w:rsidR="007B7640" w:rsidRPr="00CD59CC">
        <w:rPr>
          <w:rFonts w:ascii="Arial" w:hAnsi="Arial" w:cs="Arial"/>
          <w:bCs/>
        </w:rPr>
        <w:t xml:space="preserve"> </w:t>
      </w:r>
    </w:p>
    <w:p w14:paraId="1124B286" w14:textId="77777777" w:rsidR="003E08B3" w:rsidRPr="00CD59CC" w:rsidRDefault="003E08B3" w:rsidP="00CD59CC">
      <w:pPr>
        <w:autoSpaceDE w:val="0"/>
        <w:rPr>
          <w:rFonts w:ascii="Arial" w:hAnsi="Arial" w:cs="Arial"/>
        </w:rPr>
      </w:pPr>
      <w:r w:rsidRPr="00CD59CC">
        <w:rPr>
          <w:rFonts w:ascii="Arial" w:hAnsi="Arial" w:cs="Arial"/>
        </w:rPr>
        <w:lastRenderedPageBreak/>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solution</w:t>
      </w:r>
      <w:r w:rsidR="007B7640" w:rsidRPr="00CD59CC">
        <w:rPr>
          <w:rFonts w:ascii="Arial" w:hAnsi="Arial" w:cs="Arial"/>
        </w:rPr>
        <w:t xml:space="preserve"> </w:t>
      </w:r>
      <w:r w:rsidRPr="00CD59CC">
        <w:rPr>
          <w:rFonts w:ascii="Arial" w:hAnsi="Arial" w:cs="Arial"/>
        </w:rPr>
        <w:t>concerning</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easily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breach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exempts</w:t>
      </w:r>
      <w:r w:rsidR="007B7640" w:rsidRPr="00CD59CC">
        <w:rPr>
          <w:rFonts w:ascii="Arial" w:hAnsi="Arial" w:cs="Arial"/>
        </w:rPr>
        <w:t xml:space="preserve"> </w:t>
      </w:r>
      <w:r w:rsidRPr="00CD59CC">
        <w:rPr>
          <w:rFonts w:ascii="Arial" w:hAnsi="Arial" w:cs="Arial"/>
        </w:rPr>
        <w:t>most</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certain</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application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sectors</w:t>
      </w:r>
      <w:r w:rsidR="007B7640" w:rsidRPr="00CD59CC">
        <w:rPr>
          <w:rFonts w:ascii="Arial" w:hAnsi="Arial" w:cs="Arial"/>
        </w:rPr>
        <w:t xml:space="preserve"> </w:t>
      </w:r>
      <w:r w:rsidRPr="00CD59CC">
        <w:rPr>
          <w:rFonts w:ascii="Arial" w:hAnsi="Arial" w:cs="Arial"/>
        </w:rPr>
        <w:t>covered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p>
    <w:p w14:paraId="47E18184" w14:textId="77777777" w:rsidR="003E08B3" w:rsidRPr="00CD59CC" w:rsidRDefault="003E08B3" w:rsidP="00CD59CC">
      <w:pPr>
        <w:autoSpaceDE w:val="0"/>
        <w:rPr>
          <w:rFonts w:ascii="Arial" w:hAnsi="Arial" w:cs="Arial"/>
        </w:rPr>
      </w:pPr>
    </w:p>
    <w:p w14:paraId="31327FB1" w14:textId="77777777" w:rsidR="00C76A05" w:rsidRPr="00CD59CC" w:rsidRDefault="003E08B3" w:rsidP="00CD59CC">
      <w:pPr>
        <w:autoSpaceDE w:val="0"/>
        <w:rPr>
          <w:rFonts w:ascii="Arial" w:hAnsi="Arial" w:cs="Arial"/>
        </w:rPr>
      </w:pPr>
      <w:r w:rsidRPr="00CD59CC">
        <w:rPr>
          <w:rFonts w:ascii="Arial" w:hAnsi="Arial" w:cs="Arial"/>
        </w:rPr>
        <w:t>For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detailed</w:t>
      </w:r>
      <w:r w:rsidR="007B7640" w:rsidRPr="00CD59CC">
        <w:rPr>
          <w:rFonts w:ascii="Arial" w:hAnsi="Arial" w:cs="Arial"/>
        </w:rPr>
        <w:t xml:space="preserve"> </w:t>
      </w:r>
      <w:r w:rsidRPr="00CD59CC">
        <w:rPr>
          <w:rFonts w:ascii="Arial" w:hAnsi="Arial" w:cs="Arial"/>
        </w:rPr>
        <w:t>explanation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problem</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requires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parallel</w:t>
      </w:r>
      <w:r w:rsidR="007B7640" w:rsidRPr="00CD59CC">
        <w:rPr>
          <w:rFonts w:ascii="Arial" w:hAnsi="Arial" w:cs="Arial"/>
        </w:rPr>
        <w:t xml:space="preserve"> </w:t>
      </w:r>
      <w:r w:rsidRPr="00CD59CC">
        <w:rPr>
          <w:rFonts w:ascii="Arial" w:hAnsi="Arial" w:cs="Arial"/>
        </w:rPr>
        <w:t>examination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material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3.2</w:t>
      </w:r>
      <w:r w:rsidR="007B7640" w:rsidRPr="00CD59CC">
        <w:rPr>
          <w:rFonts w:ascii="Arial" w:hAnsi="Arial" w:cs="Arial"/>
        </w:rPr>
        <w:t xml:space="preserve"> </w:t>
      </w:r>
      <w:r w:rsidRPr="00CD59CC">
        <w:rPr>
          <w:rFonts w:ascii="Arial" w:hAnsi="Arial" w:cs="Arial"/>
        </w:rPr>
        <w:t>below.</w:t>
      </w:r>
      <w:r w:rsidR="007B7640" w:rsidRPr="00CD59CC">
        <w:rPr>
          <w:rFonts w:ascii="Arial" w:hAnsi="Arial" w:cs="Arial"/>
        </w:rPr>
        <w:t xml:space="preserve"> </w:t>
      </w:r>
    </w:p>
    <w:p w14:paraId="795981DD" w14:textId="77777777" w:rsidR="00C76A05" w:rsidRPr="00CD59CC" w:rsidRDefault="00C76A05" w:rsidP="00CD59CC">
      <w:pPr>
        <w:rPr>
          <w:rFonts w:ascii="Arial" w:hAnsi="Arial" w:cs="Arial"/>
          <w:bCs/>
        </w:rPr>
      </w:pPr>
    </w:p>
    <w:p w14:paraId="79D7EFF2" w14:textId="77777777" w:rsidR="002B5BCD" w:rsidRPr="00CD59CC" w:rsidRDefault="002B5BCD" w:rsidP="00CD59CC">
      <w:pPr>
        <w:pStyle w:val="ListParagraph"/>
        <w:numPr>
          <w:ilvl w:val="0"/>
          <w:numId w:val="29"/>
        </w:numPr>
        <w:tabs>
          <w:tab w:val="left" w:pos="567"/>
        </w:tabs>
        <w:ind w:left="567" w:hanging="567"/>
        <w:contextualSpacing/>
        <w:rPr>
          <w:rFonts w:ascii="Arial" w:hAnsi="Arial" w:cs="Arial"/>
          <w:i/>
        </w:rPr>
      </w:pPr>
      <w:r w:rsidRPr="00CD59CC">
        <w:rPr>
          <w:rFonts w:ascii="Arial" w:hAnsi="Arial" w:cs="Arial"/>
          <w:i/>
        </w:rPr>
        <w:t>Is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applicable</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both</w:t>
      </w:r>
      <w:r w:rsidR="007B7640" w:rsidRPr="00CD59CC">
        <w:rPr>
          <w:rFonts w:ascii="Arial" w:hAnsi="Arial" w:cs="Arial"/>
          <w:i/>
        </w:rPr>
        <w:t xml:space="preserve"> </w:t>
      </w:r>
      <w:r w:rsidRPr="00CD59CC">
        <w:rPr>
          <w:rFonts w:ascii="Arial" w:hAnsi="Arial" w:cs="Arial"/>
          <w:i/>
        </w:rPr>
        <w:t>private</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public</w:t>
      </w:r>
      <w:r w:rsidR="007B7640" w:rsidRPr="00CD59CC">
        <w:rPr>
          <w:rFonts w:ascii="Arial" w:hAnsi="Arial" w:cs="Arial"/>
          <w:i/>
        </w:rPr>
        <w:t xml:space="preserve"> </w:t>
      </w:r>
      <w:r w:rsidRPr="00CD59CC">
        <w:rPr>
          <w:rFonts w:ascii="Arial" w:hAnsi="Arial" w:cs="Arial"/>
          <w:i/>
        </w:rPr>
        <w:t>sector</w:t>
      </w:r>
      <w:r w:rsidR="007B7640" w:rsidRPr="00CD59CC">
        <w:rPr>
          <w:rFonts w:ascii="Arial" w:hAnsi="Arial" w:cs="Arial"/>
          <w:i/>
        </w:rPr>
        <w:t xml:space="preserve"> </w:t>
      </w:r>
      <w:r w:rsidRPr="00CD59CC">
        <w:rPr>
          <w:rFonts w:ascii="Arial" w:hAnsi="Arial" w:cs="Arial"/>
          <w:i/>
        </w:rPr>
        <w:t>including</w:t>
      </w:r>
      <w:r w:rsidR="007B7640" w:rsidRPr="00CD59CC">
        <w:rPr>
          <w:rFonts w:ascii="Arial" w:hAnsi="Arial" w:cs="Arial"/>
          <w:i/>
        </w:rPr>
        <w:t xml:space="preserve"> </w:t>
      </w:r>
      <w:r w:rsidRPr="00CD59CC">
        <w:rPr>
          <w:rFonts w:ascii="Arial" w:hAnsi="Arial" w:cs="Arial"/>
          <w:i/>
        </w:rPr>
        <w:t>public</w:t>
      </w:r>
      <w:r w:rsidR="007B7640" w:rsidRPr="00CD59CC">
        <w:rPr>
          <w:rFonts w:ascii="Arial" w:hAnsi="Arial" w:cs="Arial"/>
          <w:i/>
        </w:rPr>
        <w:t xml:space="preserve"> </w:t>
      </w:r>
      <w:r w:rsidRPr="00CD59CC">
        <w:rPr>
          <w:rFonts w:ascii="Arial" w:hAnsi="Arial" w:cs="Arial"/>
          <w:i/>
        </w:rPr>
        <w:t>bodies?</w:t>
      </w:r>
    </w:p>
    <w:p w14:paraId="6C1D1012" w14:textId="77777777" w:rsidR="002B5BCD" w:rsidRPr="00CD59CC" w:rsidRDefault="002B5BCD" w:rsidP="00BB4E9F">
      <w:pPr>
        <w:pStyle w:val="ListParagraph"/>
        <w:rPr>
          <w:rFonts w:ascii="Arial" w:hAnsi="Arial" w:cs="Arial"/>
          <w:bCs/>
        </w:rPr>
      </w:pPr>
    </w:p>
    <w:p w14:paraId="31FE77CE" w14:textId="77777777" w:rsidR="00D34B19" w:rsidRPr="00CD59CC" w:rsidRDefault="00D34B19" w:rsidP="00CD59CC">
      <w:pPr>
        <w:pStyle w:val="ListParagraph"/>
        <w:ind w:left="0"/>
        <w:rPr>
          <w:rFonts w:ascii="Arial" w:hAnsi="Arial" w:cs="Arial"/>
          <w:bCs/>
        </w:rPr>
      </w:pPr>
      <w:r w:rsidRPr="00CD59CC">
        <w:rPr>
          <w:rFonts w:ascii="Arial" w:hAnsi="Arial" w:cs="Arial"/>
          <w:bCs/>
        </w:rPr>
        <w:t>As</w:t>
      </w:r>
      <w:r w:rsidR="007B7640" w:rsidRPr="00CD59CC">
        <w:rPr>
          <w:rFonts w:ascii="Arial" w:hAnsi="Arial" w:cs="Arial"/>
          <w:bCs/>
        </w:rPr>
        <w:t xml:space="preserve"> </w:t>
      </w:r>
      <w:r w:rsidRPr="00CD59CC">
        <w:rPr>
          <w:rFonts w:ascii="Arial" w:hAnsi="Arial" w:cs="Arial"/>
          <w:bCs/>
        </w:rPr>
        <w:t>it</w:t>
      </w:r>
      <w:r w:rsidR="007B7640" w:rsidRPr="00CD59CC">
        <w:rPr>
          <w:rFonts w:ascii="Arial" w:hAnsi="Arial" w:cs="Arial"/>
          <w:bCs/>
        </w:rPr>
        <w:t xml:space="preserve"> </w:t>
      </w:r>
      <w:r w:rsidRPr="00CD59CC">
        <w:rPr>
          <w:rFonts w:ascii="Arial" w:hAnsi="Arial" w:cs="Arial"/>
          <w:bCs/>
        </w:rPr>
        <w:t>is</w:t>
      </w:r>
      <w:r w:rsidR="007B7640" w:rsidRPr="00CD59CC">
        <w:rPr>
          <w:rFonts w:ascii="Arial" w:hAnsi="Arial" w:cs="Arial"/>
          <w:bCs/>
        </w:rPr>
        <w:t xml:space="preserve"> </w:t>
      </w:r>
      <w:r w:rsidRPr="00CD59CC">
        <w:rPr>
          <w:rFonts w:ascii="Arial" w:hAnsi="Arial" w:cs="Arial"/>
          <w:bCs/>
        </w:rPr>
        <w:t>explained</w:t>
      </w:r>
      <w:r w:rsidR="007B7640" w:rsidRPr="00CD59CC">
        <w:rPr>
          <w:rFonts w:ascii="Arial" w:hAnsi="Arial" w:cs="Arial"/>
          <w:bCs/>
        </w:rPr>
        <w:t xml:space="preserve"> </w:t>
      </w:r>
      <w:r w:rsidRPr="00CD59CC">
        <w:rPr>
          <w:rFonts w:ascii="Arial" w:hAnsi="Arial" w:cs="Arial"/>
          <w:bCs/>
        </w:rPr>
        <w:t>above,</w:t>
      </w:r>
      <w:r w:rsidR="007B7640" w:rsidRPr="00CD59CC">
        <w:rPr>
          <w:rFonts w:ascii="Arial" w:hAnsi="Arial" w:cs="Arial"/>
          <w:bCs/>
        </w:rPr>
        <w:t xml:space="preserve"> </w:t>
      </w:r>
      <w:r w:rsidRPr="00CD59CC">
        <w:rPr>
          <w:rFonts w:ascii="Arial" w:hAnsi="Arial" w:cs="Arial"/>
          <w:bCs/>
        </w:rPr>
        <w:t>with</w:t>
      </w:r>
      <w:r w:rsidR="007B7640" w:rsidRPr="00CD59CC">
        <w:rPr>
          <w:rFonts w:ascii="Arial" w:hAnsi="Arial" w:cs="Arial"/>
          <w:bCs/>
        </w:rPr>
        <w:t xml:space="preserve"> </w:t>
      </w:r>
      <w:r w:rsidRPr="00CD59CC">
        <w:rPr>
          <w:rFonts w:ascii="Arial" w:hAnsi="Arial" w:cs="Arial"/>
          <w:bCs/>
        </w:rPr>
        <w:t>regard</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private</w:t>
      </w:r>
      <w:r w:rsidR="007B7640" w:rsidRPr="00CD59CC">
        <w:rPr>
          <w:rFonts w:ascii="Arial" w:hAnsi="Arial" w:cs="Arial"/>
          <w:bCs/>
        </w:rPr>
        <w:t xml:space="preserve"> </w:t>
      </w:r>
      <w:r w:rsidRPr="00CD59CC">
        <w:rPr>
          <w:rFonts w:ascii="Arial" w:hAnsi="Arial" w:cs="Arial"/>
          <w:bCs/>
        </w:rPr>
        <w:t>sector,</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scope</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national</w:t>
      </w:r>
      <w:r w:rsidR="007B7640" w:rsidRPr="00CD59CC">
        <w:rPr>
          <w:rFonts w:ascii="Arial" w:hAnsi="Arial" w:cs="Arial"/>
          <w:bCs/>
        </w:rPr>
        <w:t xml:space="preserve"> </w:t>
      </w:r>
      <w:r w:rsidRPr="00CD59CC">
        <w:rPr>
          <w:rFonts w:ascii="Arial" w:hAnsi="Arial" w:cs="Arial"/>
          <w:bCs/>
        </w:rPr>
        <w:t>anti-discrimination</w:t>
      </w:r>
      <w:r w:rsidR="007B7640" w:rsidRPr="00CD59CC">
        <w:rPr>
          <w:rFonts w:ascii="Arial" w:hAnsi="Arial" w:cs="Arial"/>
          <w:bCs/>
        </w:rPr>
        <w:t xml:space="preserve"> </w:t>
      </w:r>
      <w:r w:rsidRPr="00CD59CC">
        <w:rPr>
          <w:rFonts w:ascii="Arial" w:hAnsi="Arial" w:cs="Arial"/>
          <w:bCs/>
        </w:rPr>
        <w:t>law</w:t>
      </w:r>
      <w:r w:rsidR="007B7640" w:rsidRPr="00CD59CC">
        <w:rPr>
          <w:rFonts w:ascii="Arial" w:hAnsi="Arial" w:cs="Arial"/>
          <w:bCs/>
        </w:rPr>
        <w:t xml:space="preserve"> </w:t>
      </w:r>
      <w:r w:rsidRPr="00CD59CC">
        <w:rPr>
          <w:rFonts w:ascii="Arial" w:hAnsi="Arial" w:cs="Arial"/>
          <w:bCs/>
        </w:rPr>
        <w:t>is</w:t>
      </w:r>
      <w:r w:rsidR="007B7640" w:rsidRPr="00CD59CC">
        <w:rPr>
          <w:rFonts w:ascii="Arial" w:hAnsi="Arial" w:cs="Arial"/>
          <w:bCs/>
        </w:rPr>
        <w:t xml:space="preserve"> </w:t>
      </w:r>
      <w:r w:rsidRPr="00CD59CC">
        <w:rPr>
          <w:rFonts w:ascii="Arial" w:hAnsi="Arial" w:cs="Arial"/>
          <w:bCs/>
        </w:rPr>
        <w:t>restricted</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four</w:t>
      </w:r>
      <w:r w:rsidR="007B7640" w:rsidRPr="00CD59CC">
        <w:rPr>
          <w:rFonts w:ascii="Arial" w:hAnsi="Arial" w:cs="Arial"/>
          <w:bCs/>
        </w:rPr>
        <w:t xml:space="preserve"> </w:t>
      </w:r>
      <w:r w:rsidRPr="00CD59CC">
        <w:rPr>
          <w:rFonts w:ascii="Arial" w:hAnsi="Arial" w:cs="Arial"/>
          <w:bCs/>
        </w:rPr>
        <w:t>types</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actors.</w:t>
      </w:r>
      <w:r w:rsidR="007B7640" w:rsidRPr="00CD59CC">
        <w:rPr>
          <w:rFonts w:ascii="Arial" w:hAnsi="Arial" w:cs="Arial"/>
          <w:bCs/>
        </w:rPr>
        <w:t xml:space="preserve"> </w:t>
      </w:r>
      <w:r w:rsidRPr="00CD59CC">
        <w:rPr>
          <w:rFonts w:ascii="Arial" w:hAnsi="Arial" w:cs="Arial"/>
          <w:bCs/>
        </w:rPr>
        <w:t>However,</w:t>
      </w:r>
      <w:r w:rsidR="007B7640" w:rsidRPr="00CD59CC">
        <w:rPr>
          <w:rFonts w:ascii="Arial" w:hAnsi="Arial" w:cs="Arial"/>
          <w:bCs/>
        </w:rPr>
        <w:t xml:space="preserve"> </w:t>
      </w:r>
      <w:r w:rsidRPr="00CD59CC">
        <w:rPr>
          <w:rFonts w:ascii="Arial" w:hAnsi="Arial" w:cs="Arial"/>
          <w:bCs/>
        </w:rPr>
        <w:t>if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Civil</w:t>
      </w:r>
      <w:r w:rsidR="007B7640" w:rsidRPr="00CD59CC">
        <w:rPr>
          <w:rFonts w:ascii="Arial" w:hAnsi="Arial" w:cs="Arial"/>
          <w:bCs/>
        </w:rPr>
        <w:t xml:space="preserve"> </w:t>
      </w:r>
      <w:r w:rsidRPr="00CD59CC">
        <w:rPr>
          <w:rFonts w:ascii="Arial" w:hAnsi="Arial" w:cs="Arial"/>
          <w:bCs/>
        </w:rPr>
        <w:t>Code’s</w:t>
      </w:r>
      <w:r w:rsidR="007B7640" w:rsidRPr="00CD59CC">
        <w:rPr>
          <w:rFonts w:ascii="Arial" w:hAnsi="Arial" w:cs="Arial"/>
          <w:bCs/>
        </w:rPr>
        <w:t xml:space="preserve"> </w:t>
      </w:r>
      <w:r w:rsidRPr="00CD59CC">
        <w:rPr>
          <w:rFonts w:ascii="Arial" w:hAnsi="Arial" w:cs="Arial"/>
          <w:bCs/>
        </w:rPr>
        <w:t>provisions</w:t>
      </w:r>
      <w:r w:rsidR="007B7640" w:rsidRPr="00CD59CC">
        <w:rPr>
          <w:rFonts w:ascii="Arial" w:hAnsi="Arial" w:cs="Arial"/>
          <w:bCs/>
        </w:rPr>
        <w:t xml:space="preserve"> </w:t>
      </w:r>
      <w:r w:rsidRPr="00CD59CC">
        <w:rPr>
          <w:rFonts w:ascii="Arial" w:hAnsi="Arial" w:cs="Arial"/>
          <w:bCs/>
        </w:rPr>
        <w:t>pertaining</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protection</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inherent</w:t>
      </w:r>
      <w:r w:rsidR="007B7640" w:rsidRPr="00CD59CC">
        <w:rPr>
          <w:rFonts w:ascii="Arial" w:hAnsi="Arial" w:cs="Arial"/>
          <w:bCs/>
        </w:rPr>
        <w:t xml:space="preserve"> </w:t>
      </w:r>
      <w:r w:rsidRPr="00CD59CC">
        <w:rPr>
          <w:rFonts w:ascii="Arial" w:hAnsi="Arial" w:cs="Arial"/>
          <w:bCs/>
        </w:rPr>
        <w:t>personal</w:t>
      </w:r>
      <w:r w:rsidR="007B7640" w:rsidRPr="00CD59CC">
        <w:rPr>
          <w:rFonts w:ascii="Arial" w:hAnsi="Arial" w:cs="Arial"/>
          <w:bCs/>
        </w:rPr>
        <w:t xml:space="preserve"> </w:t>
      </w:r>
      <w:r w:rsidRPr="00CD59CC">
        <w:rPr>
          <w:rFonts w:ascii="Arial" w:hAnsi="Arial" w:cs="Arial"/>
          <w:bCs/>
        </w:rPr>
        <w:t>rights</w:t>
      </w:r>
      <w:r w:rsidR="007B7640" w:rsidRPr="00CD59CC">
        <w:rPr>
          <w:rFonts w:ascii="Arial" w:hAnsi="Arial" w:cs="Arial"/>
          <w:bCs/>
        </w:rPr>
        <w:t xml:space="preserve"> </w:t>
      </w:r>
      <w:r w:rsidRPr="00CD59CC">
        <w:rPr>
          <w:rFonts w:ascii="Arial" w:hAnsi="Arial" w:cs="Arial"/>
          <w:bCs/>
        </w:rPr>
        <w:t>are</w:t>
      </w:r>
      <w:r w:rsidR="007B7640" w:rsidRPr="00CD59CC">
        <w:rPr>
          <w:rFonts w:ascii="Arial" w:hAnsi="Arial" w:cs="Arial"/>
          <w:bCs/>
        </w:rPr>
        <w:t xml:space="preserve"> </w:t>
      </w:r>
      <w:r w:rsidRPr="00CD59CC">
        <w:rPr>
          <w:rFonts w:ascii="Arial" w:hAnsi="Arial" w:cs="Arial"/>
          <w:bCs/>
        </w:rPr>
        <w:t>interpreted</w:t>
      </w:r>
      <w:r w:rsidR="007B7640" w:rsidRPr="00CD59CC">
        <w:rPr>
          <w:rFonts w:ascii="Arial" w:hAnsi="Arial" w:cs="Arial"/>
          <w:bCs/>
        </w:rPr>
        <w:t xml:space="preserve"> </w:t>
      </w:r>
      <w:r w:rsidRPr="00CD59CC">
        <w:rPr>
          <w:rFonts w:ascii="Arial" w:hAnsi="Arial" w:cs="Arial"/>
          <w:bCs/>
        </w:rPr>
        <w:t>widely</w:t>
      </w:r>
      <w:r w:rsidR="007B7640" w:rsidRPr="00CD59CC">
        <w:rPr>
          <w:rFonts w:ascii="Arial" w:hAnsi="Arial" w:cs="Arial"/>
          <w:bCs/>
        </w:rPr>
        <w:t xml:space="preserve"> </w:t>
      </w:r>
      <w:r w:rsidRPr="00CD59CC">
        <w:rPr>
          <w:rFonts w:ascii="Arial" w:hAnsi="Arial" w:cs="Arial"/>
          <w:bCs/>
        </w:rPr>
        <w:t>enough</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cover</w:t>
      </w:r>
      <w:r w:rsidR="007B7640" w:rsidRPr="00CD59CC">
        <w:rPr>
          <w:rFonts w:ascii="Arial" w:hAnsi="Arial" w:cs="Arial"/>
          <w:bCs/>
        </w:rPr>
        <w:t xml:space="preserve"> </w:t>
      </w:r>
      <w:r w:rsidRPr="00CD59CC">
        <w:rPr>
          <w:rFonts w:ascii="Arial" w:hAnsi="Arial" w:cs="Arial"/>
          <w:bCs/>
        </w:rPr>
        <w:t>discriminatory</w:t>
      </w:r>
      <w:r w:rsidR="007B7640" w:rsidRPr="00CD59CC">
        <w:rPr>
          <w:rFonts w:ascii="Arial" w:hAnsi="Arial" w:cs="Arial"/>
          <w:bCs/>
        </w:rPr>
        <w:t xml:space="preserve"> </w:t>
      </w:r>
      <w:r w:rsidRPr="00CD59CC">
        <w:rPr>
          <w:rFonts w:ascii="Arial" w:hAnsi="Arial" w:cs="Arial"/>
          <w:bCs/>
        </w:rPr>
        <w:t>acts</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those</w:t>
      </w:r>
      <w:r w:rsidR="007B7640" w:rsidRPr="00CD59CC">
        <w:rPr>
          <w:rFonts w:ascii="Arial" w:hAnsi="Arial" w:cs="Arial"/>
          <w:bCs/>
        </w:rPr>
        <w:t xml:space="preserve"> </w:t>
      </w:r>
      <w:r w:rsidRPr="00CD59CC">
        <w:rPr>
          <w:rFonts w:ascii="Arial" w:hAnsi="Arial" w:cs="Arial"/>
          <w:bCs/>
        </w:rPr>
        <w:t>private</w:t>
      </w:r>
      <w:r w:rsidR="007B7640" w:rsidRPr="00CD59CC">
        <w:rPr>
          <w:rFonts w:ascii="Arial" w:hAnsi="Arial" w:cs="Arial"/>
          <w:bCs/>
        </w:rPr>
        <w:t xml:space="preserve"> </w:t>
      </w:r>
      <w:r w:rsidRPr="00CD59CC">
        <w:rPr>
          <w:rFonts w:ascii="Arial" w:hAnsi="Arial" w:cs="Arial"/>
          <w:bCs/>
        </w:rPr>
        <w:t>actors</w:t>
      </w:r>
      <w:r w:rsidR="007B7640" w:rsidRPr="00CD59CC">
        <w:rPr>
          <w:rFonts w:ascii="Arial" w:hAnsi="Arial" w:cs="Arial"/>
          <w:bCs/>
        </w:rPr>
        <w:t xml:space="preserve"> </w:t>
      </w:r>
      <w:r w:rsidRPr="00CD59CC">
        <w:rPr>
          <w:rFonts w:ascii="Arial" w:hAnsi="Arial" w:cs="Arial"/>
          <w:bCs/>
        </w:rPr>
        <w:t>who</w:t>
      </w:r>
      <w:r w:rsidR="007B7640" w:rsidRPr="00CD59CC">
        <w:rPr>
          <w:rFonts w:ascii="Arial" w:hAnsi="Arial" w:cs="Arial"/>
          <w:bCs/>
        </w:rPr>
        <w:t xml:space="preserve"> </w:t>
      </w:r>
      <w:r w:rsidRPr="00CD59CC">
        <w:rPr>
          <w:rFonts w:ascii="Arial" w:hAnsi="Arial" w:cs="Arial"/>
          <w:bCs/>
        </w:rPr>
        <w:t>do</w:t>
      </w:r>
      <w:r w:rsidR="007B7640" w:rsidRPr="00CD59CC">
        <w:rPr>
          <w:rFonts w:ascii="Arial" w:hAnsi="Arial" w:cs="Arial"/>
          <w:bCs/>
        </w:rPr>
        <w:t xml:space="preserve"> </w:t>
      </w:r>
      <w:r w:rsidRPr="00CD59CC">
        <w:rPr>
          <w:rFonts w:ascii="Arial" w:hAnsi="Arial" w:cs="Arial"/>
          <w:bCs/>
        </w:rPr>
        <w:t>not</w:t>
      </w:r>
      <w:r w:rsidR="007B7640" w:rsidRPr="00CD59CC">
        <w:rPr>
          <w:rFonts w:ascii="Arial" w:hAnsi="Arial" w:cs="Arial"/>
          <w:bCs/>
        </w:rPr>
        <w:t xml:space="preserve"> </w:t>
      </w:r>
      <w:r w:rsidRPr="00CD59CC">
        <w:rPr>
          <w:rFonts w:ascii="Arial" w:hAnsi="Arial" w:cs="Arial"/>
          <w:bCs/>
        </w:rPr>
        <w:t>fall</w:t>
      </w:r>
      <w:r w:rsidR="007B7640" w:rsidRPr="00CD59CC">
        <w:rPr>
          <w:rFonts w:ascii="Arial" w:hAnsi="Arial" w:cs="Arial"/>
          <w:bCs/>
        </w:rPr>
        <w:t xml:space="preserve"> </w:t>
      </w:r>
      <w:r w:rsidRPr="00CD59CC">
        <w:rPr>
          <w:rFonts w:ascii="Arial" w:hAnsi="Arial" w:cs="Arial"/>
          <w:bCs/>
        </w:rPr>
        <w:t>under</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ETA’s</w:t>
      </w:r>
      <w:r w:rsidR="007B7640" w:rsidRPr="00CD59CC">
        <w:rPr>
          <w:rFonts w:ascii="Arial" w:hAnsi="Arial" w:cs="Arial"/>
          <w:bCs/>
        </w:rPr>
        <w:t xml:space="preserve"> </w:t>
      </w:r>
      <w:r w:rsidRPr="00CD59CC">
        <w:rPr>
          <w:rFonts w:ascii="Arial" w:hAnsi="Arial" w:cs="Arial"/>
          <w:bCs/>
        </w:rPr>
        <w:t>scope,</w:t>
      </w:r>
      <w:r w:rsidR="007B7640" w:rsidRPr="00CD59CC">
        <w:rPr>
          <w:rFonts w:ascii="Arial" w:hAnsi="Arial" w:cs="Arial"/>
          <w:bCs/>
        </w:rPr>
        <w:t xml:space="preserve"> </w:t>
      </w:r>
      <w:r w:rsidRPr="00CD59CC">
        <w:rPr>
          <w:rFonts w:ascii="Arial" w:hAnsi="Arial" w:cs="Arial"/>
          <w:bCs/>
        </w:rPr>
        <w:t>then</w:t>
      </w:r>
      <w:r w:rsidR="007B7640" w:rsidRPr="00CD59CC">
        <w:rPr>
          <w:rFonts w:ascii="Arial" w:hAnsi="Arial" w:cs="Arial"/>
          <w:bCs/>
        </w:rPr>
        <w:t xml:space="preserve"> </w:t>
      </w:r>
      <w:r w:rsidRPr="00CD59CC">
        <w:rPr>
          <w:rFonts w:ascii="Arial" w:hAnsi="Arial" w:cs="Arial"/>
          <w:bCs/>
        </w:rPr>
        <w:t>liability</w:t>
      </w:r>
      <w:r w:rsidR="007B7640" w:rsidRPr="00CD59CC">
        <w:rPr>
          <w:rFonts w:ascii="Arial" w:hAnsi="Arial" w:cs="Arial"/>
          <w:bCs/>
        </w:rPr>
        <w:t xml:space="preserve"> </w:t>
      </w:r>
      <w:r w:rsidRPr="00CD59CC">
        <w:rPr>
          <w:rFonts w:ascii="Arial" w:hAnsi="Arial" w:cs="Arial"/>
          <w:bCs/>
        </w:rPr>
        <w:t>for</w:t>
      </w:r>
      <w:r w:rsidR="007B7640" w:rsidRPr="00CD59CC">
        <w:rPr>
          <w:rFonts w:ascii="Arial" w:hAnsi="Arial" w:cs="Arial"/>
          <w:bCs/>
        </w:rPr>
        <w:t xml:space="preserve"> </w:t>
      </w:r>
      <w:r w:rsidRPr="00CD59CC">
        <w:rPr>
          <w:rFonts w:ascii="Arial" w:hAnsi="Arial" w:cs="Arial"/>
          <w:bCs/>
        </w:rPr>
        <w:t>discrimination</w:t>
      </w:r>
      <w:r w:rsidR="007B7640" w:rsidRPr="00CD59CC">
        <w:rPr>
          <w:rFonts w:ascii="Arial" w:hAnsi="Arial" w:cs="Arial"/>
          <w:bCs/>
        </w:rPr>
        <w:t xml:space="preserve"> </w:t>
      </w:r>
      <w:r w:rsidRPr="00CD59CC">
        <w:rPr>
          <w:rFonts w:ascii="Arial" w:hAnsi="Arial" w:cs="Arial"/>
          <w:bCs/>
        </w:rPr>
        <w:t>can</w:t>
      </w:r>
      <w:r w:rsidR="007B7640" w:rsidRPr="00CD59CC">
        <w:rPr>
          <w:rFonts w:ascii="Arial" w:hAnsi="Arial" w:cs="Arial"/>
          <w:bCs/>
        </w:rPr>
        <w:t xml:space="preserve"> </w:t>
      </w:r>
      <w:r w:rsidRPr="00CD59CC">
        <w:rPr>
          <w:rFonts w:ascii="Arial" w:hAnsi="Arial" w:cs="Arial"/>
          <w:bCs/>
        </w:rPr>
        <w:t>be</w:t>
      </w:r>
      <w:r w:rsidR="007B7640" w:rsidRPr="00CD59CC">
        <w:rPr>
          <w:rFonts w:ascii="Arial" w:hAnsi="Arial" w:cs="Arial"/>
          <w:bCs/>
        </w:rPr>
        <w:t xml:space="preserve"> </w:t>
      </w:r>
      <w:r w:rsidRPr="00CD59CC">
        <w:rPr>
          <w:rFonts w:ascii="Arial" w:hAnsi="Arial" w:cs="Arial"/>
          <w:bCs/>
        </w:rPr>
        <w:t>considered</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extend</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whole</w:t>
      </w:r>
      <w:r w:rsidR="007B7640" w:rsidRPr="00CD59CC">
        <w:rPr>
          <w:rFonts w:ascii="Arial" w:hAnsi="Arial" w:cs="Arial"/>
          <w:bCs/>
        </w:rPr>
        <w:t xml:space="preserve"> </w:t>
      </w:r>
      <w:r w:rsidRPr="00CD59CC">
        <w:rPr>
          <w:rFonts w:ascii="Arial" w:hAnsi="Arial" w:cs="Arial"/>
          <w:bCs/>
        </w:rPr>
        <w:t>private</w:t>
      </w:r>
      <w:r w:rsidR="007B7640" w:rsidRPr="00CD59CC">
        <w:rPr>
          <w:rFonts w:ascii="Arial" w:hAnsi="Arial" w:cs="Arial"/>
          <w:bCs/>
        </w:rPr>
        <w:t xml:space="preserve"> </w:t>
      </w:r>
      <w:r w:rsidRPr="00CD59CC">
        <w:rPr>
          <w:rFonts w:ascii="Arial" w:hAnsi="Arial" w:cs="Arial"/>
          <w:bCs/>
        </w:rPr>
        <w:t>sector</w:t>
      </w:r>
      <w:r w:rsidR="007B7640" w:rsidRPr="00CD59CC">
        <w:rPr>
          <w:rFonts w:ascii="Arial" w:hAnsi="Arial" w:cs="Arial"/>
          <w:bCs/>
        </w:rPr>
        <w:t xml:space="preserve"> </w:t>
      </w:r>
      <w:r w:rsidRPr="00CD59CC">
        <w:rPr>
          <w:rFonts w:ascii="Arial" w:hAnsi="Arial" w:cs="Arial"/>
          <w:bCs/>
        </w:rPr>
        <w:t>with</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limitation</w:t>
      </w:r>
      <w:r w:rsidR="007B7640" w:rsidRPr="00CD59CC">
        <w:rPr>
          <w:rFonts w:ascii="Arial" w:hAnsi="Arial" w:cs="Arial"/>
          <w:bCs/>
        </w:rPr>
        <w:t xml:space="preserve"> </w:t>
      </w:r>
      <w:r w:rsidRPr="00CD59CC">
        <w:rPr>
          <w:rFonts w:ascii="Arial" w:hAnsi="Arial" w:cs="Arial"/>
          <w:bCs/>
        </w:rPr>
        <w:t>that</w:t>
      </w:r>
      <w:r w:rsidR="007B7640" w:rsidRPr="00CD59CC">
        <w:rPr>
          <w:rFonts w:ascii="Arial" w:hAnsi="Arial" w:cs="Arial"/>
          <w:bCs/>
        </w:rPr>
        <w:t xml:space="preserve"> </w:t>
      </w:r>
      <w:r w:rsidRPr="00CD59CC">
        <w:rPr>
          <w:rFonts w:ascii="Arial" w:hAnsi="Arial" w:cs="Arial"/>
          <w:bCs/>
        </w:rPr>
        <w:t>certain</w:t>
      </w:r>
      <w:r w:rsidR="007B7640" w:rsidRPr="00CD59CC">
        <w:rPr>
          <w:rFonts w:ascii="Arial" w:hAnsi="Arial" w:cs="Arial"/>
          <w:bCs/>
        </w:rPr>
        <w:t xml:space="preserve"> </w:t>
      </w:r>
      <w:r w:rsidRPr="00CD59CC">
        <w:rPr>
          <w:rFonts w:ascii="Arial" w:hAnsi="Arial" w:cs="Arial"/>
          <w:bCs/>
        </w:rPr>
        <w:t>provisions</w:t>
      </w:r>
      <w:r w:rsidR="007B7640" w:rsidRPr="00CD59CC">
        <w:rPr>
          <w:rFonts w:ascii="Arial" w:hAnsi="Arial" w:cs="Arial"/>
          <w:bCs/>
        </w:rPr>
        <w:t xml:space="preserve"> </w:t>
      </w:r>
      <w:r w:rsidRPr="00CD59CC">
        <w:rPr>
          <w:rFonts w:ascii="Arial" w:hAnsi="Arial" w:cs="Arial"/>
          <w:bCs/>
        </w:rPr>
        <w:t>(such</w:t>
      </w:r>
      <w:r w:rsidR="007B7640" w:rsidRPr="00CD59CC">
        <w:rPr>
          <w:rFonts w:ascii="Arial" w:hAnsi="Arial" w:cs="Arial"/>
          <w:bCs/>
        </w:rPr>
        <w:t xml:space="preserve"> </w:t>
      </w:r>
      <w:r w:rsidRPr="00CD59CC">
        <w:rPr>
          <w:rFonts w:ascii="Arial" w:hAnsi="Arial" w:cs="Arial"/>
          <w:bCs/>
        </w:rPr>
        <w:t>as</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one</w:t>
      </w:r>
      <w:r w:rsidR="007B7640" w:rsidRPr="00CD59CC">
        <w:rPr>
          <w:rFonts w:ascii="Arial" w:hAnsi="Arial" w:cs="Arial"/>
          <w:bCs/>
        </w:rPr>
        <w:t xml:space="preserve"> </w:t>
      </w:r>
      <w:r w:rsidRPr="00CD59CC">
        <w:rPr>
          <w:rFonts w:ascii="Arial" w:hAnsi="Arial" w:cs="Arial"/>
          <w:bCs/>
        </w:rPr>
        <w:t>on</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shifted</w:t>
      </w:r>
      <w:r w:rsidR="007B7640" w:rsidRPr="00CD59CC">
        <w:rPr>
          <w:rFonts w:ascii="Arial" w:hAnsi="Arial" w:cs="Arial"/>
          <w:bCs/>
        </w:rPr>
        <w:t xml:space="preserve"> </w:t>
      </w:r>
      <w:r w:rsidRPr="00CD59CC">
        <w:rPr>
          <w:rFonts w:ascii="Arial" w:hAnsi="Arial" w:cs="Arial"/>
          <w:bCs/>
        </w:rPr>
        <w:t>burden</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proof)</w:t>
      </w:r>
      <w:r w:rsidR="007B7640" w:rsidRPr="00CD59CC">
        <w:rPr>
          <w:rFonts w:ascii="Arial" w:hAnsi="Arial" w:cs="Arial"/>
          <w:bCs/>
        </w:rPr>
        <w:t xml:space="preserve"> </w:t>
      </w:r>
      <w:r w:rsidRPr="00CD59CC">
        <w:rPr>
          <w:rFonts w:ascii="Arial" w:hAnsi="Arial" w:cs="Arial"/>
          <w:bCs/>
        </w:rPr>
        <w:t>apply</w:t>
      </w:r>
      <w:r w:rsidR="007B7640" w:rsidRPr="00CD59CC">
        <w:rPr>
          <w:rFonts w:ascii="Arial" w:hAnsi="Arial" w:cs="Arial"/>
          <w:bCs/>
        </w:rPr>
        <w:t xml:space="preserve"> </w:t>
      </w:r>
      <w:r w:rsidRPr="00CD59CC">
        <w:rPr>
          <w:rFonts w:ascii="Arial" w:hAnsi="Arial" w:cs="Arial"/>
          <w:bCs/>
        </w:rPr>
        <w:t>only</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procedures</w:t>
      </w:r>
      <w:r w:rsidR="007B7640" w:rsidRPr="00CD59CC">
        <w:rPr>
          <w:rFonts w:ascii="Arial" w:hAnsi="Arial" w:cs="Arial"/>
          <w:bCs/>
        </w:rPr>
        <w:t xml:space="preserve"> </w:t>
      </w:r>
      <w:r w:rsidRPr="00CD59CC">
        <w:rPr>
          <w:rFonts w:ascii="Arial" w:hAnsi="Arial" w:cs="Arial"/>
          <w:bCs/>
        </w:rPr>
        <w:t>concerning</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four</w:t>
      </w:r>
      <w:r w:rsidR="007B7640" w:rsidRPr="00CD59CC">
        <w:rPr>
          <w:rFonts w:ascii="Arial" w:hAnsi="Arial" w:cs="Arial"/>
          <w:bCs/>
        </w:rPr>
        <w:t xml:space="preserve"> </w:t>
      </w:r>
      <w:r w:rsidRPr="00CD59CC">
        <w:rPr>
          <w:rFonts w:ascii="Arial" w:hAnsi="Arial" w:cs="Arial"/>
          <w:bCs/>
        </w:rPr>
        <w:t>groups</w:t>
      </w:r>
      <w:r w:rsidR="007B7640" w:rsidRPr="00CD59CC">
        <w:rPr>
          <w:rFonts w:ascii="Arial" w:hAnsi="Arial" w:cs="Arial"/>
          <w:bCs/>
        </w:rPr>
        <w:t xml:space="preserve"> </w:t>
      </w:r>
      <w:r w:rsidRPr="00CD59CC">
        <w:rPr>
          <w:rFonts w:ascii="Arial" w:hAnsi="Arial" w:cs="Arial"/>
          <w:bCs/>
        </w:rPr>
        <w:t>covered</w:t>
      </w:r>
      <w:r w:rsidR="007B7640" w:rsidRPr="00CD59CC">
        <w:rPr>
          <w:rFonts w:ascii="Arial" w:hAnsi="Arial" w:cs="Arial"/>
          <w:bCs/>
        </w:rPr>
        <w:t xml:space="preserve"> </w:t>
      </w:r>
      <w:r w:rsidRPr="00CD59CC">
        <w:rPr>
          <w:rFonts w:ascii="Arial" w:hAnsi="Arial" w:cs="Arial"/>
          <w:bCs/>
        </w:rPr>
        <w:t>by</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p>
    <w:p w14:paraId="0A46D7A8" w14:textId="77777777" w:rsidR="00C76A05" w:rsidRPr="00CD59CC" w:rsidRDefault="00C76A05" w:rsidP="00CD59CC">
      <w:pPr>
        <w:rPr>
          <w:rFonts w:ascii="Arial" w:hAnsi="Arial" w:cs="Arial"/>
          <w:bCs/>
        </w:rPr>
      </w:pPr>
    </w:p>
    <w:p w14:paraId="5ACBF5E3" w14:textId="77777777" w:rsidR="002B5BCD" w:rsidRPr="00CD59CC" w:rsidRDefault="002B5BCD" w:rsidP="00CD59CC">
      <w:pPr>
        <w:pStyle w:val="Heading3"/>
        <w:rPr>
          <w:rFonts w:cs="Arial"/>
        </w:rPr>
      </w:pPr>
      <w:bookmarkStart w:id="135" w:name="_Toc220221149"/>
      <w:bookmarkStart w:id="136" w:name="_Toc392758720"/>
      <w:bookmarkStart w:id="137" w:name="_Toc329163611"/>
      <w:bookmarkStart w:id="138" w:name="_Toc366846329"/>
      <w:r w:rsidRPr="00CD59CC">
        <w:rPr>
          <w:rFonts w:cs="Arial"/>
        </w:rPr>
        <w:t>Scope</w:t>
      </w:r>
      <w:r w:rsidR="007B7640" w:rsidRPr="00CD59CC">
        <w:rPr>
          <w:rFonts w:cs="Arial"/>
        </w:rPr>
        <w:t xml:space="preserve"> </w:t>
      </w:r>
      <w:r w:rsidRPr="00CD59CC">
        <w:rPr>
          <w:rFonts w:cs="Arial"/>
        </w:rPr>
        <w:t>of</w:t>
      </w:r>
      <w:r w:rsidR="007B7640" w:rsidRPr="00CD59CC">
        <w:rPr>
          <w:rFonts w:cs="Arial"/>
        </w:rPr>
        <w:t xml:space="preserve"> </w:t>
      </w:r>
      <w:r w:rsidRPr="00CD59CC">
        <w:rPr>
          <w:rFonts w:cs="Arial"/>
        </w:rPr>
        <w:t>liability</w:t>
      </w:r>
      <w:bookmarkEnd w:id="135"/>
      <w:bookmarkEnd w:id="136"/>
      <w:bookmarkEnd w:id="137"/>
      <w:bookmarkEnd w:id="138"/>
    </w:p>
    <w:p w14:paraId="5DA4E599" w14:textId="77777777" w:rsidR="002B5BCD" w:rsidRPr="00CD59CC" w:rsidRDefault="002B5BCD" w:rsidP="00CD59CC">
      <w:pPr>
        <w:rPr>
          <w:rFonts w:ascii="Arial" w:hAnsi="Arial" w:cs="Arial"/>
          <w:b/>
          <w:bCs/>
          <w:i/>
        </w:rPr>
      </w:pPr>
    </w:p>
    <w:p w14:paraId="1A08FA26" w14:textId="77777777" w:rsidR="002B5BCD" w:rsidRPr="00CD59CC" w:rsidRDefault="002B5BCD" w:rsidP="00CD59CC">
      <w:pPr>
        <w:rPr>
          <w:rFonts w:ascii="Arial" w:hAnsi="Arial" w:cs="Arial"/>
          <w:i/>
        </w:rPr>
      </w:pPr>
      <w:r w:rsidRPr="00CD59CC">
        <w:rPr>
          <w:rFonts w:ascii="Arial" w:hAnsi="Arial" w:cs="Arial"/>
          <w:i/>
        </w:rPr>
        <w:t>Are</w:t>
      </w:r>
      <w:r w:rsidR="007B7640" w:rsidRPr="00CD59CC">
        <w:rPr>
          <w:rFonts w:ascii="Arial" w:hAnsi="Arial" w:cs="Arial"/>
          <w:i/>
        </w:rPr>
        <w:t xml:space="preserve"> </w:t>
      </w:r>
      <w:r w:rsidRPr="00CD59CC">
        <w:rPr>
          <w:rFonts w:ascii="Arial" w:hAnsi="Arial" w:cs="Arial"/>
          <w:i/>
        </w:rPr>
        <w:t>there</w:t>
      </w:r>
      <w:r w:rsidR="007B7640" w:rsidRPr="00CD59CC">
        <w:rPr>
          <w:rFonts w:ascii="Arial" w:hAnsi="Arial" w:cs="Arial"/>
          <w:i/>
        </w:rPr>
        <w:t xml:space="preserve"> </w:t>
      </w:r>
      <w:r w:rsidRPr="00CD59CC">
        <w:rPr>
          <w:rFonts w:ascii="Arial" w:hAnsi="Arial" w:cs="Arial"/>
          <w:i/>
        </w:rPr>
        <w:t>any</w:t>
      </w:r>
      <w:r w:rsidR="007B7640" w:rsidRPr="00CD59CC">
        <w:rPr>
          <w:rFonts w:ascii="Arial" w:hAnsi="Arial" w:cs="Arial"/>
          <w:i/>
        </w:rPr>
        <w:t xml:space="preserve"> </w:t>
      </w:r>
      <w:r w:rsidRPr="00CD59CC">
        <w:rPr>
          <w:rFonts w:ascii="Arial" w:hAnsi="Arial" w:cs="Arial"/>
          <w:i/>
        </w:rPr>
        <w:t>liability</w:t>
      </w:r>
      <w:r w:rsidR="007B7640" w:rsidRPr="00CD59CC">
        <w:rPr>
          <w:rFonts w:ascii="Arial" w:hAnsi="Arial" w:cs="Arial"/>
          <w:i/>
        </w:rPr>
        <w:t xml:space="preserve"> </w:t>
      </w:r>
      <w:r w:rsidRPr="00CD59CC">
        <w:rPr>
          <w:rFonts w:ascii="Arial" w:hAnsi="Arial" w:cs="Arial"/>
          <w:i/>
        </w:rPr>
        <w:t>provisions</w:t>
      </w:r>
      <w:r w:rsidR="007B7640" w:rsidRPr="00CD59CC">
        <w:rPr>
          <w:rFonts w:ascii="Arial" w:hAnsi="Arial" w:cs="Arial"/>
          <w:i/>
        </w:rPr>
        <w:t xml:space="preserve"> </w:t>
      </w:r>
      <w:r w:rsidR="000A78E2" w:rsidRPr="00CD59CC">
        <w:rPr>
          <w:rFonts w:ascii="Arial" w:hAnsi="Arial" w:cs="Arial"/>
          <w:i/>
        </w:rPr>
        <w:t>other</w:t>
      </w:r>
      <w:r w:rsidR="007B7640" w:rsidRPr="00CD59CC">
        <w:rPr>
          <w:rFonts w:ascii="Arial" w:hAnsi="Arial" w:cs="Arial"/>
          <w:i/>
        </w:rPr>
        <w:t xml:space="preserve"> </w:t>
      </w:r>
      <w:r w:rsidRPr="00CD59CC">
        <w:rPr>
          <w:rFonts w:ascii="Arial" w:hAnsi="Arial" w:cs="Arial"/>
          <w:i/>
        </w:rPr>
        <w:t>than</w:t>
      </w:r>
      <w:r w:rsidR="007B7640" w:rsidRPr="00CD59CC">
        <w:rPr>
          <w:rFonts w:ascii="Arial" w:hAnsi="Arial" w:cs="Arial"/>
          <w:i/>
        </w:rPr>
        <w:t xml:space="preserve"> </w:t>
      </w:r>
      <w:r w:rsidRPr="00CD59CC">
        <w:rPr>
          <w:rFonts w:ascii="Arial" w:hAnsi="Arial" w:cs="Arial"/>
          <w:i/>
        </w:rPr>
        <w:t>those</w:t>
      </w:r>
      <w:r w:rsidR="007B7640" w:rsidRPr="00CD59CC">
        <w:rPr>
          <w:rFonts w:ascii="Arial" w:hAnsi="Arial" w:cs="Arial"/>
          <w:i/>
        </w:rPr>
        <w:t xml:space="preserve"> </w:t>
      </w:r>
      <w:r w:rsidRPr="00CD59CC">
        <w:rPr>
          <w:rFonts w:ascii="Arial" w:hAnsi="Arial" w:cs="Arial"/>
          <w:i/>
        </w:rPr>
        <w:t>mentioned</w:t>
      </w:r>
      <w:r w:rsidR="007B7640" w:rsidRPr="00CD59CC">
        <w:rPr>
          <w:rFonts w:ascii="Arial" w:hAnsi="Arial" w:cs="Arial"/>
          <w:i/>
        </w:rPr>
        <w:t xml:space="preserve"> </w:t>
      </w:r>
      <w:r w:rsidRPr="00CD59CC">
        <w:rPr>
          <w:rFonts w:ascii="Arial" w:hAnsi="Arial" w:cs="Arial"/>
          <w:i/>
        </w:rPr>
        <w:t>under</w:t>
      </w:r>
      <w:r w:rsidR="007B7640" w:rsidRPr="00CD59CC">
        <w:rPr>
          <w:rFonts w:ascii="Arial" w:hAnsi="Arial" w:cs="Arial"/>
          <w:i/>
        </w:rPr>
        <w:t xml:space="preserve"> </w:t>
      </w:r>
      <w:r w:rsidRPr="00CD59CC">
        <w:rPr>
          <w:rFonts w:ascii="Arial" w:hAnsi="Arial" w:cs="Arial"/>
          <w:i/>
        </w:rPr>
        <w:t>harassment</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instruction</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discriminate?</w:t>
      </w:r>
      <w:r w:rsidR="007B7640" w:rsidRPr="00CD59CC">
        <w:rPr>
          <w:rFonts w:ascii="Arial" w:hAnsi="Arial" w:cs="Arial"/>
          <w:i/>
        </w:rPr>
        <w:t xml:space="preserve"> </w:t>
      </w:r>
      <w:r w:rsidRPr="00CD59CC">
        <w:rPr>
          <w:rFonts w:ascii="Arial" w:hAnsi="Arial" w:cs="Arial"/>
          <w:i/>
        </w:rPr>
        <w:t>(e.g.</w:t>
      </w:r>
      <w:r w:rsidR="007B7640" w:rsidRPr="00CD59CC">
        <w:rPr>
          <w:rFonts w:ascii="Arial" w:hAnsi="Arial" w:cs="Arial"/>
          <w:i/>
        </w:rPr>
        <w:t xml:space="preserve"> </w:t>
      </w:r>
      <w:r w:rsidRPr="00CD59CC">
        <w:rPr>
          <w:rFonts w:ascii="Arial" w:hAnsi="Arial" w:cs="Arial"/>
          <w:i/>
        </w:rPr>
        <w:t>employers,</w:t>
      </w:r>
      <w:r w:rsidR="007B7640" w:rsidRPr="00CD59CC">
        <w:rPr>
          <w:rFonts w:ascii="Arial" w:hAnsi="Arial" w:cs="Arial"/>
          <w:i/>
        </w:rPr>
        <w:t xml:space="preserve"> </w:t>
      </w:r>
      <w:r w:rsidRPr="00CD59CC">
        <w:rPr>
          <w:rFonts w:ascii="Arial" w:hAnsi="Arial" w:cs="Arial"/>
          <w:i/>
        </w:rPr>
        <w:t>landlords,</w:t>
      </w:r>
      <w:r w:rsidR="007B7640" w:rsidRPr="00CD59CC">
        <w:rPr>
          <w:rFonts w:ascii="Arial" w:hAnsi="Arial" w:cs="Arial"/>
          <w:i/>
        </w:rPr>
        <w:t xml:space="preserve"> </w:t>
      </w:r>
      <w:r w:rsidRPr="00CD59CC">
        <w:rPr>
          <w:rFonts w:ascii="Arial" w:hAnsi="Arial" w:cs="Arial"/>
          <w:i/>
        </w:rPr>
        <w:t>tenants,</w:t>
      </w:r>
      <w:r w:rsidR="007B7640" w:rsidRPr="00CD59CC">
        <w:rPr>
          <w:rFonts w:ascii="Arial" w:hAnsi="Arial" w:cs="Arial"/>
          <w:i/>
        </w:rPr>
        <w:t xml:space="preserve"> </w:t>
      </w:r>
      <w:r w:rsidRPr="00CD59CC">
        <w:rPr>
          <w:rFonts w:ascii="Arial" w:hAnsi="Arial" w:cs="Arial"/>
          <w:i/>
        </w:rPr>
        <w:t>clients,</w:t>
      </w:r>
      <w:r w:rsidR="007B7640" w:rsidRPr="00CD59CC">
        <w:rPr>
          <w:rFonts w:ascii="Arial" w:hAnsi="Arial" w:cs="Arial"/>
          <w:i/>
        </w:rPr>
        <w:t xml:space="preserve"> </w:t>
      </w:r>
      <w:r w:rsidRPr="00CD59CC">
        <w:rPr>
          <w:rFonts w:ascii="Arial" w:hAnsi="Arial" w:cs="Arial"/>
          <w:i/>
        </w:rPr>
        <w:t>customers,</w:t>
      </w:r>
      <w:r w:rsidR="007B7640" w:rsidRPr="00CD59CC">
        <w:rPr>
          <w:rFonts w:ascii="Arial" w:hAnsi="Arial" w:cs="Arial"/>
          <w:i/>
        </w:rPr>
        <w:t xml:space="preserve"> </w:t>
      </w:r>
      <w:r w:rsidRPr="00CD59CC">
        <w:rPr>
          <w:rFonts w:ascii="Arial" w:hAnsi="Arial" w:cs="Arial"/>
          <w:i/>
        </w:rPr>
        <w:t>trade</w:t>
      </w:r>
      <w:r w:rsidR="007B7640" w:rsidRPr="00CD59CC">
        <w:rPr>
          <w:rFonts w:ascii="Arial" w:hAnsi="Arial" w:cs="Arial"/>
          <w:i/>
        </w:rPr>
        <w:t xml:space="preserve"> </w:t>
      </w:r>
      <w:r w:rsidRPr="00CD59CC">
        <w:rPr>
          <w:rFonts w:ascii="Arial" w:hAnsi="Arial" w:cs="Arial"/>
          <w:i/>
        </w:rPr>
        <w:t>unions)</w:t>
      </w:r>
    </w:p>
    <w:p w14:paraId="657135EE" w14:textId="77777777" w:rsidR="003A3F22" w:rsidRPr="00CD59CC" w:rsidRDefault="003A3F22" w:rsidP="00CD59CC">
      <w:pPr>
        <w:rPr>
          <w:rFonts w:ascii="Arial" w:hAnsi="Arial" w:cs="Arial"/>
          <w:i/>
        </w:rPr>
      </w:pPr>
    </w:p>
    <w:p w14:paraId="432ED928" w14:textId="77777777" w:rsidR="003908A4" w:rsidRPr="00CD59CC" w:rsidRDefault="003908A4" w:rsidP="00CD59CC">
      <w:pPr>
        <w:rPr>
          <w:rFonts w:ascii="Arial" w:hAnsi="Arial" w:cs="Arial"/>
          <w:i/>
        </w:rPr>
      </w:pPr>
      <w:r w:rsidRPr="00CD59CC">
        <w:rPr>
          <w:rFonts w:ascii="Arial" w:hAnsi="Arial" w:cs="Arial"/>
        </w:rPr>
        <w:t>No,</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What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said</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discriminate</w:t>
      </w:r>
      <w:r w:rsidR="007B7640" w:rsidRPr="00CD59CC">
        <w:rPr>
          <w:rFonts w:ascii="Arial" w:hAnsi="Arial" w:cs="Arial"/>
        </w:rPr>
        <w:t xml:space="preserve"> </w:t>
      </w:r>
      <w:r w:rsidRPr="00CD59CC">
        <w:rPr>
          <w:rFonts w:ascii="Arial" w:hAnsi="Arial" w:cs="Arial"/>
        </w:rPr>
        <w:t>covers</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liability</w:t>
      </w:r>
      <w:r w:rsidR="007B7640" w:rsidRPr="00CD59CC">
        <w:rPr>
          <w:rFonts w:ascii="Arial" w:hAnsi="Arial" w:cs="Arial"/>
        </w:rPr>
        <w:t xml:space="preserve"> </w:t>
      </w:r>
      <w:r w:rsidRPr="00CD59CC">
        <w:rPr>
          <w:rFonts w:ascii="Arial" w:hAnsi="Arial" w:cs="Arial"/>
        </w:rPr>
        <w:t>provisions.</w:t>
      </w:r>
    </w:p>
    <w:p w14:paraId="774DAA5F" w14:textId="77777777" w:rsidR="00FA2E1D" w:rsidRPr="00CD59CC" w:rsidRDefault="00FA2E1D" w:rsidP="00CD59CC">
      <w:pPr>
        <w:rPr>
          <w:rFonts w:ascii="Arial" w:hAnsi="Arial" w:cs="Arial"/>
          <w:i/>
        </w:rPr>
      </w:pPr>
    </w:p>
    <w:p w14:paraId="798DEC5A" w14:textId="77777777" w:rsidR="002B5BCD" w:rsidRPr="00CD59CC" w:rsidRDefault="002B5BCD" w:rsidP="00CD59CC">
      <w:pPr>
        <w:pStyle w:val="Heading2"/>
        <w:rPr>
          <w:rFonts w:cs="Arial"/>
        </w:rPr>
      </w:pPr>
      <w:bookmarkStart w:id="139" w:name="_Toc220221150"/>
      <w:r w:rsidRPr="00CD59CC">
        <w:rPr>
          <w:rFonts w:cs="Arial"/>
        </w:rPr>
        <w:tab/>
      </w:r>
      <w:bookmarkStart w:id="140" w:name="_Toc392758721"/>
      <w:bookmarkStart w:id="141" w:name="_Toc329163612"/>
      <w:bookmarkStart w:id="142" w:name="_Toc366846330"/>
      <w:r w:rsidRPr="00CD59CC">
        <w:rPr>
          <w:rFonts w:cs="Arial"/>
        </w:rPr>
        <w:t>Material</w:t>
      </w:r>
      <w:r w:rsidR="007B7640" w:rsidRPr="00CD59CC">
        <w:rPr>
          <w:rFonts w:cs="Arial"/>
        </w:rPr>
        <w:t xml:space="preserve"> </w:t>
      </w:r>
      <w:r w:rsidRPr="00CD59CC">
        <w:rPr>
          <w:rFonts w:cs="Arial"/>
        </w:rPr>
        <w:t>Scope</w:t>
      </w:r>
      <w:bookmarkEnd w:id="139"/>
      <w:bookmarkEnd w:id="140"/>
      <w:bookmarkEnd w:id="141"/>
      <w:bookmarkEnd w:id="142"/>
    </w:p>
    <w:p w14:paraId="54B143FC" w14:textId="77777777" w:rsidR="002B5BCD" w:rsidRPr="00CD59CC" w:rsidRDefault="002B5BCD" w:rsidP="00CD59CC">
      <w:pPr>
        <w:rPr>
          <w:rFonts w:ascii="Arial" w:hAnsi="Arial" w:cs="Arial"/>
        </w:rPr>
      </w:pPr>
    </w:p>
    <w:p w14:paraId="2F8A0E2A" w14:textId="77777777" w:rsidR="002B5BCD" w:rsidRPr="00CD59CC" w:rsidRDefault="002B5BCD" w:rsidP="00CD59CC">
      <w:pPr>
        <w:pStyle w:val="Heading3"/>
        <w:rPr>
          <w:rFonts w:cs="Arial"/>
        </w:rPr>
      </w:pPr>
      <w:bookmarkStart w:id="143" w:name="_Toc220221151"/>
      <w:bookmarkStart w:id="144" w:name="_Toc392758722"/>
      <w:bookmarkStart w:id="145" w:name="_Toc329163613"/>
      <w:bookmarkStart w:id="146" w:name="_Toc366846331"/>
      <w:r w:rsidRPr="00CD59CC">
        <w:rPr>
          <w:rFonts w:cs="Arial"/>
        </w:rPr>
        <w:t>Employment,</w:t>
      </w:r>
      <w:r w:rsidR="007B7640" w:rsidRPr="00CD59CC">
        <w:rPr>
          <w:rFonts w:cs="Arial"/>
        </w:rPr>
        <w:t xml:space="preserve"> </w:t>
      </w:r>
      <w:r w:rsidRPr="00CD59CC">
        <w:rPr>
          <w:rFonts w:cs="Arial"/>
        </w:rPr>
        <w:t>self-employment</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occupation</w:t>
      </w:r>
      <w:bookmarkEnd w:id="143"/>
      <w:bookmarkEnd w:id="144"/>
      <w:bookmarkEnd w:id="145"/>
      <w:bookmarkEnd w:id="146"/>
      <w:r w:rsidR="007B7640" w:rsidRPr="00CD59CC">
        <w:rPr>
          <w:rFonts w:cs="Arial"/>
        </w:rPr>
        <w:t xml:space="preserve"> </w:t>
      </w:r>
    </w:p>
    <w:p w14:paraId="5E4E1F26" w14:textId="77777777" w:rsidR="002B5BCD" w:rsidRPr="00CD59CC" w:rsidRDefault="002B5BCD" w:rsidP="00CD59CC">
      <w:pPr>
        <w:rPr>
          <w:rFonts w:ascii="Arial" w:hAnsi="Arial" w:cs="Arial"/>
          <w:b/>
          <w:bCs/>
        </w:rPr>
      </w:pPr>
    </w:p>
    <w:p w14:paraId="760DCFFD" w14:textId="77777777" w:rsidR="002B5BCD" w:rsidRPr="00CD59CC" w:rsidRDefault="002B5BCD" w:rsidP="00CD59CC">
      <w:pPr>
        <w:rPr>
          <w:rFonts w:ascii="Arial" w:hAnsi="Arial" w:cs="Arial"/>
          <w:i/>
          <w:iCs/>
        </w:rPr>
      </w:pPr>
      <w:r w:rsidRPr="00CD59CC">
        <w:rPr>
          <w:rFonts w:ascii="Arial" w:hAnsi="Arial" w:cs="Arial"/>
          <w:i/>
          <w:iCs/>
        </w:rPr>
        <w:t>Does</w:t>
      </w:r>
      <w:r w:rsidR="007B7640" w:rsidRPr="00CD59CC">
        <w:rPr>
          <w:rFonts w:ascii="Arial" w:hAnsi="Arial" w:cs="Arial"/>
          <w:i/>
          <w:iCs/>
        </w:rPr>
        <w:t xml:space="preserve"> </w:t>
      </w:r>
      <w:r w:rsidRPr="00CD59CC">
        <w:rPr>
          <w:rFonts w:ascii="Arial" w:hAnsi="Arial" w:cs="Arial"/>
          <w:i/>
          <w:iCs/>
        </w:rPr>
        <w:t>national</w:t>
      </w:r>
      <w:r w:rsidR="007B7640" w:rsidRPr="00CD59CC">
        <w:rPr>
          <w:rFonts w:ascii="Arial" w:hAnsi="Arial" w:cs="Arial"/>
          <w:i/>
          <w:iCs/>
        </w:rPr>
        <w:t xml:space="preserve"> </w:t>
      </w:r>
      <w:r w:rsidR="00C76A05" w:rsidRPr="00CD59CC">
        <w:rPr>
          <w:rFonts w:ascii="Arial" w:hAnsi="Arial" w:cs="Arial"/>
          <w:i/>
          <w:iCs/>
        </w:rPr>
        <w:t>anti-discrimination</w:t>
      </w:r>
      <w:r w:rsidR="007B7640" w:rsidRPr="00CD59CC">
        <w:rPr>
          <w:rFonts w:ascii="Arial" w:hAnsi="Arial" w:cs="Arial"/>
          <w:i/>
          <w:iCs/>
        </w:rPr>
        <w:t xml:space="preserve"> </w:t>
      </w:r>
      <w:r w:rsidRPr="00CD59CC">
        <w:rPr>
          <w:rFonts w:ascii="Arial" w:hAnsi="Arial" w:cs="Arial"/>
          <w:i/>
          <w:iCs/>
        </w:rPr>
        <w:t>legislation</w:t>
      </w:r>
      <w:r w:rsidR="007B7640" w:rsidRPr="00CD59CC">
        <w:rPr>
          <w:rFonts w:ascii="Arial" w:hAnsi="Arial" w:cs="Arial"/>
          <w:i/>
          <w:iCs/>
        </w:rPr>
        <w:t xml:space="preserve"> </w:t>
      </w:r>
      <w:r w:rsidRPr="00CD59CC">
        <w:rPr>
          <w:rFonts w:ascii="Arial" w:hAnsi="Arial" w:cs="Arial"/>
          <w:i/>
          <w:iCs/>
        </w:rPr>
        <w:t>apply</w:t>
      </w:r>
      <w:r w:rsidR="007B7640" w:rsidRPr="00CD59CC">
        <w:rPr>
          <w:rFonts w:ascii="Arial" w:hAnsi="Arial" w:cs="Arial"/>
          <w:i/>
          <w:iCs/>
        </w:rPr>
        <w:t xml:space="preserve"> </w:t>
      </w:r>
      <w:r w:rsidRPr="00CD59CC">
        <w:rPr>
          <w:rFonts w:ascii="Arial" w:hAnsi="Arial" w:cs="Arial"/>
          <w:i/>
          <w:iCs/>
        </w:rPr>
        <w:t>to</w:t>
      </w:r>
      <w:r w:rsidR="007B7640" w:rsidRPr="00CD59CC">
        <w:rPr>
          <w:rFonts w:ascii="Arial" w:hAnsi="Arial" w:cs="Arial"/>
          <w:i/>
          <w:iCs/>
        </w:rPr>
        <w:t xml:space="preserve"> </w:t>
      </w:r>
      <w:r w:rsidRPr="00CD59CC">
        <w:rPr>
          <w:rFonts w:ascii="Arial" w:hAnsi="Arial" w:cs="Arial"/>
          <w:i/>
          <w:iCs/>
        </w:rPr>
        <w:t>all</w:t>
      </w:r>
      <w:r w:rsidR="007B7640" w:rsidRPr="00CD59CC">
        <w:rPr>
          <w:rFonts w:ascii="Arial" w:hAnsi="Arial" w:cs="Arial"/>
          <w:i/>
          <w:iCs/>
        </w:rPr>
        <w:t xml:space="preserve"> </w:t>
      </w:r>
      <w:r w:rsidRPr="00CD59CC">
        <w:rPr>
          <w:rFonts w:ascii="Arial" w:hAnsi="Arial" w:cs="Arial"/>
          <w:i/>
          <w:iCs/>
        </w:rPr>
        <w:t>sectors</w:t>
      </w:r>
      <w:r w:rsidR="007B7640" w:rsidRPr="00CD59CC">
        <w:rPr>
          <w:rFonts w:ascii="Arial" w:hAnsi="Arial" w:cs="Arial"/>
          <w:i/>
          <w:iCs/>
        </w:rPr>
        <w:t xml:space="preserve"> </w:t>
      </w:r>
      <w:r w:rsidRPr="00CD59CC">
        <w:rPr>
          <w:rFonts w:ascii="Arial" w:hAnsi="Arial" w:cs="Arial"/>
          <w:i/>
          <w:iCs/>
        </w:rPr>
        <w:t>of</w:t>
      </w:r>
      <w:r w:rsidR="007B7640" w:rsidRPr="00CD59CC">
        <w:rPr>
          <w:rFonts w:ascii="Arial" w:hAnsi="Arial" w:cs="Arial"/>
          <w:i/>
          <w:iCs/>
        </w:rPr>
        <w:t xml:space="preserve"> </w:t>
      </w:r>
      <w:r w:rsidRPr="00CD59CC">
        <w:rPr>
          <w:rFonts w:ascii="Arial" w:hAnsi="Arial" w:cs="Arial"/>
          <w:i/>
          <w:iCs/>
        </w:rPr>
        <w:t>public</w:t>
      </w:r>
      <w:r w:rsidR="007B7640" w:rsidRPr="00CD59CC">
        <w:rPr>
          <w:rFonts w:ascii="Arial" w:hAnsi="Arial" w:cs="Arial"/>
          <w:i/>
          <w:iCs/>
        </w:rPr>
        <w:t xml:space="preserve"> </w:t>
      </w:r>
      <w:r w:rsidRPr="00CD59CC">
        <w:rPr>
          <w:rFonts w:ascii="Arial" w:hAnsi="Arial" w:cs="Arial"/>
          <w:i/>
          <w:iCs/>
        </w:rPr>
        <w:t>and</w:t>
      </w:r>
      <w:r w:rsidR="007B7640" w:rsidRPr="00CD59CC">
        <w:rPr>
          <w:rFonts w:ascii="Arial" w:hAnsi="Arial" w:cs="Arial"/>
          <w:i/>
          <w:iCs/>
        </w:rPr>
        <w:t xml:space="preserve"> </w:t>
      </w:r>
      <w:r w:rsidRPr="00CD59CC">
        <w:rPr>
          <w:rFonts w:ascii="Arial" w:hAnsi="Arial" w:cs="Arial"/>
          <w:i/>
          <w:iCs/>
        </w:rPr>
        <w:t>private</w:t>
      </w:r>
      <w:r w:rsidR="007B7640" w:rsidRPr="00CD59CC">
        <w:rPr>
          <w:rFonts w:ascii="Arial" w:hAnsi="Arial" w:cs="Arial"/>
          <w:i/>
          <w:iCs/>
        </w:rPr>
        <w:t xml:space="preserve"> </w:t>
      </w:r>
      <w:r w:rsidRPr="00CD59CC">
        <w:rPr>
          <w:rFonts w:ascii="Arial" w:hAnsi="Arial" w:cs="Arial"/>
          <w:i/>
          <w:iCs/>
        </w:rPr>
        <w:t>employment</w:t>
      </w:r>
      <w:r w:rsidR="007B7640" w:rsidRPr="00CD59CC">
        <w:rPr>
          <w:rFonts w:ascii="Arial" w:hAnsi="Arial" w:cs="Arial"/>
          <w:i/>
          <w:iCs/>
        </w:rPr>
        <w:t xml:space="preserve"> </w:t>
      </w:r>
      <w:r w:rsidRPr="00CD59CC">
        <w:rPr>
          <w:rFonts w:ascii="Arial" w:hAnsi="Arial" w:cs="Arial"/>
          <w:i/>
          <w:iCs/>
        </w:rPr>
        <w:t>and</w:t>
      </w:r>
      <w:r w:rsidR="007B7640" w:rsidRPr="00CD59CC">
        <w:rPr>
          <w:rFonts w:ascii="Arial" w:hAnsi="Arial" w:cs="Arial"/>
          <w:i/>
          <w:iCs/>
        </w:rPr>
        <w:t xml:space="preserve"> </w:t>
      </w:r>
      <w:r w:rsidRPr="00CD59CC">
        <w:rPr>
          <w:rFonts w:ascii="Arial" w:hAnsi="Arial" w:cs="Arial"/>
          <w:i/>
          <w:iCs/>
        </w:rPr>
        <w:t>occupation,</w:t>
      </w:r>
      <w:r w:rsidR="007B7640" w:rsidRPr="00CD59CC">
        <w:rPr>
          <w:rFonts w:ascii="Arial" w:hAnsi="Arial" w:cs="Arial"/>
          <w:i/>
          <w:iCs/>
        </w:rPr>
        <w:t xml:space="preserve"> </w:t>
      </w:r>
      <w:r w:rsidRPr="00CD59CC">
        <w:rPr>
          <w:rFonts w:ascii="Arial" w:hAnsi="Arial" w:cs="Arial"/>
          <w:i/>
          <w:iCs/>
        </w:rPr>
        <w:t>including</w:t>
      </w:r>
      <w:r w:rsidR="007B7640" w:rsidRPr="00CD59CC">
        <w:rPr>
          <w:rFonts w:ascii="Arial" w:hAnsi="Arial" w:cs="Arial"/>
          <w:i/>
          <w:iCs/>
        </w:rPr>
        <w:t xml:space="preserve"> </w:t>
      </w:r>
      <w:r w:rsidRPr="00CD59CC">
        <w:rPr>
          <w:rFonts w:ascii="Arial" w:hAnsi="Arial" w:cs="Arial"/>
          <w:i/>
          <w:iCs/>
        </w:rPr>
        <w:t>contract</w:t>
      </w:r>
      <w:r w:rsidR="007B7640" w:rsidRPr="00CD59CC">
        <w:rPr>
          <w:rFonts w:ascii="Arial" w:hAnsi="Arial" w:cs="Arial"/>
          <w:i/>
          <w:iCs/>
        </w:rPr>
        <w:t xml:space="preserve"> </w:t>
      </w:r>
      <w:r w:rsidRPr="00CD59CC">
        <w:rPr>
          <w:rFonts w:ascii="Arial" w:hAnsi="Arial" w:cs="Arial"/>
          <w:i/>
          <w:iCs/>
        </w:rPr>
        <w:t>work,</w:t>
      </w:r>
      <w:r w:rsidR="007B7640" w:rsidRPr="00CD59CC">
        <w:rPr>
          <w:rFonts w:ascii="Arial" w:hAnsi="Arial" w:cs="Arial"/>
          <w:i/>
          <w:iCs/>
        </w:rPr>
        <w:t xml:space="preserve"> </w:t>
      </w:r>
      <w:r w:rsidRPr="00CD59CC">
        <w:rPr>
          <w:rFonts w:ascii="Arial" w:hAnsi="Arial" w:cs="Arial"/>
          <w:i/>
          <w:iCs/>
        </w:rPr>
        <w:t>self-employment,</w:t>
      </w:r>
      <w:r w:rsidR="007B7640" w:rsidRPr="00CD59CC">
        <w:rPr>
          <w:rFonts w:ascii="Arial" w:hAnsi="Arial" w:cs="Arial"/>
          <w:i/>
          <w:iCs/>
        </w:rPr>
        <w:t xml:space="preserve"> </w:t>
      </w:r>
      <w:r w:rsidRPr="00CD59CC">
        <w:rPr>
          <w:rFonts w:ascii="Arial" w:hAnsi="Arial" w:cs="Arial"/>
          <w:i/>
          <w:iCs/>
        </w:rPr>
        <w:t>military</w:t>
      </w:r>
      <w:r w:rsidR="007B7640" w:rsidRPr="00CD59CC">
        <w:rPr>
          <w:rFonts w:ascii="Arial" w:hAnsi="Arial" w:cs="Arial"/>
          <w:i/>
          <w:iCs/>
        </w:rPr>
        <w:t xml:space="preserve"> </w:t>
      </w:r>
      <w:r w:rsidRPr="00CD59CC">
        <w:rPr>
          <w:rFonts w:ascii="Arial" w:hAnsi="Arial" w:cs="Arial"/>
          <w:i/>
          <w:iCs/>
        </w:rPr>
        <w:t>service,</w:t>
      </w:r>
      <w:r w:rsidR="007B7640" w:rsidRPr="00CD59CC">
        <w:rPr>
          <w:rFonts w:ascii="Arial" w:hAnsi="Arial" w:cs="Arial"/>
          <w:i/>
          <w:iCs/>
        </w:rPr>
        <w:t xml:space="preserve"> </w:t>
      </w:r>
      <w:r w:rsidRPr="00CD59CC">
        <w:rPr>
          <w:rFonts w:ascii="Arial" w:hAnsi="Arial" w:cs="Arial"/>
          <w:i/>
          <w:iCs/>
        </w:rPr>
        <w:t>holding</w:t>
      </w:r>
      <w:r w:rsidR="007B7640" w:rsidRPr="00CD59CC">
        <w:rPr>
          <w:rFonts w:ascii="Arial" w:hAnsi="Arial" w:cs="Arial"/>
          <w:i/>
          <w:iCs/>
        </w:rPr>
        <w:t xml:space="preserve"> </w:t>
      </w:r>
      <w:r w:rsidRPr="00CD59CC">
        <w:rPr>
          <w:rFonts w:ascii="Arial" w:hAnsi="Arial" w:cs="Arial"/>
          <w:i/>
          <w:iCs/>
        </w:rPr>
        <w:t>statutory</w:t>
      </w:r>
      <w:r w:rsidR="007B7640" w:rsidRPr="00CD59CC">
        <w:rPr>
          <w:rFonts w:ascii="Arial" w:hAnsi="Arial" w:cs="Arial"/>
          <w:i/>
          <w:iCs/>
        </w:rPr>
        <w:t xml:space="preserve"> </w:t>
      </w:r>
      <w:r w:rsidRPr="00CD59CC">
        <w:rPr>
          <w:rFonts w:ascii="Arial" w:hAnsi="Arial" w:cs="Arial"/>
          <w:i/>
          <w:iCs/>
        </w:rPr>
        <w:t>office?</w:t>
      </w:r>
      <w:r w:rsidR="007B7640" w:rsidRPr="00CD59CC">
        <w:rPr>
          <w:rFonts w:ascii="Arial" w:hAnsi="Arial" w:cs="Arial"/>
          <w:i/>
          <w:iCs/>
        </w:rPr>
        <w:t xml:space="preserve"> </w:t>
      </w:r>
      <w:r w:rsidR="00FE5EFF" w:rsidRPr="00CD59CC">
        <w:rPr>
          <w:rFonts w:ascii="Arial" w:hAnsi="Arial" w:cs="Arial"/>
          <w:i/>
          <w:iCs/>
        </w:rPr>
        <w:t>In</w:t>
      </w:r>
      <w:r w:rsidR="007B7640" w:rsidRPr="00CD59CC">
        <w:rPr>
          <w:rFonts w:ascii="Arial" w:hAnsi="Arial" w:cs="Arial"/>
          <w:i/>
          <w:iCs/>
        </w:rPr>
        <w:t xml:space="preserve"> </w:t>
      </w:r>
      <w:r w:rsidR="00FE5EFF" w:rsidRPr="00CD59CC">
        <w:rPr>
          <w:rFonts w:ascii="Arial" w:hAnsi="Arial" w:cs="Arial"/>
          <w:i/>
          <w:iCs/>
        </w:rPr>
        <w:t>case</w:t>
      </w:r>
      <w:r w:rsidR="007B7640" w:rsidRPr="00CD59CC">
        <w:rPr>
          <w:rFonts w:ascii="Arial" w:hAnsi="Arial" w:cs="Arial"/>
          <w:i/>
          <w:iCs/>
        </w:rPr>
        <w:t xml:space="preserve"> </w:t>
      </w:r>
      <w:r w:rsidR="00FE5EFF" w:rsidRPr="00CD59CC">
        <w:rPr>
          <w:rFonts w:ascii="Arial" w:hAnsi="Arial" w:cs="Arial"/>
          <w:i/>
          <w:iCs/>
        </w:rPr>
        <w:t>national</w:t>
      </w:r>
      <w:r w:rsidR="007B7640" w:rsidRPr="00CD59CC">
        <w:rPr>
          <w:rFonts w:ascii="Arial" w:hAnsi="Arial" w:cs="Arial"/>
          <w:i/>
          <w:iCs/>
        </w:rPr>
        <w:t xml:space="preserve"> </w:t>
      </w:r>
      <w:r w:rsidR="00FE5EFF" w:rsidRPr="00CD59CC">
        <w:rPr>
          <w:rFonts w:ascii="Arial" w:hAnsi="Arial" w:cs="Arial"/>
          <w:i/>
          <w:iCs/>
        </w:rPr>
        <w:t>anti-discrimination</w:t>
      </w:r>
      <w:r w:rsidR="007B7640" w:rsidRPr="00CD59CC">
        <w:rPr>
          <w:rFonts w:ascii="Arial" w:hAnsi="Arial" w:cs="Arial"/>
          <w:i/>
          <w:iCs/>
        </w:rPr>
        <w:t xml:space="preserve"> </w:t>
      </w:r>
      <w:r w:rsidR="00FE5EFF" w:rsidRPr="00CD59CC">
        <w:rPr>
          <w:rFonts w:ascii="Arial" w:hAnsi="Arial" w:cs="Arial"/>
          <w:i/>
          <w:iCs/>
        </w:rPr>
        <w:t>law</w:t>
      </w:r>
      <w:r w:rsidR="007B7640" w:rsidRPr="00CD59CC">
        <w:rPr>
          <w:rFonts w:ascii="Arial" w:hAnsi="Arial" w:cs="Arial"/>
          <w:i/>
          <w:iCs/>
        </w:rPr>
        <w:t xml:space="preserve"> </w:t>
      </w:r>
      <w:r w:rsidR="00FE5EFF" w:rsidRPr="00CD59CC">
        <w:rPr>
          <w:rFonts w:ascii="Arial" w:hAnsi="Arial" w:cs="Arial"/>
          <w:i/>
          <w:iCs/>
        </w:rPr>
        <w:t>does</w:t>
      </w:r>
      <w:r w:rsidR="007B7640" w:rsidRPr="00CD59CC">
        <w:rPr>
          <w:rFonts w:ascii="Arial" w:hAnsi="Arial" w:cs="Arial"/>
          <w:i/>
          <w:iCs/>
        </w:rPr>
        <w:t xml:space="preserve"> </w:t>
      </w:r>
      <w:r w:rsidR="00FE5EFF" w:rsidRPr="00CD59CC">
        <w:rPr>
          <w:rFonts w:ascii="Arial" w:hAnsi="Arial" w:cs="Arial"/>
          <w:i/>
          <w:iCs/>
        </w:rPr>
        <w:t>not</w:t>
      </w:r>
      <w:r w:rsidR="007B7640" w:rsidRPr="00CD59CC">
        <w:rPr>
          <w:rFonts w:ascii="Arial" w:hAnsi="Arial" w:cs="Arial"/>
          <w:i/>
          <w:iCs/>
        </w:rPr>
        <w:t xml:space="preserve"> </w:t>
      </w:r>
      <w:r w:rsidR="00FE5EFF" w:rsidRPr="00CD59CC">
        <w:rPr>
          <w:rFonts w:ascii="Arial" w:hAnsi="Arial" w:cs="Arial"/>
          <w:i/>
          <w:iCs/>
        </w:rPr>
        <w:t>do</w:t>
      </w:r>
      <w:r w:rsidR="007B7640" w:rsidRPr="00CD59CC">
        <w:rPr>
          <w:rFonts w:ascii="Arial" w:hAnsi="Arial" w:cs="Arial"/>
          <w:i/>
          <w:iCs/>
        </w:rPr>
        <w:t xml:space="preserve"> </w:t>
      </w:r>
      <w:r w:rsidR="00FE5EFF" w:rsidRPr="00CD59CC">
        <w:rPr>
          <w:rFonts w:ascii="Arial" w:hAnsi="Arial" w:cs="Arial"/>
          <w:i/>
          <w:iCs/>
        </w:rPr>
        <w:t>so,</w:t>
      </w:r>
      <w:r w:rsidR="007B7640" w:rsidRPr="00CD59CC">
        <w:rPr>
          <w:rFonts w:ascii="Arial" w:hAnsi="Arial" w:cs="Arial"/>
          <w:i/>
          <w:iCs/>
        </w:rPr>
        <w:t xml:space="preserve"> </w:t>
      </w:r>
      <w:r w:rsidR="00F070F7" w:rsidRPr="00CD59CC">
        <w:rPr>
          <w:rFonts w:ascii="Arial" w:hAnsi="Arial" w:cs="Arial"/>
          <w:i/>
          <w:iCs/>
        </w:rPr>
        <w:t>is</w:t>
      </w:r>
      <w:r w:rsidR="007B7640" w:rsidRPr="00CD59CC">
        <w:rPr>
          <w:rFonts w:ascii="Arial" w:hAnsi="Arial" w:cs="Arial"/>
          <w:i/>
          <w:iCs/>
        </w:rPr>
        <w:t xml:space="preserve"> </w:t>
      </w:r>
      <w:r w:rsidR="00F070F7" w:rsidRPr="00CD59CC">
        <w:rPr>
          <w:rFonts w:ascii="Arial" w:hAnsi="Arial" w:cs="Arial"/>
          <w:i/>
          <w:iCs/>
        </w:rPr>
        <w:t>discrimination</w:t>
      </w:r>
      <w:r w:rsidR="007B7640" w:rsidRPr="00CD59CC">
        <w:rPr>
          <w:rFonts w:ascii="Arial" w:hAnsi="Arial" w:cs="Arial"/>
          <w:i/>
          <w:iCs/>
        </w:rPr>
        <w:t xml:space="preserve"> </w:t>
      </w:r>
      <w:r w:rsidR="00F070F7" w:rsidRPr="00CD59CC">
        <w:rPr>
          <w:rFonts w:ascii="Arial" w:hAnsi="Arial" w:cs="Arial"/>
          <w:i/>
          <w:iCs/>
        </w:rPr>
        <w:t>in</w:t>
      </w:r>
      <w:r w:rsidR="007B7640" w:rsidRPr="00CD59CC">
        <w:rPr>
          <w:rFonts w:ascii="Arial" w:hAnsi="Arial" w:cs="Arial"/>
          <w:i/>
          <w:iCs/>
        </w:rPr>
        <w:t xml:space="preserve"> </w:t>
      </w:r>
      <w:r w:rsidR="00F070F7" w:rsidRPr="00CD59CC">
        <w:rPr>
          <w:rFonts w:ascii="Arial" w:hAnsi="Arial" w:cs="Arial"/>
          <w:i/>
          <w:iCs/>
        </w:rPr>
        <w:t>employment,</w:t>
      </w:r>
      <w:r w:rsidR="007B7640" w:rsidRPr="00CD59CC">
        <w:rPr>
          <w:rFonts w:ascii="Arial" w:hAnsi="Arial" w:cs="Arial"/>
          <w:i/>
          <w:iCs/>
        </w:rPr>
        <w:t xml:space="preserve"> </w:t>
      </w:r>
      <w:r w:rsidR="00F070F7" w:rsidRPr="00CD59CC">
        <w:rPr>
          <w:rFonts w:ascii="Arial" w:hAnsi="Arial" w:cs="Arial"/>
          <w:i/>
          <w:iCs/>
        </w:rPr>
        <w:t>self-employment</w:t>
      </w:r>
      <w:r w:rsidR="007B7640" w:rsidRPr="00CD59CC">
        <w:rPr>
          <w:rFonts w:ascii="Arial" w:hAnsi="Arial" w:cs="Arial"/>
          <w:i/>
          <w:iCs/>
        </w:rPr>
        <w:t xml:space="preserve"> </w:t>
      </w:r>
      <w:r w:rsidR="00F070F7" w:rsidRPr="00CD59CC">
        <w:rPr>
          <w:rFonts w:ascii="Arial" w:hAnsi="Arial" w:cs="Arial"/>
          <w:i/>
          <w:iCs/>
        </w:rPr>
        <w:t>and</w:t>
      </w:r>
      <w:r w:rsidR="007B7640" w:rsidRPr="00CD59CC">
        <w:rPr>
          <w:rFonts w:ascii="Arial" w:hAnsi="Arial" w:cs="Arial"/>
          <w:i/>
          <w:iCs/>
        </w:rPr>
        <w:t xml:space="preserve"> </w:t>
      </w:r>
      <w:r w:rsidR="00F070F7" w:rsidRPr="00CD59CC">
        <w:rPr>
          <w:rFonts w:ascii="Arial" w:hAnsi="Arial" w:cs="Arial"/>
          <w:i/>
          <w:iCs/>
        </w:rPr>
        <w:t>occupation</w:t>
      </w:r>
      <w:r w:rsidR="007B7640" w:rsidRPr="00CD59CC">
        <w:rPr>
          <w:rFonts w:ascii="Arial" w:hAnsi="Arial" w:cs="Arial"/>
          <w:i/>
          <w:iCs/>
        </w:rPr>
        <w:t xml:space="preserve"> </w:t>
      </w:r>
      <w:r w:rsidR="00F070F7" w:rsidRPr="00CD59CC">
        <w:rPr>
          <w:rFonts w:ascii="Arial" w:hAnsi="Arial" w:cs="Arial"/>
          <w:i/>
          <w:iCs/>
        </w:rPr>
        <w:t>dealt</w:t>
      </w:r>
      <w:r w:rsidR="007B7640" w:rsidRPr="00CD59CC">
        <w:rPr>
          <w:rFonts w:ascii="Arial" w:hAnsi="Arial" w:cs="Arial"/>
          <w:i/>
          <w:iCs/>
        </w:rPr>
        <w:t xml:space="preserve"> </w:t>
      </w:r>
      <w:r w:rsidR="00F070F7" w:rsidRPr="00CD59CC">
        <w:rPr>
          <w:rFonts w:ascii="Arial" w:hAnsi="Arial" w:cs="Arial"/>
          <w:i/>
          <w:iCs/>
        </w:rPr>
        <w:t>with</w:t>
      </w:r>
      <w:r w:rsidR="007B7640" w:rsidRPr="00CD59CC">
        <w:rPr>
          <w:rFonts w:ascii="Arial" w:hAnsi="Arial" w:cs="Arial"/>
          <w:i/>
          <w:iCs/>
        </w:rPr>
        <w:t xml:space="preserve"> </w:t>
      </w:r>
      <w:r w:rsidR="00FE5EFF" w:rsidRPr="00CD59CC">
        <w:rPr>
          <w:rFonts w:ascii="Arial" w:hAnsi="Arial" w:cs="Arial"/>
          <w:i/>
          <w:iCs/>
        </w:rPr>
        <w:t>in</w:t>
      </w:r>
      <w:r w:rsidR="007B7640" w:rsidRPr="00CD59CC">
        <w:rPr>
          <w:rFonts w:ascii="Arial" w:hAnsi="Arial" w:cs="Arial"/>
          <w:i/>
          <w:iCs/>
        </w:rPr>
        <w:t xml:space="preserve"> </w:t>
      </w:r>
      <w:r w:rsidR="00FE5EFF" w:rsidRPr="00CD59CC">
        <w:rPr>
          <w:rFonts w:ascii="Arial" w:hAnsi="Arial" w:cs="Arial"/>
          <w:i/>
          <w:iCs/>
        </w:rPr>
        <w:t>any</w:t>
      </w:r>
      <w:r w:rsidR="007B7640" w:rsidRPr="00CD59CC">
        <w:rPr>
          <w:rFonts w:ascii="Arial" w:hAnsi="Arial" w:cs="Arial"/>
          <w:i/>
          <w:iCs/>
        </w:rPr>
        <w:t xml:space="preserve"> </w:t>
      </w:r>
      <w:r w:rsidR="00FE5EFF" w:rsidRPr="00CD59CC">
        <w:rPr>
          <w:rFonts w:ascii="Arial" w:hAnsi="Arial" w:cs="Arial"/>
          <w:i/>
          <w:iCs/>
        </w:rPr>
        <w:t>other</w:t>
      </w:r>
      <w:r w:rsidR="007B7640" w:rsidRPr="00CD59CC">
        <w:rPr>
          <w:rFonts w:ascii="Arial" w:hAnsi="Arial" w:cs="Arial"/>
          <w:i/>
          <w:iCs/>
        </w:rPr>
        <w:t xml:space="preserve"> </w:t>
      </w:r>
      <w:r w:rsidR="00FE5EFF" w:rsidRPr="00CD59CC">
        <w:rPr>
          <w:rFonts w:ascii="Arial" w:hAnsi="Arial" w:cs="Arial"/>
          <w:i/>
          <w:iCs/>
        </w:rPr>
        <w:t>legislation?</w:t>
      </w:r>
    </w:p>
    <w:p w14:paraId="0AF11F4A" w14:textId="77777777" w:rsidR="002B5BCD" w:rsidRPr="00CD59CC" w:rsidRDefault="002B5BCD" w:rsidP="00CD59CC">
      <w:pPr>
        <w:rPr>
          <w:rFonts w:ascii="Arial" w:hAnsi="Arial" w:cs="Arial"/>
        </w:rPr>
      </w:pPr>
    </w:p>
    <w:p w14:paraId="5F4A0F74" w14:textId="77777777" w:rsidR="0000609D" w:rsidRPr="00CD59CC" w:rsidRDefault="0000609D" w:rsidP="00CD59CC">
      <w:pPr>
        <w:rPr>
          <w:rFonts w:ascii="Arial" w:hAnsi="Arial" w:cs="Arial"/>
          <w:u w:val="single"/>
        </w:rPr>
      </w:pPr>
      <w:r w:rsidRPr="00CD59CC">
        <w:rPr>
          <w:rFonts w:ascii="Arial" w:hAnsi="Arial" w:cs="Arial"/>
          <w:u w:val="single"/>
        </w:rPr>
        <w:t>General</w:t>
      </w:r>
      <w:r w:rsidR="007B7640" w:rsidRPr="00CD59CC">
        <w:rPr>
          <w:rFonts w:ascii="Arial" w:hAnsi="Arial" w:cs="Arial"/>
          <w:u w:val="single"/>
        </w:rPr>
        <w:t xml:space="preserve"> </w:t>
      </w:r>
      <w:r w:rsidRPr="00CD59CC">
        <w:rPr>
          <w:rFonts w:ascii="Arial" w:hAnsi="Arial" w:cs="Arial"/>
          <w:u w:val="single"/>
        </w:rPr>
        <w:t>remarks</w:t>
      </w:r>
      <w:r w:rsidR="007B7640" w:rsidRPr="00CD59CC">
        <w:rPr>
          <w:rFonts w:ascii="Arial" w:hAnsi="Arial" w:cs="Arial"/>
          <w:u w:val="single"/>
        </w:rPr>
        <w:t xml:space="preserve"> </w:t>
      </w:r>
      <w:r w:rsidRPr="00CD59CC">
        <w:rPr>
          <w:rFonts w:ascii="Arial" w:hAnsi="Arial" w:cs="Arial"/>
          <w:u w:val="single"/>
        </w:rPr>
        <w:t>on</w:t>
      </w:r>
      <w:r w:rsidR="007B7640" w:rsidRPr="00CD59CC">
        <w:rPr>
          <w:rFonts w:ascii="Arial" w:hAnsi="Arial" w:cs="Arial"/>
          <w:u w:val="single"/>
        </w:rPr>
        <w:t xml:space="preserve"> </w:t>
      </w:r>
      <w:r w:rsidRPr="00CD59CC">
        <w:rPr>
          <w:rFonts w:ascii="Arial" w:hAnsi="Arial" w:cs="Arial"/>
          <w:u w:val="single"/>
        </w:rPr>
        <w:t>the</w:t>
      </w:r>
      <w:r w:rsidR="007B7640" w:rsidRPr="00CD59CC">
        <w:rPr>
          <w:rFonts w:ascii="Arial" w:hAnsi="Arial" w:cs="Arial"/>
          <w:u w:val="single"/>
        </w:rPr>
        <w:t xml:space="preserve"> </w:t>
      </w:r>
      <w:r w:rsidRPr="00CD59CC">
        <w:rPr>
          <w:rFonts w:ascii="Arial" w:hAnsi="Arial" w:cs="Arial"/>
          <w:u w:val="single"/>
        </w:rPr>
        <w:t>material</w:t>
      </w:r>
      <w:r w:rsidR="007B7640" w:rsidRPr="00CD59CC">
        <w:rPr>
          <w:rFonts w:ascii="Arial" w:hAnsi="Arial" w:cs="Arial"/>
          <w:u w:val="single"/>
        </w:rPr>
        <w:t xml:space="preserve"> </w:t>
      </w:r>
      <w:r w:rsidRPr="00CD59CC">
        <w:rPr>
          <w:rFonts w:ascii="Arial" w:hAnsi="Arial" w:cs="Arial"/>
          <w:u w:val="single"/>
        </w:rPr>
        <w:t>scope</w:t>
      </w:r>
      <w:r w:rsidR="007B7640" w:rsidRPr="00CD59CC">
        <w:rPr>
          <w:rFonts w:ascii="Arial" w:hAnsi="Arial" w:cs="Arial"/>
          <w:u w:val="single"/>
        </w:rPr>
        <w:t xml:space="preserve"> </w:t>
      </w:r>
      <w:r w:rsidRPr="00CD59CC">
        <w:rPr>
          <w:rFonts w:ascii="Arial" w:hAnsi="Arial" w:cs="Arial"/>
          <w:u w:val="single"/>
        </w:rPr>
        <w:t>of</w:t>
      </w:r>
      <w:r w:rsidR="007B7640" w:rsidRPr="00CD59CC">
        <w:rPr>
          <w:rFonts w:ascii="Arial" w:hAnsi="Arial" w:cs="Arial"/>
          <w:u w:val="single"/>
        </w:rPr>
        <w:t xml:space="preserve"> </w:t>
      </w:r>
      <w:r w:rsidRPr="00CD59CC">
        <w:rPr>
          <w:rFonts w:ascii="Arial" w:hAnsi="Arial" w:cs="Arial"/>
          <w:u w:val="single"/>
        </w:rPr>
        <w:t>the</w:t>
      </w:r>
      <w:r w:rsidR="007B7640" w:rsidRPr="00CD59CC">
        <w:rPr>
          <w:rFonts w:ascii="Arial" w:hAnsi="Arial" w:cs="Arial"/>
          <w:u w:val="single"/>
        </w:rPr>
        <w:t xml:space="preserve"> </w:t>
      </w:r>
      <w:r w:rsidRPr="00CD59CC">
        <w:rPr>
          <w:rFonts w:ascii="Arial" w:hAnsi="Arial" w:cs="Arial"/>
          <w:u w:val="single"/>
        </w:rPr>
        <w:t>ETA</w:t>
      </w:r>
    </w:p>
    <w:p w14:paraId="373FD079" w14:textId="77777777" w:rsidR="0000609D" w:rsidRPr="00CD59CC" w:rsidRDefault="0000609D"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enumerate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fields</w:t>
      </w:r>
      <w:r w:rsidR="007B7640" w:rsidRPr="00CD59CC">
        <w:rPr>
          <w:rFonts w:ascii="Arial" w:hAnsi="Arial" w:cs="Arial"/>
        </w:rPr>
        <w:t xml:space="preserve"> </w:t>
      </w:r>
      <w:r w:rsidRPr="00CD59CC">
        <w:rPr>
          <w:rFonts w:ascii="Arial" w:hAnsi="Arial" w:cs="Arial"/>
        </w:rPr>
        <w:t>falling</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approaches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issue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material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says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entities</w:t>
      </w:r>
      <w:r w:rsidR="007B7640" w:rsidRPr="00CD59CC">
        <w:rPr>
          <w:rFonts w:ascii="Arial" w:hAnsi="Arial" w:cs="Arial"/>
        </w:rPr>
        <w:t xml:space="preserve"> </w:t>
      </w:r>
      <w:r w:rsidRPr="00CD59CC">
        <w:rPr>
          <w:rFonts w:ascii="Arial" w:hAnsi="Arial" w:cs="Arial"/>
        </w:rPr>
        <w:t>enumerated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list</w:t>
      </w:r>
      <w:r w:rsidR="007B7640" w:rsidRPr="00CD59CC">
        <w:rPr>
          <w:rFonts w:ascii="Arial" w:hAnsi="Arial" w:cs="Arial"/>
        </w:rPr>
        <w:t xml:space="preserve"> </w:t>
      </w:r>
      <w:r w:rsidRPr="00CD59CC">
        <w:rPr>
          <w:rFonts w:ascii="Arial" w:hAnsi="Arial" w:cs="Arial"/>
        </w:rPr>
        <w:t>above,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3.1.2)</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respect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actions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practices</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matter</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sector</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operate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p>
    <w:p w14:paraId="262D8B0C" w14:textId="77777777" w:rsidR="0000609D" w:rsidRPr="00CD59CC" w:rsidRDefault="0000609D" w:rsidP="00CD59CC">
      <w:pPr>
        <w:rPr>
          <w:rFonts w:ascii="Arial" w:hAnsi="Arial" w:cs="Arial"/>
        </w:rPr>
      </w:pPr>
    </w:p>
    <w:p w14:paraId="3C3C2413" w14:textId="77777777" w:rsidR="0000609D" w:rsidRPr="00CD59CC" w:rsidRDefault="0000609D" w:rsidP="00CD59CC">
      <w:pPr>
        <w:rPr>
          <w:rFonts w:ascii="Arial" w:hAnsi="Arial" w:cs="Arial"/>
        </w:rPr>
      </w:pPr>
      <w:r w:rsidRPr="00CD59CC">
        <w:rPr>
          <w:rFonts w:ascii="Arial" w:hAnsi="Arial" w:cs="Arial"/>
        </w:rPr>
        <w:lastRenderedPageBreak/>
        <w:t>Although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extended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four</w:t>
      </w:r>
      <w:r w:rsidR="007B7640" w:rsidRPr="00CD59CC">
        <w:rPr>
          <w:rFonts w:ascii="Arial" w:hAnsi="Arial" w:cs="Arial"/>
        </w:rPr>
        <w:t xml:space="preserve"> </w:t>
      </w:r>
      <w:r w:rsidRPr="00CD59CC">
        <w:rPr>
          <w:rFonts w:ascii="Arial" w:hAnsi="Arial" w:cs="Arial"/>
        </w:rPr>
        <w:t>limited</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material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abide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either.</w:t>
      </w:r>
      <w:r w:rsidR="007B7640" w:rsidRPr="00CD59CC">
        <w:rPr>
          <w:rFonts w:ascii="Arial" w:hAnsi="Arial" w:cs="Arial"/>
        </w:rPr>
        <w:t xml:space="preserve"> </w:t>
      </w:r>
    </w:p>
    <w:p w14:paraId="6A40C923" w14:textId="77777777" w:rsidR="0000609D" w:rsidRPr="00CD59CC" w:rsidRDefault="0000609D" w:rsidP="00CD59CC">
      <w:pPr>
        <w:rPr>
          <w:rFonts w:ascii="Arial" w:hAnsi="Arial" w:cs="Arial"/>
        </w:rPr>
      </w:pPr>
    </w:p>
    <w:p w14:paraId="5271348E" w14:textId="77777777" w:rsidR="0000609D" w:rsidRDefault="0000609D" w:rsidP="00CD59CC">
      <w:pPr>
        <w:rPr>
          <w:rFonts w:ascii="Arial" w:hAnsi="Arial" w:cs="Arial"/>
        </w:rPr>
      </w:pPr>
      <w:r w:rsidRPr="00CD59CC">
        <w:rPr>
          <w:rFonts w:ascii="Arial" w:hAnsi="Arial" w:cs="Arial"/>
        </w:rPr>
        <w:t>Whereas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some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(e.g.</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offering</w:t>
      </w:r>
      <w:r w:rsidR="007B7640" w:rsidRPr="00CD59CC">
        <w:rPr>
          <w:rFonts w:ascii="Arial" w:hAnsi="Arial" w:cs="Arial"/>
        </w:rPr>
        <w:t xml:space="preserve"> </w:t>
      </w:r>
      <w:r w:rsidRPr="00CD59CC">
        <w:rPr>
          <w:rFonts w:ascii="Arial" w:hAnsi="Arial" w:cs="Arial"/>
        </w:rPr>
        <w:t>goods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easy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find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corresponding</w:t>
      </w:r>
      <w:r w:rsidR="007B7640" w:rsidRPr="00CD59CC">
        <w:rPr>
          <w:rFonts w:ascii="Arial" w:hAnsi="Arial" w:cs="Arial"/>
        </w:rPr>
        <w:t xml:space="preserve"> </w:t>
      </w:r>
      <w:r w:rsidRPr="00CD59CC">
        <w:rPr>
          <w:rFonts w:ascii="Arial" w:hAnsi="Arial" w:cs="Arial"/>
        </w:rPr>
        <w:t>material</w:t>
      </w:r>
      <w:r w:rsidR="007B7640" w:rsidRPr="00CD59CC">
        <w:rPr>
          <w:rFonts w:ascii="Arial" w:hAnsi="Arial" w:cs="Arial"/>
        </w:rPr>
        <w:t xml:space="preserve"> </w:t>
      </w:r>
      <w:r w:rsidRPr="00CD59CC">
        <w:rPr>
          <w:rFonts w:ascii="Arial" w:hAnsi="Arial" w:cs="Arial"/>
        </w:rPr>
        <w:t>sector</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publicly</w:t>
      </w:r>
      <w:r w:rsidR="007B7640" w:rsidRPr="00CD59CC">
        <w:rPr>
          <w:rFonts w:ascii="Arial" w:hAnsi="Arial" w:cs="Arial"/>
        </w:rPr>
        <w:t xml:space="preserve"> </w:t>
      </w:r>
      <w:r w:rsidRPr="00CD59CC">
        <w:rPr>
          <w:rFonts w:ascii="Arial" w:hAnsi="Arial" w:cs="Arial"/>
        </w:rPr>
        <w:t>available</w:t>
      </w:r>
      <w:r w:rsidR="007B7640" w:rsidRPr="00CD59CC">
        <w:rPr>
          <w:rFonts w:ascii="Arial" w:hAnsi="Arial" w:cs="Arial"/>
        </w:rPr>
        <w:t xml:space="preserve"> </w:t>
      </w:r>
      <w:r w:rsidRPr="00CD59CC">
        <w:rPr>
          <w:rFonts w:ascii="Arial" w:hAnsi="Arial" w:cs="Arial"/>
        </w:rPr>
        <w:t>goods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respectively),</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main</w:t>
      </w:r>
      <w:r w:rsidR="007B7640" w:rsidRPr="00CD59CC">
        <w:rPr>
          <w:rFonts w:ascii="Arial" w:hAnsi="Arial" w:cs="Arial"/>
        </w:rPr>
        <w:t xml:space="preserve"> </w:t>
      </w:r>
      <w:r w:rsidRPr="00CD59CC">
        <w:rPr>
          <w:rFonts w:ascii="Arial" w:hAnsi="Arial" w:cs="Arial"/>
        </w:rPr>
        <w:t>categories</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making</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offer</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receiving</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funds),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correspondence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difficult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make.</w:t>
      </w:r>
      <w:r w:rsidR="007B7640" w:rsidRPr="00CD59CC">
        <w:rPr>
          <w:rFonts w:ascii="Arial" w:hAnsi="Arial" w:cs="Arial"/>
        </w:rPr>
        <w:t xml:space="preserve"> </w:t>
      </w:r>
    </w:p>
    <w:p w14:paraId="5BFA1A8E" w14:textId="77777777" w:rsidR="00B97ED3" w:rsidRPr="00CD59CC" w:rsidRDefault="00B97ED3" w:rsidP="00CD59CC">
      <w:pPr>
        <w:rPr>
          <w:rFonts w:ascii="Arial" w:hAnsi="Arial" w:cs="Arial"/>
        </w:rPr>
      </w:pPr>
    </w:p>
    <w:p w14:paraId="24D993CD" w14:textId="77777777" w:rsidR="0000609D" w:rsidRPr="00CD59CC" w:rsidRDefault="0000609D" w:rsidP="00CD59CC">
      <w:pPr>
        <w:rPr>
          <w:rFonts w:ascii="Arial" w:hAnsi="Arial" w:cs="Arial"/>
        </w:rPr>
      </w:pPr>
      <w:r w:rsidRPr="00CD59CC">
        <w:rPr>
          <w:rFonts w:ascii="Arial" w:hAnsi="Arial" w:cs="Arial"/>
        </w:rPr>
        <w:t>Therefore,</w:t>
      </w:r>
      <w:r w:rsidR="007B7640" w:rsidRPr="00CD59CC">
        <w:rPr>
          <w:rFonts w:ascii="Arial" w:hAnsi="Arial" w:cs="Arial"/>
        </w:rPr>
        <w:t xml:space="preserve"> </w:t>
      </w:r>
      <w:r w:rsidRPr="00CD59CC">
        <w:rPr>
          <w:rFonts w:ascii="Arial" w:hAnsi="Arial" w:cs="Arial"/>
        </w:rPr>
        <w:t>we</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say</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regard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(mostly)</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entities</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some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5,</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material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covers</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possible</w:t>
      </w:r>
      <w:r w:rsidR="007B7640" w:rsidRPr="00CD59CC">
        <w:rPr>
          <w:rFonts w:ascii="Arial" w:hAnsi="Arial" w:cs="Arial"/>
        </w:rPr>
        <w:t xml:space="preserve"> </w:t>
      </w:r>
      <w:r w:rsidRPr="00CD59CC">
        <w:rPr>
          <w:rFonts w:ascii="Arial" w:hAnsi="Arial" w:cs="Arial"/>
        </w:rPr>
        <w:t>fields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sectors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ones</w:t>
      </w:r>
      <w:r w:rsidR="007B7640" w:rsidRPr="00CD59CC">
        <w:rPr>
          <w:rFonts w:ascii="Arial" w:hAnsi="Arial" w:cs="Arial"/>
        </w:rPr>
        <w:t xml:space="preserve"> </w:t>
      </w:r>
      <w:r w:rsidRPr="00CD59CC">
        <w:rPr>
          <w:rFonts w:ascii="Arial" w:hAnsi="Arial" w:cs="Arial"/>
        </w:rPr>
        <w:t>included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p>
    <w:p w14:paraId="4A07ED9F" w14:textId="77777777" w:rsidR="0000609D" w:rsidRPr="00CD59CC" w:rsidRDefault="0000609D" w:rsidP="00CD59CC">
      <w:pPr>
        <w:rPr>
          <w:rFonts w:ascii="Arial" w:hAnsi="Arial" w:cs="Arial"/>
        </w:rPr>
      </w:pPr>
    </w:p>
    <w:p w14:paraId="2D33D7E9" w14:textId="77777777" w:rsidR="0000609D" w:rsidRPr="00CD59CC" w:rsidRDefault="0000609D" w:rsidP="00CD59CC">
      <w:pPr>
        <w:rPr>
          <w:rFonts w:ascii="Arial" w:hAnsi="Arial" w:cs="Arial"/>
        </w:rPr>
      </w:pPr>
      <w:r w:rsidRPr="00CD59CC">
        <w:rPr>
          <w:rFonts w:ascii="Arial" w:hAnsi="Arial" w:cs="Arial"/>
        </w:rPr>
        <w:t>Still,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puts</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emphasis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five</w:t>
      </w:r>
      <w:r w:rsidR="007B7640" w:rsidRPr="00CD59CC">
        <w:rPr>
          <w:rFonts w:ascii="Arial" w:hAnsi="Arial" w:cs="Arial"/>
        </w:rPr>
        <w:t xml:space="preserve"> </w:t>
      </w:r>
      <w:r w:rsidRPr="00CD59CC">
        <w:rPr>
          <w:rFonts w:ascii="Arial" w:hAnsi="Arial" w:cs="Arial"/>
        </w:rPr>
        <w:t>sectors,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rules</w:t>
      </w:r>
      <w:r w:rsidR="007B7640" w:rsidRPr="00CD59CC">
        <w:rPr>
          <w:rFonts w:ascii="Arial" w:hAnsi="Arial" w:cs="Arial"/>
        </w:rPr>
        <w:t xml:space="preserve"> </w:t>
      </w:r>
      <w:r w:rsidRPr="00CD59CC">
        <w:rPr>
          <w:rFonts w:ascii="Arial" w:hAnsi="Arial" w:cs="Arial"/>
        </w:rPr>
        <w:t>(e.g.</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exempting</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2.2)</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formulated.</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sectors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(Articles</w:t>
      </w:r>
      <w:r w:rsidR="007B7640" w:rsidRPr="00CD59CC">
        <w:rPr>
          <w:rFonts w:ascii="Arial" w:hAnsi="Arial" w:cs="Arial"/>
        </w:rPr>
        <w:t xml:space="preserve"> </w:t>
      </w:r>
      <w:r w:rsidRPr="00CD59CC">
        <w:rPr>
          <w:rFonts w:ascii="Arial" w:hAnsi="Arial" w:cs="Arial"/>
        </w:rPr>
        <w:t>21</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23);</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healthcare</w:t>
      </w:r>
      <w:r w:rsidR="007B7640" w:rsidRPr="00CD59CC">
        <w:rPr>
          <w:rFonts w:ascii="Arial" w:hAnsi="Arial" w:cs="Arial"/>
        </w:rPr>
        <w:t xml:space="preserve"> </w:t>
      </w:r>
      <w:r w:rsidRPr="00CD59CC">
        <w:rPr>
          <w:rFonts w:ascii="Arial" w:hAnsi="Arial" w:cs="Arial"/>
        </w:rPr>
        <w:t>(Articles</w:t>
      </w:r>
      <w:r w:rsidR="007B7640" w:rsidRPr="00CD59CC">
        <w:rPr>
          <w:rFonts w:ascii="Arial" w:hAnsi="Arial" w:cs="Arial"/>
        </w:rPr>
        <w:t xml:space="preserve"> </w:t>
      </w:r>
      <w:r w:rsidRPr="00CD59CC">
        <w:rPr>
          <w:rFonts w:ascii="Arial" w:hAnsi="Arial" w:cs="Arial"/>
        </w:rPr>
        <w:t>24</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25);</w:t>
      </w:r>
      <w:r w:rsidR="007B7640" w:rsidRPr="00CD59CC">
        <w:rPr>
          <w:rFonts w:ascii="Arial" w:hAnsi="Arial" w:cs="Arial"/>
        </w:rPr>
        <w:t xml:space="preserve"> </w:t>
      </w:r>
      <w:r w:rsidRPr="00CD59CC">
        <w:rPr>
          <w:rFonts w:ascii="Arial" w:hAnsi="Arial" w:cs="Arial"/>
        </w:rPr>
        <w:t>housing</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26);</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training</w:t>
      </w:r>
      <w:r w:rsidR="007B7640" w:rsidRPr="00CD59CC">
        <w:rPr>
          <w:rFonts w:ascii="Arial" w:hAnsi="Arial" w:cs="Arial"/>
        </w:rPr>
        <w:t xml:space="preserve"> </w:t>
      </w:r>
      <w:r w:rsidRPr="00CD59CC">
        <w:rPr>
          <w:rFonts w:ascii="Arial" w:hAnsi="Arial" w:cs="Arial"/>
        </w:rPr>
        <w:t>(Articles</w:t>
      </w:r>
      <w:r w:rsidR="007B7640" w:rsidRPr="00CD59CC">
        <w:rPr>
          <w:rFonts w:ascii="Arial" w:hAnsi="Arial" w:cs="Arial"/>
        </w:rPr>
        <w:t xml:space="preserve"> </w:t>
      </w:r>
      <w:r w:rsidRPr="00CD59CC">
        <w:rPr>
          <w:rFonts w:ascii="Arial" w:hAnsi="Arial" w:cs="Arial"/>
        </w:rPr>
        <w:t>27</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29);</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access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goods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(Articles</w:t>
      </w:r>
      <w:r w:rsidR="007B7640" w:rsidRPr="00CD59CC">
        <w:rPr>
          <w:rFonts w:ascii="Arial" w:hAnsi="Arial" w:cs="Arial"/>
        </w:rPr>
        <w:t xml:space="preserve"> </w:t>
      </w:r>
      <w:r w:rsidRPr="00CD59CC">
        <w:rPr>
          <w:rFonts w:ascii="Arial" w:hAnsi="Arial" w:cs="Arial"/>
        </w:rPr>
        <w:t>30</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30/A).</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mean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fields</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respected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entities</w:t>
      </w:r>
      <w:r w:rsidR="007B7640" w:rsidRPr="00CD59CC">
        <w:rPr>
          <w:rFonts w:ascii="Arial" w:hAnsi="Arial" w:cs="Arial"/>
        </w:rPr>
        <w:t xml:space="preserve"> </w:t>
      </w:r>
      <w:r w:rsidRPr="00CD59CC">
        <w:rPr>
          <w:rFonts w:ascii="Arial" w:hAnsi="Arial" w:cs="Arial"/>
        </w:rPr>
        <w:t>falling</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These</w:t>
      </w:r>
      <w:r w:rsidR="007B7640" w:rsidRPr="00CD59CC">
        <w:rPr>
          <w:rFonts w:ascii="Arial" w:hAnsi="Arial" w:cs="Arial"/>
        </w:rPr>
        <w:t xml:space="preserve"> </w:t>
      </w:r>
      <w:r w:rsidRPr="00CD59CC">
        <w:rPr>
          <w:rFonts w:ascii="Arial" w:hAnsi="Arial" w:cs="Arial"/>
        </w:rPr>
        <w:t>sectors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highlighted</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due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importance.</w:t>
      </w:r>
      <w:r w:rsidR="007B7640" w:rsidRPr="00CD59CC">
        <w:rPr>
          <w:rFonts w:ascii="Arial" w:hAnsi="Arial" w:cs="Arial"/>
        </w:rPr>
        <w:t xml:space="preserve"> </w:t>
      </w:r>
    </w:p>
    <w:p w14:paraId="38EED5BE" w14:textId="77777777" w:rsidR="0000609D" w:rsidRPr="00CD59CC" w:rsidRDefault="0000609D" w:rsidP="00CD59CC">
      <w:pPr>
        <w:rPr>
          <w:rFonts w:ascii="Arial" w:hAnsi="Arial" w:cs="Arial"/>
        </w:rPr>
      </w:pPr>
    </w:p>
    <w:p w14:paraId="3D8ABA88" w14:textId="77777777" w:rsidR="0000609D" w:rsidRPr="00CD59CC" w:rsidRDefault="0000609D"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issue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material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bears</w:t>
      </w:r>
      <w:r w:rsidR="007B7640" w:rsidRPr="00CD59CC">
        <w:rPr>
          <w:rFonts w:ascii="Arial" w:hAnsi="Arial" w:cs="Arial"/>
        </w:rPr>
        <w:t xml:space="preserve"> </w:t>
      </w:r>
      <w:r w:rsidRPr="00CD59CC">
        <w:rPr>
          <w:rFonts w:ascii="Arial" w:hAnsi="Arial" w:cs="Arial"/>
        </w:rPr>
        <w:t>specific</w:t>
      </w:r>
      <w:r w:rsidR="007B7640" w:rsidRPr="00CD59CC">
        <w:rPr>
          <w:rFonts w:ascii="Arial" w:hAnsi="Arial" w:cs="Arial"/>
        </w:rPr>
        <w:t xml:space="preserve"> </w:t>
      </w:r>
      <w:r w:rsidRPr="00CD59CC">
        <w:rPr>
          <w:rFonts w:ascii="Arial" w:hAnsi="Arial" w:cs="Arial"/>
        </w:rPr>
        <w:t>significance</w:t>
      </w:r>
      <w:r w:rsidR="007B7640" w:rsidRPr="00CD59CC">
        <w:rPr>
          <w:rFonts w:ascii="Arial" w:hAnsi="Arial" w:cs="Arial"/>
        </w:rPr>
        <w:t xml:space="preserve"> </w:t>
      </w:r>
      <w:r w:rsidRPr="00CD59CC">
        <w:rPr>
          <w:rFonts w:ascii="Arial" w:hAnsi="Arial" w:cs="Arial"/>
        </w:rPr>
        <w:t>because</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point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regulation</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breach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limited</w:t>
      </w:r>
      <w:r w:rsidR="007B7640" w:rsidRPr="00CD59CC">
        <w:rPr>
          <w:rFonts w:ascii="Arial" w:hAnsi="Arial" w:cs="Arial"/>
        </w:rPr>
        <w:t xml:space="preserve"> </w:t>
      </w:r>
      <w:r w:rsidRPr="00CD59CC">
        <w:rPr>
          <w:rFonts w:ascii="Arial" w:hAnsi="Arial" w:cs="Arial"/>
        </w:rPr>
        <w:t>material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material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apply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has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practically</w:t>
      </w:r>
      <w:r w:rsidR="007B7640" w:rsidRPr="00CD59CC">
        <w:rPr>
          <w:rFonts w:ascii="Arial" w:hAnsi="Arial" w:cs="Arial"/>
        </w:rPr>
        <w:t xml:space="preserve"> </w:t>
      </w:r>
      <w:r w:rsidRPr="00CD59CC">
        <w:rPr>
          <w:rFonts w:ascii="Arial" w:hAnsi="Arial" w:cs="Arial"/>
        </w:rPr>
        <w:t>unlimited</w:t>
      </w:r>
      <w:r w:rsidR="007B7640" w:rsidRPr="00CD59CC">
        <w:rPr>
          <w:rFonts w:ascii="Arial" w:hAnsi="Arial" w:cs="Arial"/>
        </w:rPr>
        <w:t xml:space="preserve"> </w:t>
      </w:r>
      <w:r w:rsidRPr="00CD59CC">
        <w:rPr>
          <w:rFonts w:ascii="Arial" w:hAnsi="Arial" w:cs="Arial"/>
        </w:rPr>
        <w:t>material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covers</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four</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sectors</w:t>
      </w:r>
      <w:r w:rsidR="007B7640" w:rsidRPr="00CD59CC">
        <w:rPr>
          <w:rFonts w:ascii="Arial" w:hAnsi="Arial" w:cs="Arial"/>
        </w:rPr>
        <w:t xml:space="preserve"> </w:t>
      </w:r>
      <w:r w:rsidRPr="00CD59CC">
        <w:rPr>
          <w:rFonts w:ascii="Arial" w:hAnsi="Arial" w:cs="Arial"/>
        </w:rPr>
        <w:t>included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material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breach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i/>
        </w:rPr>
        <w:t>acquis</w:t>
      </w:r>
      <w:r w:rsidRPr="00CD59CC">
        <w:rPr>
          <w:rFonts w:ascii="Arial" w:hAnsi="Arial" w:cs="Arial"/>
        </w:rPr>
        <w:t>,</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prescribe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obligation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non-discrimination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compensated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ETA’s</w:t>
      </w:r>
      <w:r w:rsidR="007B7640" w:rsidRPr="00CD59CC">
        <w:rPr>
          <w:rFonts w:ascii="Arial" w:hAnsi="Arial" w:cs="Arial"/>
        </w:rPr>
        <w:t xml:space="preserve"> </w:t>
      </w:r>
      <w:r w:rsidRPr="00CD59CC">
        <w:rPr>
          <w:rFonts w:ascii="Arial" w:hAnsi="Arial" w:cs="Arial"/>
        </w:rPr>
        <w:t>material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covers</w:t>
      </w:r>
      <w:r w:rsidR="007B7640" w:rsidRPr="00CD59CC">
        <w:rPr>
          <w:rFonts w:ascii="Arial" w:hAnsi="Arial" w:cs="Arial"/>
        </w:rPr>
        <w:t xml:space="preserve"> </w:t>
      </w:r>
      <w:r w:rsidRPr="00CD59CC">
        <w:rPr>
          <w:rFonts w:ascii="Arial" w:hAnsi="Arial" w:cs="Arial"/>
        </w:rPr>
        <w:t>fields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fall</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ambit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spite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fact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falling</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actual</w:t>
      </w:r>
      <w:r w:rsidR="007B7640" w:rsidRPr="00CD59CC">
        <w:rPr>
          <w:rFonts w:ascii="Arial" w:hAnsi="Arial" w:cs="Arial"/>
        </w:rPr>
        <w:t xml:space="preserve"> </w:t>
      </w:r>
      <w:r w:rsidRPr="00CD59CC">
        <w:rPr>
          <w:rFonts w:ascii="Arial" w:hAnsi="Arial" w:cs="Arial"/>
        </w:rPr>
        <w:t>breach</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unlikely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occur.</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exception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harassment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impossible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co-workers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instance,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employer</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held</w:t>
      </w:r>
      <w:r w:rsidR="007B7640" w:rsidRPr="00CD59CC">
        <w:rPr>
          <w:rFonts w:ascii="Arial" w:hAnsi="Arial" w:cs="Arial"/>
        </w:rPr>
        <w:t xml:space="preserve"> </w:t>
      </w:r>
      <w:r w:rsidRPr="00CD59CC">
        <w:rPr>
          <w:rFonts w:ascii="Arial" w:hAnsi="Arial" w:cs="Arial"/>
        </w:rPr>
        <w:t>liable,</w:t>
      </w:r>
      <w:r w:rsidR="007B7640" w:rsidRPr="00CD59CC">
        <w:rPr>
          <w:rFonts w:ascii="Arial" w:hAnsi="Arial" w:cs="Arial"/>
        </w:rPr>
        <w:t xml:space="preserve"> </w:t>
      </w:r>
      <w:r w:rsidRPr="00CD59CC">
        <w:rPr>
          <w:rFonts w:ascii="Arial" w:hAnsi="Arial" w:cs="Arial"/>
        </w:rPr>
        <w:t>however,</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Code</w:t>
      </w:r>
      <w:r w:rsidR="007B7640" w:rsidRPr="00CD59CC">
        <w:rPr>
          <w:rFonts w:ascii="Arial" w:hAnsi="Arial" w:cs="Arial"/>
        </w:rPr>
        <w:t xml:space="preserve"> </w:t>
      </w:r>
      <w:r w:rsidRPr="00CD59CC">
        <w:rPr>
          <w:rFonts w:ascii="Arial" w:hAnsi="Arial" w:cs="Arial"/>
        </w:rPr>
        <w:t>protecting</w:t>
      </w:r>
      <w:r w:rsidR="007B7640" w:rsidRPr="00CD59CC">
        <w:rPr>
          <w:rFonts w:ascii="Arial" w:hAnsi="Arial" w:cs="Arial"/>
        </w:rPr>
        <w:t xml:space="preserve"> </w:t>
      </w:r>
      <w:r w:rsidRPr="00CD59CC">
        <w:rPr>
          <w:rFonts w:ascii="Arial" w:hAnsi="Arial" w:cs="Arial"/>
        </w:rPr>
        <w:t>inherent</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can</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invoked</w:t>
      </w:r>
      <w:r w:rsidR="007B7640" w:rsidRPr="00CD59CC">
        <w:rPr>
          <w:rFonts w:ascii="Arial" w:hAnsi="Arial" w:cs="Arial"/>
        </w:rPr>
        <w:t xml:space="preserve"> </w:t>
      </w:r>
      <w:r w:rsidRPr="00CD59CC">
        <w:rPr>
          <w:rFonts w:ascii="Arial" w:hAnsi="Arial" w:cs="Arial"/>
        </w:rPr>
        <w:t>providing</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type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6.1</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sanctions</w:t>
      </w:r>
      <w:r w:rsidR="007B7640" w:rsidRPr="00CD59CC">
        <w:rPr>
          <w:rFonts w:ascii="Arial" w:hAnsi="Arial" w:cs="Arial"/>
        </w:rPr>
        <w:t xml:space="preserve"> </w:t>
      </w:r>
      <w:r w:rsidRPr="00CD59CC">
        <w:rPr>
          <w:rFonts w:ascii="Arial" w:hAnsi="Arial" w:cs="Arial"/>
        </w:rPr>
        <w:t>applicable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courts).</w:t>
      </w:r>
      <w:r w:rsidR="007B7640" w:rsidRPr="00CD59CC">
        <w:rPr>
          <w:rFonts w:ascii="Arial" w:hAnsi="Arial" w:cs="Arial"/>
        </w:rPr>
        <w:t xml:space="preserve"> </w:t>
      </w:r>
    </w:p>
    <w:p w14:paraId="0E22CB73" w14:textId="77777777" w:rsidR="0000609D" w:rsidRPr="00CD59CC" w:rsidRDefault="0000609D" w:rsidP="00CD59CC">
      <w:pPr>
        <w:rPr>
          <w:rFonts w:ascii="Arial" w:hAnsi="Arial" w:cs="Arial"/>
        </w:rPr>
      </w:pPr>
    </w:p>
    <w:p w14:paraId="67E3BEA9" w14:textId="77777777" w:rsidR="0000609D" w:rsidRPr="00CD59CC" w:rsidRDefault="0000609D" w:rsidP="00CD59CC">
      <w:pPr>
        <w:rPr>
          <w:rFonts w:ascii="Arial" w:hAnsi="Arial" w:cs="Arial"/>
        </w:rPr>
      </w:pPr>
      <w:r w:rsidRPr="00CD59CC">
        <w:rPr>
          <w:rFonts w:ascii="Arial" w:hAnsi="Arial" w:cs="Arial"/>
          <w:u w:val="single"/>
        </w:rPr>
        <w:t>Employment,</w:t>
      </w:r>
      <w:r w:rsidR="007B7640" w:rsidRPr="00CD59CC">
        <w:rPr>
          <w:rFonts w:ascii="Arial" w:hAnsi="Arial" w:cs="Arial"/>
          <w:u w:val="single"/>
        </w:rPr>
        <w:t xml:space="preserve"> </w:t>
      </w:r>
      <w:r w:rsidRPr="00CD59CC">
        <w:rPr>
          <w:rFonts w:ascii="Arial" w:hAnsi="Arial" w:cs="Arial"/>
          <w:u w:val="single"/>
        </w:rPr>
        <w:t>self-employment,</w:t>
      </w:r>
      <w:r w:rsidR="007B7640" w:rsidRPr="00CD59CC">
        <w:rPr>
          <w:rFonts w:ascii="Arial" w:hAnsi="Arial" w:cs="Arial"/>
          <w:u w:val="single"/>
        </w:rPr>
        <w:t xml:space="preserve"> </w:t>
      </w:r>
      <w:r w:rsidRPr="00CD59CC">
        <w:rPr>
          <w:rFonts w:ascii="Arial" w:hAnsi="Arial" w:cs="Arial"/>
          <w:u w:val="single"/>
        </w:rPr>
        <w:t>occupation</w:t>
      </w:r>
      <w:r w:rsidRPr="00CD59CC">
        <w:rPr>
          <w:rFonts w:ascii="Arial" w:hAnsi="Arial" w:cs="Arial"/>
        </w:rPr>
        <w:t>:</w:t>
      </w:r>
      <w:r w:rsidR="007B7640" w:rsidRPr="00CD59CC">
        <w:rPr>
          <w:rFonts w:ascii="Arial" w:hAnsi="Arial" w:cs="Arial"/>
        </w:rPr>
        <w:t xml:space="preserve"> </w:t>
      </w:r>
    </w:p>
    <w:p w14:paraId="271648F7" w14:textId="77777777" w:rsidR="0000609D" w:rsidRPr="00CD59CC" w:rsidRDefault="0000609D" w:rsidP="00CD59CC">
      <w:pPr>
        <w:rPr>
          <w:rFonts w:ascii="Arial" w:hAnsi="Arial" w:cs="Arial"/>
        </w:rPr>
      </w:pPr>
    </w:p>
    <w:p w14:paraId="1CF9F0F7" w14:textId="77777777" w:rsidR="0000609D" w:rsidRPr="00CD59CC" w:rsidRDefault="0000609D" w:rsidP="00CD59CC">
      <w:pPr>
        <w:pStyle w:val="Szvegtrzs21"/>
        <w:jc w:val="left"/>
        <w:rPr>
          <w:rFonts w:ascii="Arial" w:hAnsi="Arial" w:cs="Arial"/>
          <w:iCs w:val="0"/>
        </w:rPr>
      </w:pPr>
      <w:r w:rsidRPr="00CD59CC">
        <w:rPr>
          <w:rFonts w:ascii="Arial" w:hAnsi="Arial" w:cs="Arial"/>
          <w:iCs w:val="0"/>
        </w:rPr>
        <w:t>National</w:t>
      </w:r>
      <w:r w:rsidR="007B7640" w:rsidRPr="00CD59CC">
        <w:rPr>
          <w:rFonts w:ascii="Arial" w:hAnsi="Arial" w:cs="Arial"/>
          <w:iCs w:val="0"/>
        </w:rPr>
        <w:t xml:space="preserve"> </w:t>
      </w:r>
      <w:r w:rsidRPr="00CD59CC">
        <w:rPr>
          <w:rFonts w:ascii="Arial" w:hAnsi="Arial" w:cs="Arial"/>
          <w:iCs w:val="0"/>
        </w:rPr>
        <w:t>legislation</w:t>
      </w:r>
      <w:r w:rsidR="007B7640" w:rsidRPr="00CD59CC">
        <w:rPr>
          <w:rFonts w:ascii="Arial" w:hAnsi="Arial" w:cs="Arial"/>
          <w:iCs w:val="0"/>
        </w:rPr>
        <w:t xml:space="preserve"> </w:t>
      </w:r>
      <w:r w:rsidRPr="00CD59CC">
        <w:rPr>
          <w:rFonts w:ascii="Arial" w:hAnsi="Arial" w:cs="Arial"/>
          <w:iCs w:val="0"/>
        </w:rPr>
        <w:t>covers</w:t>
      </w:r>
      <w:r w:rsidR="007B7640" w:rsidRPr="00CD59CC">
        <w:rPr>
          <w:rFonts w:ascii="Arial" w:hAnsi="Arial" w:cs="Arial"/>
          <w:iCs w:val="0"/>
        </w:rPr>
        <w:t xml:space="preserve"> </w:t>
      </w:r>
      <w:r w:rsidRPr="00CD59CC">
        <w:rPr>
          <w:rFonts w:ascii="Arial" w:hAnsi="Arial" w:cs="Arial"/>
          <w:iCs w:val="0"/>
        </w:rPr>
        <w:t>all</w:t>
      </w:r>
      <w:r w:rsidR="007B7640" w:rsidRPr="00CD59CC">
        <w:rPr>
          <w:rFonts w:ascii="Arial" w:hAnsi="Arial" w:cs="Arial"/>
          <w:iCs w:val="0"/>
        </w:rPr>
        <w:t xml:space="preserve"> </w:t>
      </w:r>
      <w:r w:rsidRPr="00CD59CC">
        <w:rPr>
          <w:rFonts w:ascii="Arial" w:hAnsi="Arial" w:cs="Arial"/>
          <w:iCs w:val="0"/>
        </w:rPr>
        <w:t>sectors</w:t>
      </w:r>
      <w:r w:rsidR="007B7640" w:rsidRPr="00CD59CC">
        <w:rPr>
          <w:rFonts w:ascii="Arial" w:hAnsi="Arial" w:cs="Arial"/>
          <w:iCs w:val="0"/>
        </w:rPr>
        <w:t xml:space="preserve"> </w:t>
      </w:r>
      <w:r w:rsidRPr="00CD59CC">
        <w:rPr>
          <w:rFonts w:ascii="Arial" w:hAnsi="Arial" w:cs="Arial"/>
          <w:iCs w:val="0"/>
        </w:rPr>
        <w:t>of</w:t>
      </w:r>
      <w:r w:rsidR="007B7640" w:rsidRPr="00CD59CC">
        <w:rPr>
          <w:rFonts w:ascii="Arial" w:hAnsi="Arial" w:cs="Arial"/>
          <w:iCs w:val="0"/>
        </w:rPr>
        <w:t xml:space="preserve"> </w:t>
      </w:r>
      <w:r w:rsidRPr="00CD59CC">
        <w:rPr>
          <w:rFonts w:ascii="Arial" w:hAnsi="Arial" w:cs="Arial"/>
          <w:iCs w:val="0"/>
        </w:rPr>
        <w:t>public</w:t>
      </w:r>
      <w:r w:rsidR="007B7640" w:rsidRPr="00CD59CC">
        <w:rPr>
          <w:rFonts w:ascii="Arial" w:hAnsi="Arial" w:cs="Arial"/>
          <w:iCs w:val="0"/>
        </w:rPr>
        <w:t xml:space="preserve"> </w:t>
      </w:r>
      <w:r w:rsidRPr="00CD59CC">
        <w:rPr>
          <w:rFonts w:ascii="Arial" w:hAnsi="Arial" w:cs="Arial"/>
          <w:iCs w:val="0"/>
        </w:rPr>
        <w:t>and</w:t>
      </w:r>
      <w:r w:rsidR="007B7640" w:rsidRPr="00CD59CC">
        <w:rPr>
          <w:rFonts w:ascii="Arial" w:hAnsi="Arial" w:cs="Arial"/>
          <w:iCs w:val="0"/>
        </w:rPr>
        <w:t xml:space="preserve"> </w:t>
      </w:r>
      <w:r w:rsidRPr="00CD59CC">
        <w:rPr>
          <w:rFonts w:ascii="Arial" w:hAnsi="Arial" w:cs="Arial"/>
          <w:iCs w:val="0"/>
        </w:rPr>
        <w:t>private</w:t>
      </w:r>
      <w:r w:rsidR="007B7640" w:rsidRPr="00CD59CC">
        <w:rPr>
          <w:rFonts w:ascii="Arial" w:hAnsi="Arial" w:cs="Arial"/>
          <w:iCs w:val="0"/>
        </w:rPr>
        <w:t xml:space="preserve"> </w:t>
      </w:r>
      <w:r w:rsidRPr="00CD59CC">
        <w:rPr>
          <w:rFonts w:ascii="Arial" w:hAnsi="Arial" w:cs="Arial"/>
          <w:iCs w:val="0"/>
        </w:rPr>
        <w:t>employment</w:t>
      </w:r>
      <w:r w:rsidR="007B7640" w:rsidRPr="00CD59CC">
        <w:rPr>
          <w:rFonts w:ascii="Arial" w:hAnsi="Arial" w:cs="Arial"/>
          <w:iCs w:val="0"/>
        </w:rPr>
        <w:t xml:space="preserve"> </w:t>
      </w:r>
      <w:r w:rsidRPr="00CD59CC">
        <w:rPr>
          <w:rFonts w:ascii="Arial" w:hAnsi="Arial" w:cs="Arial"/>
          <w:iCs w:val="0"/>
        </w:rPr>
        <w:t>and</w:t>
      </w:r>
      <w:r w:rsidR="007B7640" w:rsidRPr="00CD59CC">
        <w:rPr>
          <w:rFonts w:ascii="Arial" w:hAnsi="Arial" w:cs="Arial"/>
          <w:iCs w:val="0"/>
        </w:rPr>
        <w:t xml:space="preserve"> </w:t>
      </w:r>
      <w:r w:rsidRPr="00CD59CC">
        <w:rPr>
          <w:rFonts w:ascii="Arial" w:hAnsi="Arial" w:cs="Arial"/>
          <w:iCs w:val="0"/>
        </w:rPr>
        <w:t>occupation,</w:t>
      </w:r>
      <w:r w:rsidR="007B7640" w:rsidRPr="00CD59CC">
        <w:rPr>
          <w:rFonts w:ascii="Arial" w:hAnsi="Arial" w:cs="Arial"/>
          <w:iCs w:val="0"/>
        </w:rPr>
        <w:t xml:space="preserve"> </w:t>
      </w:r>
      <w:r w:rsidRPr="00CD59CC">
        <w:rPr>
          <w:rFonts w:ascii="Arial" w:hAnsi="Arial" w:cs="Arial"/>
          <w:iCs w:val="0"/>
        </w:rPr>
        <w:t>including</w:t>
      </w:r>
      <w:r w:rsidR="007B7640" w:rsidRPr="00CD59CC">
        <w:rPr>
          <w:rFonts w:ascii="Arial" w:hAnsi="Arial" w:cs="Arial"/>
          <w:iCs w:val="0"/>
        </w:rPr>
        <w:t xml:space="preserve"> </w:t>
      </w:r>
      <w:r w:rsidRPr="00CD59CC">
        <w:rPr>
          <w:rFonts w:ascii="Arial" w:hAnsi="Arial" w:cs="Arial"/>
          <w:iCs w:val="0"/>
        </w:rPr>
        <w:t>contract</w:t>
      </w:r>
      <w:r w:rsidR="007B7640" w:rsidRPr="00CD59CC">
        <w:rPr>
          <w:rFonts w:ascii="Arial" w:hAnsi="Arial" w:cs="Arial"/>
          <w:iCs w:val="0"/>
        </w:rPr>
        <w:t xml:space="preserve"> </w:t>
      </w:r>
      <w:r w:rsidRPr="00CD59CC">
        <w:rPr>
          <w:rFonts w:ascii="Arial" w:hAnsi="Arial" w:cs="Arial"/>
          <w:iCs w:val="0"/>
        </w:rPr>
        <w:t>work,</w:t>
      </w:r>
      <w:r w:rsidR="007B7640" w:rsidRPr="00CD59CC">
        <w:rPr>
          <w:rFonts w:ascii="Arial" w:hAnsi="Arial" w:cs="Arial"/>
          <w:iCs w:val="0"/>
        </w:rPr>
        <w:t xml:space="preserve"> </w:t>
      </w:r>
      <w:r w:rsidRPr="00CD59CC">
        <w:rPr>
          <w:rFonts w:ascii="Arial" w:hAnsi="Arial" w:cs="Arial"/>
          <w:iCs w:val="0"/>
        </w:rPr>
        <w:t>self-employment</w:t>
      </w:r>
      <w:r w:rsidR="007B7640" w:rsidRPr="00CD59CC">
        <w:rPr>
          <w:rFonts w:ascii="Arial" w:hAnsi="Arial" w:cs="Arial"/>
          <w:iCs w:val="0"/>
        </w:rPr>
        <w:t xml:space="preserve"> </w:t>
      </w:r>
      <w:r w:rsidRPr="00CD59CC">
        <w:rPr>
          <w:rFonts w:ascii="Arial" w:hAnsi="Arial" w:cs="Arial"/>
          <w:iCs w:val="0"/>
        </w:rPr>
        <w:t>and</w:t>
      </w:r>
      <w:r w:rsidR="007B7640" w:rsidRPr="00CD59CC">
        <w:rPr>
          <w:rFonts w:ascii="Arial" w:hAnsi="Arial" w:cs="Arial"/>
          <w:iCs w:val="0"/>
        </w:rPr>
        <w:t xml:space="preserve"> </w:t>
      </w:r>
      <w:r w:rsidRPr="00CD59CC">
        <w:rPr>
          <w:rFonts w:ascii="Arial" w:hAnsi="Arial" w:cs="Arial"/>
          <w:iCs w:val="0"/>
        </w:rPr>
        <w:t>military</w:t>
      </w:r>
      <w:r w:rsidR="007B7640" w:rsidRPr="00CD59CC">
        <w:rPr>
          <w:rFonts w:ascii="Arial" w:hAnsi="Arial" w:cs="Arial"/>
          <w:iCs w:val="0"/>
        </w:rPr>
        <w:t xml:space="preserve"> </w:t>
      </w:r>
      <w:r w:rsidRPr="00CD59CC">
        <w:rPr>
          <w:rFonts w:ascii="Arial" w:hAnsi="Arial" w:cs="Arial"/>
          <w:iCs w:val="0"/>
        </w:rPr>
        <w:t>service.</w:t>
      </w:r>
      <w:r w:rsidR="007B7640" w:rsidRPr="00CD59CC">
        <w:rPr>
          <w:rFonts w:ascii="Arial" w:hAnsi="Arial" w:cs="Arial"/>
          <w:iCs w:val="0"/>
        </w:rPr>
        <w:t xml:space="preserve"> </w:t>
      </w:r>
    </w:p>
    <w:p w14:paraId="3B9E0747" w14:textId="77777777" w:rsidR="0000609D" w:rsidRPr="00CD59CC" w:rsidRDefault="0000609D" w:rsidP="00CD59CC">
      <w:pPr>
        <w:pStyle w:val="Szvegtrzs21"/>
        <w:jc w:val="left"/>
        <w:rPr>
          <w:rFonts w:ascii="Arial" w:hAnsi="Arial" w:cs="Arial"/>
          <w:iCs w:val="0"/>
        </w:rPr>
      </w:pPr>
    </w:p>
    <w:p w14:paraId="3889F693" w14:textId="77777777" w:rsidR="0000609D" w:rsidRPr="00CD59CC" w:rsidRDefault="0000609D" w:rsidP="00CD59CC">
      <w:pPr>
        <w:pStyle w:val="Szvegtrzs21"/>
        <w:jc w:val="left"/>
        <w:rPr>
          <w:rFonts w:ascii="Arial" w:hAnsi="Arial" w:cs="Arial"/>
          <w:iCs w:val="0"/>
        </w:rPr>
      </w:pPr>
      <w:r w:rsidRPr="00CD59CC">
        <w:rPr>
          <w:rFonts w:ascii="Arial" w:hAnsi="Arial" w:cs="Arial"/>
          <w:iCs w:val="0"/>
        </w:rPr>
        <w:lastRenderedPageBreak/>
        <w:t>Article</w:t>
      </w:r>
      <w:r w:rsidR="007B7640" w:rsidRPr="00CD59CC">
        <w:rPr>
          <w:rFonts w:ascii="Arial" w:hAnsi="Arial" w:cs="Arial"/>
          <w:iCs w:val="0"/>
        </w:rPr>
        <w:t xml:space="preserve"> </w:t>
      </w:r>
      <w:r w:rsidRPr="00CD59CC">
        <w:rPr>
          <w:rFonts w:ascii="Arial" w:hAnsi="Arial" w:cs="Arial"/>
          <w:iCs w:val="0"/>
        </w:rPr>
        <w:t>3</w:t>
      </w:r>
      <w:r w:rsidR="007B7640" w:rsidRPr="00CD59CC">
        <w:rPr>
          <w:rFonts w:ascii="Arial" w:hAnsi="Arial" w:cs="Arial"/>
          <w:iCs w:val="0"/>
        </w:rPr>
        <w:t xml:space="preserve"> </w:t>
      </w:r>
      <w:r w:rsidRPr="00CD59CC">
        <w:rPr>
          <w:rFonts w:ascii="Arial" w:hAnsi="Arial" w:cs="Arial"/>
          <w:iCs w:val="0"/>
        </w:rPr>
        <w:t>of</w:t>
      </w:r>
      <w:r w:rsidR="007B7640" w:rsidRPr="00CD59CC">
        <w:rPr>
          <w:rFonts w:ascii="Arial" w:hAnsi="Arial" w:cs="Arial"/>
          <w:iCs w:val="0"/>
        </w:rPr>
        <w:t xml:space="preserve"> </w:t>
      </w:r>
      <w:r w:rsidRPr="00CD59CC">
        <w:rPr>
          <w:rFonts w:ascii="Arial" w:hAnsi="Arial" w:cs="Arial"/>
          <w:iCs w:val="0"/>
        </w:rPr>
        <w:t>the</w:t>
      </w:r>
      <w:r w:rsidR="007B7640" w:rsidRPr="00CD59CC">
        <w:rPr>
          <w:rFonts w:ascii="Arial" w:hAnsi="Arial" w:cs="Arial"/>
          <w:iCs w:val="0"/>
        </w:rPr>
        <w:t xml:space="preserve"> </w:t>
      </w:r>
      <w:r w:rsidRPr="00CD59CC">
        <w:rPr>
          <w:rFonts w:ascii="Arial" w:hAnsi="Arial" w:cs="Arial"/>
          <w:iCs w:val="0"/>
        </w:rPr>
        <w:t>ETA</w:t>
      </w:r>
      <w:r w:rsidR="007B7640" w:rsidRPr="00CD59CC">
        <w:rPr>
          <w:rFonts w:ascii="Arial" w:hAnsi="Arial" w:cs="Arial"/>
          <w:iCs w:val="0"/>
        </w:rPr>
        <w:t xml:space="preserve"> </w:t>
      </w:r>
      <w:r w:rsidRPr="00CD59CC">
        <w:rPr>
          <w:rFonts w:ascii="Arial" w:hAnsi="Arial" w:cs="Arial"/>
          <w:iCs w:val="0"/>
        </w:rPr>
        <w:t>defines</w:t>
      </w:r>
      <w:r w:rsidR="007B7640" w:rsidRPr="00CD59CC">
        <w:rPr>
          <w:rFonts w:ascii="Arial" w:hAnsi="Arial" w:cs="Arial"/>
          <w:iCs w:val="0"/>
        </w:rPr>
        <w:t xml:space="preserve"> </w:t>
      </w:r>
      <w:r w:rsidRPr="00CD59CC">
        <w:rPr>
          <w:rFonts w:ascii="Arial" w:hAnsi="Arial" w:cs="Arial"/>
          <w:iCs w:val="0"/>
        </w:rPr>
        <w:t>labour</w:t>
      </w:r>
      <w:r w:rsidR="007B7640" w:rsidRPr="00CD59CC">
        <w:rPr>
          <w:rFonts w:ascii="Arial" w:hAnsi="Arial" w:cs="Arial"/>
          <w:iCs w:val="0"/>
        </w:rPr>
        <w:t xml:space="preserve"> </w:t>
      </w:r>
      <w:r w:rsidRPr="00CD59CC">
        <w:rPr>
          <w:rFonts w:ascii="Arial" w:hAnsi="Arial" w:cs="Arial"/>
          <w:iCs w:val="0"/>
        </w:rPr>
        <w:t>relations</w:t>
      </w:r>
      <w:r w:rsidR="007B7640" w:rsidRPr="00CD59CC">
        <w:rPr>
          <w:rFonts w:ascii="Arial" w:hAnsi="Arial" w:cs="Arial"/>
          <w:iCs w:val="0"/>
        </w:rPr>
        <w:t xml:space="preserve"> </w:t>
      </w:r>
      <w:r w:rsidRPr="00CD59CC">
        <w:rPr>
          <w:rFonts w:ascii="Arial" w:hAnsi="Arial" w:cs="Arial"/>
          <w:iCs w:val="0"/>
        </w:rPr>
        <w:t>(</w:t>
      </w:r>
      <w:r w:rsidRPr="00CD59CC">
        <w:rPr>
          <w:rFonts w:ascii="Arial" w:hAnsi="Arial" w:cs="Arial"/>
          <w:i/>
        </w:rPr>
        <w:t>foglalkoztatási</w:t>
      </w:r>
      <w:r w:rsidR="007B7640" w:rsidRPr="00CD59CC">
        <w:rPr>
          <w:rFonts w:ascii="Arial" w:hAnsi="Arial" w:cs="Arial"/>
          <w:i/>
        </w:rPr>
        <w:t xml:space="preserve"> </w:t>
      </w:r>
      <w:r w:rsidRPr="00CD59CC">
        <w:rPr>
          <w:rFonts w:ascii="Arial" w:hAnsi="Arial" w:cs="Arial"/>
          <w:i/>
        </w:rPr>
        <w:t>jogviszony</w:t>
      </w:r>
      <w:r w:rsidRPr="00CD59CC">
        <w:rPr>
          <w:rFonts w:ascii="Arial" w:hAnsi="Arial" w:cs="Arial"/>
          <w:iCs w:val="0"/>
        </w:rPr>
        <w:t>)</w:t>
      </w:r>
      <w:r w:rsidR="007B7640" w:rsidRPr="00CD59CC">
        <w:rPr>
          <w:rFonts w:ascii="Arial" w:hAnsi="Arial" w:cs="Arial"/>
          <w:iCs w:val="0"/>
        </w:rPr>
        <w:t xml:space="preserve"> </w:t>
      </w:r>
      <w:r w:rsidRPr="00CD59CC">
        <w:rPr>
          <w:rFonts w:ascii="Arial" w:hAnsi="Arial" w:cs="Arial"/>
          <w:iCs w:val="0"/>
        </w:rPr>
        <w:t>so</w:t>
      </w:r>
      <w:r w:rsidR="007B7640" w:rsidRPr="00CD59CC">
        <w:rPr>
          <w:rFonts w:ascii="Arial" w:hAnsi="Arial" w:cs="Arial"/>
          <w:iCs w:val="0"/>
        </w:rPr>
        <w:t xml:space="preserve"> </w:t>
      </w:r>
      <w:r w:rsidRPr="00CD59CC">
        <w:rPr>
          <w:rFonts w:ascii="Arial" w:hAnsi="Arial" w:cs="Arial"/>
          <w:iCs w:val="0"/>
        </w:rPr>
        <w:t>as</w:t>
      </w:r>
      <w:r w:rsidR="007B7640" w:rsidRPr="00CD59CC">
        <w:rPr>
          <w:rFonts w:ascii="Arial" w:hAnsi="Arial" w:cs="Arial"/>
          <w:iCs w:val="0"/>
        </w:rPr>
        <w:t xml:space="preserve"> </w:t>
      </w:r>
      <w:r w:rsidRPr="00CD59CC">
        <w:rPr>
          <w:rFonts w:ascii="Arial" w:hAnsi="Arial" w:cs="Arial"/>
          <w:iCs w:val="0"/>
        </w:rPr>
        <w:t>to</w:t>
      </w:r>
      <w:r w:rsidR="007B7640" w:rsidRPr="00CD59CC">
        <w:rPr>
          <w:rFonts w:ascii="Arial" w:hAnsi="Arial" w:cs="Arial"/>
          <w:iCs w:val="0"/>
        </w:rPr>
        <w:t xml:space="preserve"> </w:t>
      </w:r>
      <w:r w:rsidRPr="00CD59CC">
        <w:rPr>
          <w:rFonts w:ascii="Arial" w:hAnsi="Arial" w:cs="Arial"/>
          <w:iCs w:val="0"/>
        </w:rPr>
        <w:t>cover</w:t>
      </w:r>
      <w:r w:rsidR="007B7640" w:rsidRPr="00CD59CC">
        <w:rPr>
          <w:rFonts w:ascii="Arial" w:hAnsi="Arial" w:cs="Arial"/>
          <w:iCs w:val="0"/>
        </w:rPr>
        <w:t xml:space="preserve"> </w:t>
      </w:r>
      <w:r w:rsidRPr="00CD59CC">
        <w:rPr>
          <w:rFonts w:ascii="Arial" w:hAnsi="Arial" w:cs="Arial"/>
          <w:iCs w:val="0"/>
        </w:rPr>
        <w:t>employment,</w:t>
      </w:r>
      <w:r w:rsidR="007B7640" w:rsidRPr="00CD59CC">
        <w:rPr>
          <w:rFonts w:ascii="Arial" w:hAnsi="Arial" w:cs="Arial"/>
          <w:iCs w:val="0"/>
        </w:rPr>
        <w:t xml:space="preserve"> </w:t>
      </w:r>
      <w:r w:rsidRPr="00CD59CC">
        <w:rPr>
          <w:rFonts w:ascii="Arial" w:hAnsi="Arial" w:cs="Arial"/>
          <w:iCs w:val="0"/>
        </w:rPr>
        <w:t>public</w:t>
      </w:r>
      <w:r w:rsidR="007B7640" w:rsidRPr="00CD59CC">
        <w:rPr>
          <w:rFonts w:ascii="Arial" w:hAnsi="Arial" w:cs="Arial"/>
          <w:iCs w:val="0"/>
        </w:rPr>
        <w:t xml:space="preserve"> </w:t>
      </w:r>
      <w:r w:rsidRPr="00CD59CC">
        <w:rPr>
          <w:rFonts w:ascii="Arial" w:hAnsi="Arial" w:cs="Arial"/>
          <w:iCs w:val="0"/>
        </w:rPr>
        <w:t>employment,</w:t>
      </w:r>
      <w:r w:rsidR="007B7640" w:rsidRPr="00CD59CC">
        <w:rPr>
          <w:rFonts w:ascii="Arial" w:hAnsi="Arial" w:cs="Arial"/>
          <w:iCs w:val="0"/>
        </w:rPr>
        <w:t xml:space="preserve"> </w:t>
      </w:r>
      <w:r w:rsidRPr="00CD59CC">
        <w:rPr>
          <w:rFonts w:ascii="Arial" w:hAnsi="Arial" w:cs="Arial"/>
          <w:iCs w:val="0"/>
        </w:rPr>
        <w:t>employment</w:t>
      </w:r>
      <w:r w:rsidR="007B7640" w:rsidRPr="00CD59CC">
        <w:rPr>
          <w:rFonts w:ascii="Arial" w:hAnsi="Arial" w:cs="Arial"/>
          <w:iCs w:val="0"/>
        </w:rPr>
        <w:t xml:space="preserve"> </w:t>
      </w:r>
      <w:r w:rsidRPr="00CD59CC">
        <w:rPr>
          <w:rFonts w:ascii="Arial" w:hAnsi="Arial" w:cs="Arial"/>
          <w:iCs w:val="0"/>
        </w:rPr>
        <w:t>by</w:t>
      </w:r>
      <w:r w:rsidR="007B7640" w:rsidRPr="00CD59CC">
        <w:rPr>
          <w:rFonts w:ascii="Arial" w:hAnsi="Arial" w:cs="Arial"/>
          <w:iCs w:val="0"/>
        </w:rPr>
        <w:t xml:space="preserve"> </w:t>
      </w:r>
      <w:r w:rsidRPr="00CD59CC">
        <w:rPr>
          <w:rFonts w:ascii="Arial" w:hAnsi="Arial" w:cs="Arial"/>
          <w:iCs w:val="0"/>
        </w:rPr>
        <w:t>court,</w:t>
      </w:r>
      <w:r w:rsidR="007B7640" w:rsidRPr="00CD59CC">
        <w:rPr>
          <w:rFonts w:ascii="Arial" w:hAnsi="Arial" w:cs="Arial"/>
          <w:iCs w:val="0"/>
        </w:rPr>
        <w:t xml:space="preserve"> </w:t>
      </w:r>
      <w:r w:rsidRPr="00CD59CC">
        <w:rPr>
          <w:rFonts w:ascii="Arial" w:hAnsi="Arial" w:cs="Arial"/>
          <w:iCs w:val="0"/>
        </w:rPr>
        <w:t>the</w:t>
      </w:r>
      <w:r w:rsidR="007B7640" w:rsidRPr="00CD59CC">
        <w:rPr>
          <w:rFonts w:ascii="Arial" w:hAnsi="Arial" w:cs="Arial"/>
          <w:iCs w:val="0"/>
        </w:rPr>
        <w:t xml:space="preserve"> </w:t>
      </w:r>
      <w:r w:rsidRPr="00CD59CC">
        <w:rPr>
          <w:rFonts w:ascii="Arial" w:hAnsi="Arial" w:cs="Arial"/>
          <w:iCs w:val="0"/>
        </w:rPr>
        <w:t>prosecution</w:t>
      </w:r>
      <w:r w:rsidR="007B7640" w:rsidRPr="00CD59CC">
        <w:rPr>
          <w:rFonts w:ascii="Arial" w:hAnsi="Arial" w:cs="Arial"/>
          <w:iCs w:val="0"/>
        </w:rPr>
        <w:t xml:space="preserve"> </w:t>
      </w:r>
      <w:r w:rsidRPr="00CD59CC">
        <w:rPr>
          <w:rFonts w:ascii="Arial" w:hAnsi="Arial" w:cs="Arial"/>
          <w:iCs w:val="0"/>
        </w:rPr>
        <w:t>services,</w:t>
      </w:r>
      <w:r w:rsidR="007B7640" w:rsidRPr="00CD59CC">
        <w:rPr>
          <w:rFonts w:ascii="Arial" w:hAnsi="Arial" w:cs="Arial"/>
          <w:iCs w:val="0"/>
        </w:rPr>
        <w:t xml:space="preserve"> </w:t>
      </w:r>
      <w:r w:rsidRPr="00CD59CC">
        <w:rPr>
          <w:rFonts w:ascii="Arial" w:hAnsi="Arial" w:cs="Arial"/>
          <w:iCs w:val="0"/>
        </w:rPr>
        <w:t>other</w:t>
      </w:r>
      <w:r w:rsidR="007B7640" w:rsidRPr="00CD59CC">
        <w:rPr>
          <w:rFonts w:ascii="Arial" w:hAnsi="Arial" w:cs="Arial"/>
          <w:iCs w:val="0"/>
        </w:rPr>
        <w:t xml:space="preserve"> </w:t>
      </w:r>
      <w:r w:rsidRPr="00CD59CC">
        <w:rPr>
          <w:rFonts w:ascii="Arial" w:hAnsi="Arial" w:cs="Arial"/>
          <w:iCs w:val="0"/>
        </w:rPr>
        <w:t>bodies</w:t>
      </w:r>
      <w:r w:rsidR="007B7640" w:rsidRPr="00CD59CC">
        <w:rPr>
          <w:rFonts w:ascii="Arial" w:hAnsi="Arial" w:cs="Arial"/>
          <w:iCs w:val="0"/>
        </w:rPr>
        <w:t xml:space="preserve"> </w:t>
      </w:r>
      <w:r w:rsidRPr="00CD59CC">
        <w:rPr>
          <w:rFonts w:ascii="Arial" w:hAnsi="Arial" w:cs="Arial"/>
          <w:iCs w:val="0"/>
        </w:rPr>
        <w:t>of</w:t>
      </w:r>
      <w:r w:rsidR="007B7640" w:rsidRPr="00CD59CC">
        <w:rPr>
          <w:rFonts w:ascii="Arial" w:hAnsi="Arial" w:cs="Arial"/>
          <w:iCs w:val="0"/>
        </w:rPr>
        <w:t xml:space="preserve"> </w:t>
      </w:r>
      <w:r w:rsidRPr="00CD59CC">
        <w:rPr>
          <w:rFonts w:ascii="Arial" w:hAnsi="Arial" w:cs="Arial"/>
          <w:iCs w:val="0"/>
        </w:rPr>
        <w:t>the</w:t>
      </w:r>
      <w:r w:rsidR="007B7640" w:rsidRPr="00CD59CC">
        <w:rPr>
          <w:rFonts w:ascii="Arial" w:hAnsi="Arial" w:cs="Arial"/>
          <w:iCs w:val="0"/>
        </w:rPr>
        <w:t xml:space="preserve"> </w:t>
      </w:r>
      <w:r w:rsidRPr="00CD59CC">
        <w:rPr>
          <w:rFonts w:ascii="Arial" w:hAnsi="Arial" w:cs="Arial"/>
          <w:iCs w:val="0"/>
        </w:rPr>
        <w:t>justice</w:t>
      </w:r>
      <w:r w:rsidR="007B7640" w:rsidRPr="00CD59CC">
        <w:rPr>
          <w:rFonts w:ascii="Arial" w:hAnsi="Arial" w:cs="Arial"/>
          <w:iCs w:val="0"/>
        </w:rPr>
        <w:t xml:space="preserve"> </w:t>
      </w:r>
      <w:r w:rsidRPr="00CD59CC">
        <w:rPr>
          <w:rFonts w:ascii="Arial" w:hAnsi="Arial" w:cs="Arial"/>
          <w:iCs w:val="0"/>
        </w:rPr>
        <w:t>system,</w:t>
      </w:r>
      <w:r w:rsidR="007B7640" w:rsidRPr="00CD59CC">
        <w:rPr>
          <w:rFonts w:ascii="Arial" w:hAnsi="Arial" w:cs="Arial"/>
          <w:iCs w:val="0"/>
        </w:rPr>
        <w:t xml:space="preserve"> </w:t>
      </w:r>
      <w:r w:rsidRPr="00CD59CC">
        <w:rPr>
          <w:rFonts w:ascii="Arial" w:hAnsi="Arial" w:cs="Arial"/>
          <w:iCs w:val="0"/>
        </w:rPr>
        <w:t>official</w:t>
      </w:r>
      <w:r w:rsidR="007B7640" w:rsidRPr="00CD59CC">
        <w:rPr>
          <w:rFonts w:ascii="Arial" w:hAnsi="Arial" w:cs="Arial"/>
          <w:iCs w:val="0"/>
        </w:rPr>
        <w:t xml:space="preserve"> </w:t>
      </w:r>
      <w:r w:rsidRPr="00CD59CC">
        <w:rPr>
          <w:rFonts w:ascii="Arial" w:hAnsi="Arial" w:cs="Arial"/>
          <w:iCs w:val="0"/>
        </w:rPr>
        <w:t>and</w:t>
      </w:r>
      <w:r w:rsidR="007B7640" w:rsidRPr="00CD59CC">
        <w:rPr>
          <w:rFonts w:ascii="Arial" w:hAnsi="Arial" w:cs="Arial"/>
          <w:iCs w:val="0"/>
        </w:rPr>
        <w:t xml:space="preserve"> </w:t>
      </w:r>
      <w:r w:rsidRPr="00CD59CC">
        <w:rPr>
          <w:rFonts w:ascii="Arial" w:hAnsi="Arial" w:cs="Arial"/>
          <w:iCs w:val="0"/>
        </w:rPr>
        <w:t>contractual</w:t>
      </w:r>
      <w:r w:rsidR="007B7640" w:rsidRPr="00CD59CC">
        <w:rPr>
          <w:rFonts w:ascii="Arial" w:hAnsi="Arial" w:cs="Arial"/>
          <w:iCs w:val="0"/>
        </w:rPr>
        <w:t xml:space="preserve"> </w:t>
      </w:r>
      <w:r w:rsidRPr="00CD59CC">
        <w:rPr>
          <w:rFonts w:ascii="Arial" w:hAnsi="Arial" w:cs="Arial"/>
          <w:iCs w:val="0"/>
        </w:rPr>
        <w:t>services</w:t>
      </w:r>
      <w:r w:rsidR="007B7640" w:rsidRPr="00CD59CC">
        <w:rPr>
          <w:rFonts w:ascii="Arial" w:hAnsi="Arial" w:cs="Arial"/>
          <w:iCs w:val="0"/>
        </w:rPr>
        <w:t xml:space="preserve"> </w:t>
      </w:r>
      <w:r w:rsidRPr="00CD59CC">
        <w:rPr>
          <w:rFonts w:ascii="Arial" w:hAnsi="Arial" w:cs="Arial"/>
          <w:iCs w:val="0"/>
        </w:rPr>
        <w:t>(including</w:t>
      </w:r>
      <w:r w:rsidR="007B7640" w:rsidRPr="00CD59CC">
        <w:rPr>
          <w:rFonts w:ascii="Arial" w:hAnsi="Arial" w:cs="Arial"/>
          <w:iCs w:val="0"/>
        </w:rPr>
        <w:t xml:space="preserve"> </w:t>
      </w:r>
      <w:r w:rsidRPr="00CD59CC">
        <w:rPr>
          <w:rFonts w:ascii="Arial" w:hAnsi="Arial" w:cs="Arial"/>
          <w:iCs w:val="0"/>
        </w:rPr>
        <w:t>in</w:t>
      </w:r>
      <w:r w:rsidR="007B7640" w:rsidRPr="00CD59CC">
        <w:rPr>
          <w:rFonts w:ascii="Arial" w:hAnsi="Arial" w:cs="Arial"/>
          <w:iCs w:val="0"/>
        </w:rPr>
        <w:t xml:space="preserve"> </w:t>
      </w:r>
      <w:r w:rsidRPr="00CD59CC">
        <w:rPr>
          <w:rFonts w:ascii="Arial" w:hAnsi="Arial" w:cs="Arial"/>
          <w:iCs w:val="0"/>
        </w:rPr>
        <w:t>the</w:t>
      </w:r>
      <w:r w:rsidR="007B7640" w:rsidRPr="00CD59CC">
        <w:rPr>
          <w:rFonts w:ascii="Arial" w:hAnsi="Arial" w:cs="Arial"/>
          <w:iCs w:val="0"/>
        </w:rPr>
        <w:t xml:space="preserve"> </w:t>
      </w:r>
      <w:r w:rsidRPr="00CD59CC">
        <w:rPr>
          <w:rFonts w:ascii="Arial" w:hAnsi="Arial" w:cs="Arial"/>
          <w:iCs w:val="0"/>
        </w:rPr>
        <w:t>armed</w:t>
      </w:r>
      <w:r w:rsidR="007B7640" w:rsidRPr="00CD59CC">
        <w:rPr>
          <w:rFonts w:ascii="Arial" w:hAnsi="Arial" w:cs="Arial"/>
          <w:iCs w:val="0"/>
        </w:rPr>
        <w:t xml:space="preserve"> </w:t>
      </w:r>
      <w:r w:rsidRPr="00CD59CC">
        <w:rPr>
          <w:rFonts w:ascii="Arial" w:hAnsi="Arial" w:cs="Arial"/>
          <w:iCs w:val="0"/>
        </w:rPr>
        <w:t>forces)</w:t>
      </w:r>
      <w:r w:rsidR="007B7640" w:rsidRPr="00CD59CC">
        <w:rPr>
          <w:rFonts w:ascii="Arial" w:hAnsi="Arial" w:cs="Arial"/>
          <w:iCs w:val="0"/>
        </w:rPr>
        <w:t xml:space="preserve"> </w:t>
      </w:r>
      <w:r w:rsidRPr="00CD59CC">
        <w:rPr>
          <w:rFonts w:ascii="Arial" w:hAnsi="Arial" w:cs="Arial"/>
          <w:iCs w:val="0"/>
        </w:rPr>
        <w:t>and</w:t>
      </w:r>
      <w:r w:rsidR="007B7640" w:rsidRPr="00CD59CC">
        <w:rPr>
          <w:rFonts w:ascii="Arial" w:hAnsi="Arial" w:cs="Arial"/>
          <w:iCs w:val="0"/>
        </w:rPr>
        <w:t xml:space="preserve"> </w:t>
      </w:r>
      <w:r w:rsidRPr="00CD59CC">
        <w:rPr>
          <w:rFonts w:ascii="Arial" w:hAnsi="Arial" w:cs="Arial"/>
          <w:iCs w:val="0"/>
        </w:rPr>
        <w:t>employment</w:t>
      </w:r>
      <w:r w:rsidR="007B7640" w:rsidRPr="00CD59CC">
        <w:rPr>
          <w:rFonts w:ascii="Arial" w:hAnsi="Arial" w:cs="Arial"/>
          <w:iCs w:val="0"/>
        </w:rPr>
        <w:t xml:space="preserve"> </w:t>
      </w:r>
      <w:r w:rsidRPr="00CD59CC">
        <w:rPr>
          <w:rFonts w:ascii="Arial" w:hAnsi="Arial" w:cs="Arial"/>
          <w:iCs w:val="0"/>
        </w:rPr>
        <w:t>as</w:t>
      </w:r>
      <w:r w:rsidR="007B7640" w:rsidRPr="00CD59CC">
        <w:rPr>
          <w:rFonts w:ascii="Arial" w:hAnsi="Arial" w:cs="Arial"/>
          <w:iCs w:val="0"/>
        </w:rPr>
        <w:t xml:space="preserve"> </w:t>
      </w:r>
      <w:r w:rsidRPr="00CD59CC">
        <w:rPr>
          <w:rFonts w:ascii="Arial" w:hAnsi="Arial" w:cs="Arial"/>
          <w:iCs w:val="0"/>
        </w:rPr>
        <w:t>an</w:t>
      </w:r>
      <w:r w:rsidR="007B7640" w:rsidRPr="00CD59CC">
        <w:rPr>
          <w:rFonts w:ascii="Arial" w:hAnsi="Arial" w:cs="Arial"/>
          <w:iCs w:val="0"/>
        </w:rPr>
        <w:t xml:space="preserve"> </w:t>
      </w:r>
      <w:r w:rsidRPr="00CD59CC">
        <w:rPr>
          <w:rFonts w:ascii="Arial" w:hAnsi="Arial" w:cs="Arial"/>
          <w:iCs w:val="0"/>
        </w:rPr>
        <w:t>official</w:t>
      </w:r>
      <w:r w:rsidR="007B7640" w:rsidRPr="00CD59CC">
        <w:rPr>
          <w:rFonts w:ascii="Arial" w:hAnsi="Arial" w:cs="Arial"/>
          <w:iCs w:val="0"/>
        </w:rPr>
        <w:t xml:space="preserve"> </w:t>
      </w:r>
      <w:r w:rsidRPr="00CD59CC">
        <w:rPr>
          <w:rFonts w:ascii="Arial" w:hAnsi="Arial" w:cs="Arial"/>
          <w:iCs w:val="0"/>
        </w:rPr>
        <w:t>foster</w:t>
      </w:r>
      <w:r w:rsidR="007B7640" w:rsidRPr="00CD59CC">
        <w:rPr>
          <w:rFonts w:ascii="Arial" w:hAnsi="Arial" w:cs="Arial"/>
          <w:iCs w:val="0"/>
        </w:rPr>
        <w:t xml:space="preserve"> </w:t>
      </w:r>
      <w:r w:rsidRPr="00CD59CC">
        <w:rPr>
          <w:rFonts w:ascii="Arial" w:hAnsi="Arial" w:cs="Arial"/>
          <w:iCs w:val="0"/>
        </w:rPr>
        <w:t>parent.</w:t>
      </w:r>
      <w:r w:rsidR="007B7640" w:rsidRPr="00CD59CC">
        <w:rPr>
          <w:rFonts w:ascii="Arial" w:hAnsi="Arial" w:cs="Arial"/>
          <w:iCs w:val="0"/>
        </w:rPr>
        <w:t xml:space="preserve"> </w:t>
      </w:r>
    </w:p>
    <w:p w14:paraId="1FC53FB1" w14:textId="77777777" w:rsidR="0000609D" w:rsidRPr="00CD59CC" w:rsidRDefault="0000609D" w:rsidP="00CD59CC">
      <w:pPr>
        <w:pStyle w:val="Szvegtrzs21"/>
        <w:jc w:val="left"/>
        <w:rPr>
          <w:rFonts w:ascii="Arial" w:hAnsi="Arial" w:cs="Arial"/>
          <w:iCs w:val="0"/>
        </w:rPr>
      </w:pPr>
    </w:p>
    <w:p w14:paraId="6D293E6B" w14:textId="77777777" w:rsidR="0000609D" w:rsidRPr="00CD59CC" w:rsidRDefault="0000609D" w:rsidP="00CD59CC">
      <w:pPr>
        <w:pStyle w:val="Szvegtrzs21"/>
        <w:jc w:val="left"/>
        <w:rPr>
          <w:rFonts w:ascii="Arial" w:hAnsi="Arial" w:cs="Arial"/>
          <w:iCs w:val="0"/>
        </w:rPr>
      </w:pPr>
      <w:r w:rsidRPr="00CD59CC">
        <w:rPr>
          <w:rFonts w:ascii="Arial" w:hAnsi="Arial" w:cs="Arial"/>
          <w:iCs w:val="0"/>
        </w:rPr>
        <w:t>Other</w:t>
      </w:r>
      <w:r w:rsidR="007B7640" w:rsidRPr="00CD59CC">
        <w:rPr>
          <w:rFonts w:ascii="Arial" w:hAnsi="Arial" w:cs="Arial"/>
          <w:iCs w:val="0"/>
        </w:rPr>
        <w:t xml:space="preserve"> </w:t>
      </w:r>
      <w:r w:rsidRPr="00CD59CC">
        <w:rPr>
          <w:rFonts w:ascii="Arial" w:hAnsi="Arial" w:cs="Arial"/>
          <w:iCs w:val="0"/>
        </w:rPr>
        <w:t>relations</w:t>
      </w:r>
      <w:r w:rsidR="007B7640" w:rsidRPr="00CD59CC">
        <w:rPr>
          <w:rFonts w:ascii="Arial" w:hAnsi="Arial" w:cs="Arial"/>
          <w:iCs w:val="0"/>
        </w:rPr>
        <w:t xml:space="preserve"> </w:t>
      </w:r>
      <w:r w:rsidRPr="00CD59CC">
        <w:rPr>
          <w:rFonts w:ascii="Arial" w:hAnsi="Arial" w:cs="Arial"/>
          <w:iCs w:val="0"/>
        </w:rPr>
        <w:t>aimed</w:t>
      </w:r>
      <w:r w:rsidR="007B7640" w:rsidRPr="00CD59CC">
        <w:rPr>
          <w:rFonts w:ascii="Arial" w:hAnsi="Arial" w:cs="Arial"/>
          <w:iCs w:val="0"/>
        </w:rPr>
        <w:t xml:space="preserve"> </w:t>
      </w:r>
      <w:r w:rsidRPr="00CD59CC">
        <w:rPr>
          <w:rFonts w:ascii="Arial" w:hAnsi="Arial" w:cs="Arial"/>
          <w:iCs w:val="0"/>
        </w:rPr>
        <w:t>at</w:t>
      </w:r>
      <w:r w:rsidR="007B7640" w:rsidRPr="00CD59CC">
        <w:rPr>
          <w:rFonts w:ascii="Arial" w:hAnsi="Arial" w:cs="Arial"/>
          <w:iCs w:val="0"/>
        </w:rPr>
        <w:t xml:space="preserve"> </w:t>
      </w:r>
      <w:r w:rsidRPr="00CD59CC">
        <w:rPr>
          <w:rFonts w:ascii="Arial" w:hAnsi="Arial" w:cs="Arial"/>
          <w:iCs w:val="0"/>
        </w:rPr>
        <w:t>employment</w:t>
      </w:r>
      <w:r w:rsidR="007B7640" w:rsidRPr="00CD59CC">
        <w:rPr>
          <w:rFonts w:ascii="Arial" w:hAnsi="Arial" w:cs="Arial"/>
          <w:iCs w:val="0"/>
        </w:rPr>
        <w:t xml:space="preserve"> </w:t>
      </w:r>
      <w:r w:rsidRPr="00CD59CC">
        <w:rPr>
          <w:rFonts w:ascii="Arial" w:hAnsi="Arial" w:cs="Arial"/>
          <w:iCs w:val="0"/>
        </w:rPr>
        <w:t>(</w:t>
      </w:r>
      <w:r w:rsidRPr="00CD59CC">
        <w:rPr>
          <w:rFonts w:ascii="Arial" w:hAnsi="Arial" w:cs="Arial"/>
          <w:i/>
        </w:rPr>
        <w:t>munkavégzésre</w:t>
      </w:r>
      <w:r w:rsidR="007B7640" w:rsidRPr="00CD59CC">
        <w:rPr>
          <w:rFonts w:ascii="Arial" w:hAnsi="Arial" w:cs="Arial"/>
          <w:i/>
        </w:rPr>
        <w:t xml:space="preserve"> </w:t>
      </w:r>
      <w:r w:rsidRPr="00CD59CC">
        <w:rPr>
          <w:rFonts w:ascii="Arial" w:hAnsi="Arial" w:cs="Arial"/>
          <w:i/>
        </w:rPr>
        <w:t>irányuló</w:t>
      </w:r>
      <w:r w:rsidR="007B7640" w:rsidRPr="00CD59CC">
        <w:rPr>
          <w:rFonts w:ascii="Arial" w:hAnsi="Arial" w:cs="Arial"/>
          <w:i/>
        </w:rPr>
        <w:t xml:space="preserve"> </w:t>
      </w:r>
      <w:r w:rsidRPr="00CD59CC">
        <w:rPr>
          <w:rFonts w:ascii="Arial" w:hAnsi="Arial" w:cs="Arial"/>
          <w:i/>
        </w:rPr>
        <w:t>egyéb</w:t>
      </w:r>
      <w:r w:rsidR="007B7640" w:rsidRPr="00CD59CC">
        <w:rPr>
          <w:rFonts w:ascii="Arial" w:hAnsi="Arial" w:cs="Arial"/>
          <w:i/>
        </w:rPr>
        <w:t xml:space="preserve"> </w:t>
      </w:r>
      <w:r w:rsidRPr="00CD59CC">
        <w:rPr>
          <w:rFonts w:ascii="Arial" w:hAnsi="Arial" w:cs="Arial"/>
          <w:i/>
        </w:rPr>
        <w:t>jogviszony</w:t>
      </w:r>
      <w:r w:rsidRPr="00CD59CC">
        <w:rPr>
          <w:rFonts w:ascii="Arial" w:hAnsi="Arial" w:cs="Arial"/>
          <w:iCs w:val="0"/>
        </w:rPr>
        <w:t>)</w:t>
      </w:r>
      <w:r w:rsidR="007B7640" w:rsidRPr="00CD59CC">
        <w:rPr>
          <w:rFonts w:ascii="Arial" w:hAnsi="Arial" w:cs="Arial"/>
          <w:iCs w:val="0"/>
        </w:rPr>
        <w:t xml:space="preserve"> </w:t>
      </w:r>
      <w:r w:rsidRPr="00CD59CC">
        <w:rPr>
          <w:rFonts w:ascii="Arial" w:hAnsi="Arial" w:cs="Arial"/>
          <w:iCs w:val="0"/>
        </w:rPr>
        <w:t>include</w:t>
      </w:r>
      <w:r w:rsidR="007B7640" w:rsidRPr="00CD59CC">
        <w:rPr>
          <w:rFonts w:ascii="Arial" w:hAnsi="Arial" w:cs="Arial"/>
          <w:iCs w:val="0"/>
        </w:rPr>
        <w:t xml:space="preserve"> </w:t>
      </w:r>
      <w:r w:rsidRPr="00CD59CC">
        <w:rPr>
          <w:rFonts w:ascii="Arial" w:hAnsi="Arial" w:cs="Arial"/>
          <w:iCs w:val="0"/>
        </w:rPr>
        <w:t>home</w:t>
      </w:r>
      <w:r w:rsidR="007B7640" w:rsidRPr="00CD59CC">
        <w:rPr>
          <w:rFonts w:ascii="Arial" w:hAnsi="Arial" w:cs="Arial"/>
          <w:iCs w:val="0"/>
        </w:rPr>
        <w:t xml:space="preserve"> </w:t>
      </w:r>
      <w:r w:rsidRPr="00CD59CC">
        <w:rPr>
          <w:rFonts w:ascii="Arial" w:hAnsi="Arial" w:cs="Arial"/>
          <w:iCs w:val="0"/>
        </w:rPr>
        <w:t>work,</w:t>
      </w:r>
      <w:r w:rsidR="007B7640" w:rsidRPr="00CD59CC">
        <w:rPr>
          <w:rFonts w:ascii="Arial" w:hAnsi="Arial" w:cs="Arial"/>
          <w:iCs w:val="0"/>
        </w:rPr>
        <w:t xml:space="preserve"> </w:t>
      </w:r>
      <w:r w:rsidRPr="00CD59CC">
        <w:rPr>
          <w:rFonts w:ascii="Arial" w:hAnsi="Arial" w:cs="Arial"/>
          <w:iCs w:val="0"/>
        </w:rPr>
        <w:t>the</w:t>
      </w:r>
      <w:r w:rsidR="007B7640" w:rsidRPr="00CD59CC">
        <w:rPr>
          <w:rFonts w:ascii="Arial" w:hAnsi="Arial" w:cs="Arial"/>
          <w:iCs w:val="0"/>
        </w:rPr>
        <w:t xml:space="preserve"> </w:t>
      </w:r>
      <w:r w:rsidRPr="00CD59CC">
        <w:rPr>
          <w:rFonts w:ascii="Arial" w:hAnsi="Arial" w:cs="Arial"/>
          <w:iCs w:val="0"/>
        </w:rPr>
        <w:t>legal</w:t>
      </w:r>
      <w:r w:rsidR="007B7640" w:rsidRPr="00CD59CC">
        <w:rPr>
          <w:rFonts w:ascii="Arial" w:hAnsi="Arial" w:cs="Arial"/>
          <w:iCs w:val="0"/>
        </w:rPr>
        <w:t xml:space="preserve"> </w:t>
      </w:r>
      <w:r w:rsidRPr="00CD59CC">
        <w:rPr>
          <w:rFonts w:ascii="Arial" w:hAnsi="Arial" w:cs="Arial"/>
          <w:iCs w:val="0"/>
        </w:rPr>
        <w:t>relation</w:t>
      </w:r>
      <w:r w:rsidR="007B7640" w:rsidRPr="00CD59CC">
        <w:rPr>
          <w:rFonts w:ascii="Arial" w:hAnsi="Arial" w:cs="Arial"/>
          <w:iCs w:val="0"/>
        </w:rPr>
        <w:t xml:space="preserve"> </w:t>
      </w:r>
      <w:r w:rsidRPr="00CD59CC">
        <w:rPr>
          <w:rFonts w:ascii="Arial" w:hAnsi="Arial" w:cs="Arial"/>
          <w:iCs w:val="0"/>
        </w:rPr>
        <w:t>of</w:t>
      </w:r>
      <w:r w:rsidR="007B7640" w:rsidRPr="00CD59CC">
        <w:rPr>
          <w:rFonts w:ascii="Arial" w:hAnsi="Arial" w:cs="Arial"/>
          <w:iCs w:val="0"/>
        </w:rPr>
        <w:t xml:space="preserve"> </w:t>
      </w:r>
      <w:r w:rsidRPr="00CD59CC">
        <w:rPr>
          <w:rFonts w:ascii="Arial" w:hAnsi="Arial" w:cs="Arial"/>
          <w:iCs w:val="0"/>
        </w:rPr>
        <w:t>independent</w:t>
      </w:r>
      <w:r w:rsidR="007B7640" w:rsidRPr="00CD59CC">
        <w:rPr>
          <w:rFonts w:ascii="Arial" w:hAnsi="Arial" w:cs="Arial"/>
          <w:iCs w:val="0"/>
        </w:rPr>
        <w:t xml:space="preserve"> </w:t>
      </w:r>
      <w:r w:rsidRPr="00CD59CC">
        <w:rPr>
          <w:rFonts w:ascii="Arial" w:hAnsi="Arial" w:cs="Arial"/>
          <w:iCs w:val="0"/>
        </w:rPr>
        <w:t>contractors,</w:t>
      </w:r>
      <w:r w:rsidR="007B7640" w:rsidRPr="00CD59CC">
        <w:rPr>
          <w:rFonts w:ascii="Arial" w:hAnsi="Arial" w:cs="Arial"/>
          <w:iCs w:val="0"/>
        </w:rPr>
        <w:t xml:space="preserve"> </w:t>
      </w:r>
      <w:r w:rsidRPr="00CD59CC">
        <w:rPr>
          <w:rFonts w:ascii="Arial" w:hAnsi="Arial" w:cs="Arial"/>
          <w:iCs w:val="0"/>
        </w:rPr>
        <w:t>lawyers,</w:t>
      </w:r>
      <w:r w:rsidR="007B7640" w:rsidRPr="00CD59CC">
        <w:rPr>
          <w:rFonts w:ascii="Arial" w:hAnsi="Arial" w:cs="Arial"/>
          <w:iCs w:val="0"/>
        </w:rPr>
        <w:t xml:space="preserve"> </w:t>
      </w:r>
      <w:r w:rsidRPr="00CD59CC">
        <w:rPr>
          <w:rFonts w:ascii="Arial" w:hAnsi="Arial" w:cs="Arial"/>
          <w:iCs w:val="0"/>
        </w:rPr>
        <w:t>members</w:t>
      </w:r>
      <w:r w:rsidR="007B7640" w:rsidRPr="00CD59CC">
        <w:rPr>
          <w:rFonts w:ascii="Arial" w:hAnsi="Arial" w:cs="Arial"/>
          <w:iCs w:val="0"/>
        </w:rPr>
        <w:t xml:space="preserve"> </w:t>
      </w:r>
      <w:r w:rsidRPr="00CD59CC">
        <w:rPr>
          <w:rFonts w:ascii="Arial" w:hAnsi="Arial" w:cs="Arial"/>
          <w:iCs w:val="0"/>
        </w:rPr>
        <w:t>of</w:t>
      </w:r>
      <w:r w:rsidR="007B7640" w:rsidRPr="00CD59CC">
        <w:rPr>
          <w:rFonts w:ascii="Arial" w:hAnsi="Arial" w:cs="Arial"/>
          <w:iCs w:val="0"/>
        </w:rPr>
        <w:t xml:space="preserve"> </w:t>
      </w:r>
      <w:r w:rsidRPr="00CD59CC">
        <w:rPr>
          <w:rFonts w:ascii="Arial" w:hAnsi="Arial" w:cs="Arial"/>
          <w:iCs w:val="0"/>
        </w:rPr>
        <w:t>a</w:t>
      </w:r>
      <w:r w:rsidR="007B7640" w:rsidRPr="00CD59CC">
        <w:rPr>
          <w:rFonts w:ascii="Arial" w:hAnsi="Arial" w:cs="Arial"/>
          <w:iCs w:val="0"/>
        </w:rPr>
        <w:t xml:space="preserve"> </w:t>
      </w:r>
      <w:r w:rsidRPr="00CD59CC">
        <w:rPr>
          <w:rFonts w:ascii="Arial" w:hAnsi="Arial" w:cs="Arial"/>
          <w:iCs w:val="0"/>
        </w:rPr>
        <w:t>specialised</w:t>
      </w:r>
      <w:r w:rsidR="007B7640" w:rsidRPr="00CD59CC">
        <w:rPr>
          <w:rFonts w:ascii="Arial" w:hAnsi="Arial" w:cs="Arial"/>
          <w:iCs w:val="0"/>
        </w:rPr>
        <w:t xml:space="preserve"> </w:t>
      </w:r>
      <w:r w:rsidRPr="00CD59CC">
        <w:rPr>
          <w:rFonts w:ascii="Arial" w:hAnsi="Arial" w:cs="Arial"/>
          <w:iCs w:val="0"/>
        </w:rPr>
        <w:t>agricultural</w:t>
      </w:r>
      <w:r w:rsidR="007B7640" w:rsidRPr="00CD59CC">
        <w:rPr>
          <w:rFonts w:ascii="Arial" w:hAnsi="Arial" w:cs="Arial"/>
          <w:iCs w:val="0"/>
        </w:rPr>
        <w:t xml:space="preserve"> </w:t>
      </w:r>
      <w:r w:rsidRPr="00CD59CC">
        <w:rPr>
          <w:rFonts w:ascii="Arial" w:hAnsi="Arial" w:cs="Arial"/>
          <w:iCs w:val="0"/>
        </w:rPr>
        <w:t>or</w:t>
      </w:r>
      <w:r w:rsidR="007B7640" w:rsidRPr="00CD59CC">
        <w:rPr>
          <w:rFonts w:ascii="Arial" w:hAnsi="Arial" w:cs="Arial"/>
          <w:iCs w:val="0"/>
        </w:rPr>
        <w:t xml:space="preserve"> </w:t>
      </w:r>
      <w:r w:rsidRPr="00CD59CC">
        <w:rPr>
          <w:rFonts w:ascii="Arial" w:hAnsi="Arial" w:cs="Arial"/>
          <w:iCs w:val="0"/>
        </w:rPr>
        <w:t>producers’</w:t>
      </w:r>
      <w:r w:rsidR="007B7640" w:rsidRPr="00CD59CC">
        <w:rPr>
          <w:rFonts w:ascii="Arial" w:hAnsi="Arial" w:cs="Arial"/>
          <w:iCs w:val="0"/>
        </w:rPr>
        <w:t xml:space="preserve"> </w:t>
      </w:r>
      <w:r w:rsidRPr="00CD59CC">
        <w:rPr>
          <w:rFonts w:ascii="Arial" w:hAnsi="Arial" w:cs="Arial"/>
          <w:iCs w:val="0"/>
        </w:rPr>
        <w:t>group,</w:t>
      </w:r>
      <w:r w:rsidR="007B7640" w:rsidRPr="00CD59CC">
        <w:rPr>
          <w:rFonts w:ascii="Arial" w:hAnsi="Arial" w:cs="Arial"/>
          <w:iCs w:val="0"/>
        </w:rPr>
        <w:t xml:space="preserve"> </w:t>
      </w:r>
      <w:r w:rsidRPr="00CD59CC">
        <w:rPr>
          <w:rFonts w:ascii="Arial" w:hAnsi="Arial" w:cs="Arial"/>
          <w:iCs w:val="0"/>
        </w:rPr>
        <w:t>members</w:t>
      </w:r>
      <w:r w:rsidR="007B7640" w:rsidRPr="00CD59CC">
        <w:rPr>
          <w:rFonts w:ascii="Arial" w:hAnsi="Arial" w:cs="Arial"/>
          <w:iCs w:val="0"/>
        </w:rPr>
        <w:t xml:space="preserve"> </w:t>
      </w:r>
      <w:r w:rsidRPr="00CD59CC">
        <w:rPr>
          <w:rFonts w:ascii="Arial" w:hAnsi="Arial" w:cs="Arial"/>
          <w:iCs w:val="0"/>
        </w:rPr>
        <w:t>of</w:t>
      </w:r>
      <w:r w:rsidR="007B7640" w:rsidRPr="00CD59CC">
        <w:rPr>
          <w:rFonts w:ascii="Arial" w:hAnsi="Arial" w:cs="Arial"/>
          <w:iCs w:val="0"/>
        </w:rPr>
        <w:t xml:space="preserve"> </w:t>
      </w:r>
      <w:r w:rsidRPr="00CD59CC">
        <w:rPr>
          <w:rFonts w:ascii="Arial" w:hAnsi="Arial" w:cs="Arial"/>
          <w:iCs w:val="0"/>
        </w:rPr>
        <w:t>a</w:t>
      </w:r>
      <w:r w:rsidR="007B7640" w:rsidRPr="00CD59CC">
        <w:rPr>
          <w:rFonts w:ascii="Arial" w:hAnsi="Arial" w:cs="Arial"/>
          <w:iCs w:val="0"/>
        </w:rPr>
        <w:t xml:space="preserve"> </w:t>
      </w:r>
      <w:r w:rsidRPr="00CD59CC">
        <w:rPr>
          <w:rFonts w:ascii="Arial" w:hAnsi="Arial" w:cs="Arial"/>
          <w:iCs w:val="0"/>
        </w:rPr>
        <w:t>cooperative,</w:t>
      </w:r>
      <w:r w:rsidR="007B7640" w:rsidRPr="00CD59CC">
        <w:rPr>
          <w:rFonts w:ascii="Arial" w:hAnsi="Arial" w:cs="Arial"/>
          <w:iCs w:val="0"/>
        </w:rPr>
        <w:t xml:space="preserve"> </w:t>
      </w:r>
      <w:r w:rsidRPr="00CD59CC">
        <w:rPr>
          <w:rFonts w:ascii="Arial" w:hAnsi="Arial" w:cs="Arial"/>
          <w:iCs w:val="0"/>
        </w:rPr>
        <w:t>and</w:t>
      </w:r>
      <w:r w:rsidR="007B7640" w:rsidRPr="00CD59CC">
        <w:rPr>
          <w:rFonts w:ascii="Arial" w:hAnsi="Arial" w:cs="Arial"/>
          <w:iCs w:val="0"/>
        </w:rPr>
        <w:t xml:space="preserve"> </w:t>
      </w:r>
      <w:r w:rsidRPr="00CD59CC">
        <w:rPr>
          <w:rFonts w:ascii="Arial" w:hAnsi="Arial" w:cs="Arial"/>
          <w:iCs w:val="0"/>
        </w:rPr>
        <w:t>the</w:t>
      </w:r>
      <w:r w:rsidR="007B7640" w:rsidRPr="00CD59CC">
        <w:rPr>
          <w:rFonts w:ascii="Arial" w:hAnsi="Arial" w:cs="Arial"/>
          <w:iCs w:val="0"/>
        </w:rPr>
        <w:t xml:space="preserve"> </w:t>
      </w:r>
      <w:r w:rsidRPr="00CD59CC">
        <w:rPr>
          <w:rFonts w:ascii="Arial" w:hAnsi="Arial" w:cs="Arial"/>
          <w:iCs w:val="0"/>
        </w:rPr>
        <w:t>elements</w:t>
      </w:r>
      <w:r w:rsidR="007B7640" w:rsidRPr="00CD59CC">
        <w:rPr>
          <w:rFonts w:ascii="Arial" w:hAnsi="Arial" w:cs="Arial"/>
          <w:iCs w:val="0"/>
        </w:rPr>
        <w:t xml:space="preserve"> </w:t>
      </w:r>
      <w:r w:rsidRPr="00CD59CC">
        <w:rPr>
          <w:rFonts w:ascii="Arial" w:hAnsi="Arial" w:cs="Arial"/>
          <w:iCs w:val="0"/>
        </w:rPr>
        <w:t>of</w:t>
      </w:r>
      <w:r w:rsidR="007B7640" w:rsidRPr="00CD59CC">
        <w:rPr>
          <w:rFonts w:ascii="Arial" w:hAnsi="Arial" w:cs="Arial"/>
          <w:iCs w:val="0"/>
        </w:rPr>
        <w:t xml:space="preserve"> </w:t>
      </w:r>
      <w:r w:rsidRPr="00CD59CC">
        <w:rPr>
          <w:rFonts w:ascii="Arial" w:hAnsi="Arial" w:cs="Arial"/>
          <w:iCs w:val="0"/>
        </w:rPr>
        <w:t>a</w:t>
      </w:r>
      <w:r w:rsidR="007B7640" w:rsidRPr="00CD59CC">
        <w:rPr>
          <w:rFonts w:ascii="Arial" w:hAnsi="Arial" w:cs="Arial"/>
          <w:iCs w:val="0"/>
        </w:rPr>
        <w:t xml:space="preserve"> </w:t>
      </w:r>
      <w:r w:rsidRPr="00CD59CC">
        <w:rPr>
          <w:rFonts w:ascii="Arial" w:hAnsi="Arial" w:cs="Arial"/>
          <w:iCs w:val="0"/>
        </w:rPr>
        <w:t>company</w:t>
      </w:r>
      <w:r w:rsidR="007B7640" w:rsidRPr="00CD59CC">
        <w:rPr>
          <w:rFonts w:ascii="Arial" w:hAnsi="Arial" w:cs="Arial"/>
          <w:iCs w:val="0"/>
        </w:rPr>
        <w:t xml:space="preserve"> </w:t>
      </w:r>
      <w:r w:rsidRPr="00CD59CC">
        <w:rPr>
          <w:rFonts w:ascii="Arial" w:hAnsi="Arial" w:cs="Arial"/>
          <w:iCs w:val="0"/>
        </w:rPr>
        <w:t>or</w:t>
      </w:r>
      <w:r w:rsidR="007B7640" w:rsidRPr="00CD59CC">
        <w:rPr>
          <w:rFonts w:ascii="Arial" w:hAnsi="Arial" w:cs="Arial"/>
          <w:iCs w:val="0"/>
        </w:rPr>
        <w:t xml:space="preserve"> </w:t>
      </w:r>
      <w:r w:rsidRPr="00CD59CC">
        <w:rPr>
          <w:rFonts w:ascii="Arial" w:hAnsi="Arial" w:cs="Arial"/>
          <w:iCs w:val="0"/>
        </w:rPr>
        <w:t>civil</w:t>
      </w:r>
      <w:r w:rsidR="007B7640" w:rsidRPr="00CD59CC">
        <w:rPr>
          <w:rFonts w:ascii="Arial" w:hAnsi="Arial" w:cs="Arial"/>
          <w:iCs w:val="0"/>
        </w:rPr>
        <w:t xml:space="preserve"> </w:t>
      </w:r>
      <w:r w:rsidRPr="00CD59CC">
        <w:rPr>
          <w:rFonts w:ascii="Arial" w:hAnsi="Arial" w:cs="Arial"/>
          <w:iCs w:val="0"/>
        </w:rPr>
        <w:t>law</w:t>
      </w:r>
      <w:r w:rsidR="007B7640" w:rsidRPr="00CD59CC">
        <w:rPr>
          <w:rFonts w:ascii="Arial" w:hAnsi="Arial" w:cs="Arial"/>
          <w:iCs w:val="0"/>
        </w:rPr>
        <w:t xml:space="preserve"> </w:t>
      </w:r>
      <w:r w:rsidRPr="00CD59CC">
        <w:rPr>
          <w:rFonts w:ascii="Arial" w:hAnsi="Arial" w:cs="Arial"/>
          <w:iCs w:val="0"/>
        </w:rPr>
        <w:t>based</w:t>
      </w:r>
      <w:r w:rsidR="007B7640" w:rsidRPr="00CD59CC">
        <w:rPr>
          <w:rFonts w:ascii="Arial" w:hAnsi="Arial" w:cs="Arial"/>
          <w:iCs w:val="0"/>
        </w:rPr>
        <w:t xml:space="preserve"> </w:t>
      </w:r>
      <w:r w:rsidRPr="00CD59CC">
        <w:rPr>
          <w:rFonts w:ascii="Arial" w:hAnsi="Arial" w:cs="Arial"/>
          <w:iCs w:val="0"/>
        </w:rPr>
        <w:t>activity</w:t>
      </w:r>
      <w:r w:rsidR="007B7640" w:rsidRPr="00CD59CC">
        <w:rPr>
          <w:rFonts w:ascii="Arial" w:hAnsi="Arial" w:cs="Arial"/>
          <w:iCs w:val="0"/>
        </w:rPr>
        <w:t xml:space="preserve"> </w:t>
      </w:r>
      <w:r w:rsidRPr="00CD59CC">
        <w:rPr>
          <w:rFonts w:ascii="Arial" w:hAnsi="Arial" w:cs="Arial"/>
          <w:iCs w:val="0"/>
        </w:rPr>
        <w:t>aimed</w:t>
      </w:r>
      <w:r w:rsidR="007B7640" w:rsidRPr="00CD59CC">
        <w:rPr>
          <w:rFonts w:ascii="Arial" w:hAnsi="Arial" w:cs="Arial"/>
          <w:iCs w:val="0"/>
        </w:rPr>
        <w:t xml:space="preserve"> </w:t>
      </w:r>
      <w:r w:rsidRPr="00CD59CC">
        <w:rPr>
          <w:rFonts w:ascii="Arial" w:hAnsi="Arial" w:cs="Arial"/>
          <w:iCs w:val="0"/>
        </w:rPr>
        <w:t>at</w:t>
      </w:r>
      <w:r w:rsidR="007B7640" w:rsidRPr="00CD59CC">
        <w:rPr>
          <w:rFonts w:ascii="Arial" w:hAnsi="Arial" w:cs="Arial"/>
          <w:iCs w:val="0"/>
        </w:rPr>
        <w:t xml:space="preserve"> </w:t>
      </w:r>
      <w:r w:rsidRPr="00CD59CC">
        <w:rPr>
          <w:rFonts w:ascii="Arial" w:hAnsi="Arial" w:cs="Arial"/>
          <w:iCs w:val="0"/>
        </w:rPr>
        <w:t>performing</w:t>
      </w:r>
      <w:r w:rsidR="007B7640" w:rsidRPr="00CD59CC">
        <w:rPr>
          <w:rFonts w:ascii="Arial" w:hAnsi="Arial" w:cs="Arial"/>
          <w:iCs w:val="0"/>
        </w:rPr>
        <w:t xml:space="preserve"> </w:t>
      </w:r>
      <w:r w:rsidRPr="00CD59CC">
        <w:rPr>
          <w:rFonts w:ascii="Arial" w:hAnsi="Arial" w:cs="Arial"/>
          <w:iCs w:val="0"/>
        </w:rPr>
        <w:t>work.</w:t>
      </w:r>
      <w:r w:rsidR="007B7640" w:rsidRPr="00CD59CC">
        <w:rPr>
          <w:rFonts w:ascii="Arial" w:hAnsi="Arial" w:cs="Arial"/>
          <w:iCs w:val="0"/>
        </w:rPr>
        <w:t xml:space="preserve"> </w:t>
      </w:r>
    </w:p>
    <w:p w14:paraId="624C75E5" w14:textId="77777777" w:rsidR="0000609D" w:rsidRPr="00CD59CC" w:rsidRDefault="0000609D" w:rsidP="00CD59CC">
      <w:pPr>
        <w:pStyle w:val="Szvegtrzs21"/>
        <w:jc w:val="left"/>
        <w:rPr>
          <w:rFonts w:ascii="Arial" w:hAnsi="Arial" w:cs="Arial"/>
          <w:iCs w:val="0"/>
        </w:rPr>
      </w:pPr>
    </w:p>
    <w:p w14:paraId="2A53C91B" w14:textId="77777777" w:rsidR="0000609D" w:rsidRPr="00CD59CC" w:rsidRDefault="0000609D" w:rsidP="00CD59CC">
      <w:pPr>
        <w:pStyle w:val="Szvegtrzs21"/>
        <w:jc w:val="left"/>
        <w:rPr>
          <w:rFonts w:ascii="Arial" w:hAnsi="Arial" w:cs="Arial"/>
          <w:iCs w:val="0"/>
        </w:rPr>
      </w:pPr>
      <w:r w:rsidRPr="00CD59CC">
        <w:rPr>
          <w:rFonts w:ascii="Arial" w:hAnsi="Arial" w:cs="Arial"/>
          <w:iCs w:val="0"/>
        </w:rPr>
        <w:t>Article</w:t>
      </w:r>
      <w:r w:rsidR="007B7640" w:rsidRPr="00CD59CC">
        <w:rPr>
          <w:rFonts w:ascii="Arial" w:hAnsi="Arial" w:cs="Arial"/>
          <w:iCs w:val="0"/>
        </w:rPr>
        <w:t xml:space="preserve"> </w:t>
      </w:r>
      <w:r w:rsidRPr="00CD59CC">
        <w:rPr>
          <w:rFonts w:ascii="Arial" w:hAnsi="Arial" w:cs="Arial"/>
          <w:iCs w:val="0"/>
        </w:rPr>
        <w:t>21</w:t>
      </w:r>
      <w:r w:rsidR="007B7640" w:rsidRPr="00CD59CC">
        <w:rPr>
          <w:rFonts w:ascii="Arial" w:hAnsi="Arial" w:cs="Arial"/>
          <w:iCs w:val="0"/>
        </w:rPr>
        <w:t xml:space="preserve"> </w:t>
      </w:r>
      <w:r w:rsidRPr="00CD59CC">
        <w:rPr>
          <w:rFonts w:ascii="Arial" w:hAnsi="Arial" w:cs="Arial"/>
          <w:iCs w:val="0"/>
        </w:rPr>
        <w:t>prescribes</w:t>
      </w:r>
      <w:r w:rsidR="007B7640" w:rsidRPr="00CD59CC">
        <w:rPr>
          <w:rFonts w:ascii="Arial" w:hAnsi="Arial" w:cs="Arial"/>
          <w:iCs w:val="0"/>
        </w:rPr>
        <w:t xml:space="preserve"> </w:t>
      </w:r>
      <w:r w:rsidRPr="00CD59CC">
        <w:rPr>
          <w:rFonts w:ascii="Arial" w:hAnsi="Arial" w:cs="Arial"/>
          <w:iCs w:val="0"/>
        </w:rPr>
        <w:t>that</w:t>
      </w:r>
      <w:r w:rsidR="007B7640" w:rsidRPr="00CD59CC">
        <w:rPr>
          <w:rFonts w:ascii="Arial" w:hAnsi="Arial" w:cs="Arial"/>
          <w:iCs w:val="0"/>
        </w:rPr>
        <w:t xml:space="preserve"> </w:t>
      </w:r>
      <w:r w:rsidRPr="00CD59CC">
        <w:rPr>
          <w:rFonts w:ascii="Arial" w:hAnsi="Arial" w:cs="Arial"/>
          <w:iCs w:val="0"/>
        </w:rPr>
        <w:t>the</w:t>
      </w:r>
      <w:r w:rsidR="007B7640" w:rsidRPr="00CD59CC">
        <w:rPr>
          <w:rFonts w:ascii="Arial" w:hAnsi="Arial" w:cs="Arial"/>
          <w:iCs w:val="0"/>
        </w:rPr>
        <w:t xml:space="preserve"> </w:t>
      </w:r>
      <w:r w:rsidRPr="00CD59CC">
        <w:rPr>
          <w:rFonts w:ascii="Arial" w:hAnsi="Arial" w:cs="Arial"/>
          <w:iCs w:val="0"/>
        </w:rPr>
        <w:t>principle</w:t>
      </w:r>
      <w:r w:rsidR="007B7640" w:rsidRPr="00CD59CC">
        <w:rPr>
          <w:rFonts w:ascii="Arial" w:hAnsi="Arial" w:cs="Arial"/>
          <w:iCs w:val="0"/>
        </w:rPr>
        <w:t xml:space="preserve"> </w:t>
      </w:r>
      <w:r w:rsidRPr="00CD59CC">
        <w:rPr>
          <w:rFonts w:ascii="Arial" w:hAnsi="Arial" w:cs="Arial"/>
          <w:iCs w:val="0"/>
        </w:rPr>
        <w:t>of</w:t>
      </w:r>
      <w:r w:rsidR="007B7640" w:rsidRPr="00CD59CC">
        <w:rPr>
          <w:rFonts w:ascii="Arial" w:hAnsi="Arial" w:cs="Arial"/>
          <w:iCs w:val="0"/>
        </w:rPr>
        <w:t xml:space="preserve"> </w:t>
      </w:r>
      <w:r w:rsidRPr="00CD59CC">
        <w:rPr>
          <w:rFonts w:ascii="Arial" w:hAnsi="Arial" w:cs="Arial"/>
          <w:iCs w:val="0"/>
        </w:rPr>
        <w:t>equal</w:t>
      </w:r>
      <w:r w:rsidR="007B7640" w:rsidRPr="00CD59CC">
        <w:rPr>
          <w:rFonts w:ascii="Arial" w:hAnsi="Arial" w:cs="Arial"/>
          <w:iCs w:val="0"/>
        </w:rPr>
        <w:t xml:space="preserve"> </w:t>
      </w:r>
      <w:r w:rsidRPr="00CD59CC">
        <w:rPr>
          <w:rFonts w:ascii="Arial" w:hAnsi="Arial" w:cs="Arial"/>
          <w:iCs w:val="0"/>
        </w:rPr>
        <w:t>treatment</w:t>
      </w:r>
      <w:r w:rsidR="007B7640" w:rsidRPr="00CD59CC">
        <w:rPr>
          <w:rFonts w:ascii="Arial" w:hAnsi="Arial" w:cs="Arial"/>
          <w:iCs w:val="0"/>
        </w:rPr>
        <w:t xml:space="preserve"> </w:t>
      </w:r>
      <w:r w:rsidRPr="00CD59CC">
        <w:rPr>
          <w:rFonts w:ascii="Arial" w:hAnsi="Arial" w:cs="Arial"/>
          <w:iCs w:val="0"/>
        </w:rPr>
        <w:t>shall</w:t>
      </w:r>
      <w:r w:rsidR="007B7640" w:rsidRPr="00CD59CC">
        <w:rPr>
          <w:rFonts w:ascii="Arial" w:hAnsi="Arial" w:cs="Arial"/>
          <w:iCs w:val="0"/>
        </w:rPr>
        <w:t xml:space="preserve"> </w:t>
      </w:r>
      <w:r w:rsidRPr="00CD59CC">
        <w:rPr>
          <w:rFonts w:ascii="Arial" w:hAnsi="Arial" w:cs="Arial"/>
          <w:iCs w:val="0"/>
        </w:rPr>
        <w:t>be</w:t>
      </w:r>
      <w:r w:rsidR="007B7640" w:rsidRPr="00CD59CC">
        <w:rPr>
          <w:rFonts w:ascii="Arial" w:hAnsi="Arial" w:cs="Arial"/>
          <w:iCs w:val="0"/>
        </w:rPr>
        <w:t xml:space="preserve"> </w:t>
      </w:r>
      <w:r w:rsidRPr="00CD59CC">
        <w:rPr>
          <w:rFonts w:ascii="Arial" w:hAnsi="Arial" w:cs="Arial"/>
          <w:iCs w:val="0"/>
        </w:rPr>
        <w:t>respected</w:t>
      </w:r>
      <w:r w:rsidR="007B7640" w:rsidRPr="00CD59CC">
        <w:rPr>
          <w:rFonts w:ascii="Arial" w:hAnsi="Arial" w:cs="Arial"/>
          <w:iCs w:val="0"/>
        </w:rPr>
        <w:t xml:space="preserve"> </w:t>
      </w:r>
      <w:r w:rsidRPr="00CD59CC">
        <w:rPr>
          <w:rFonts w:ascii="Arial" w:hAnsi="Arial" w:cs="Arial"/>
          <w:iCs w:val="0"/>
        </w:rPr>
        <w:t>in</w:t>
      </w:r>
      <w:r w:rsidR="007B7640" w:rsidRPr="00CD59CC">
        <w:rPr>
          <w:rFonts w:ascii="Arial" w:hAnsi="Arial" w:cs="Arial"/>
          <w:iCs w:val="0"/>
        </w:rPr>
        <w:t xml:space="preserve"> </w:t>
      </w:r>
      <w:r w:rsidRPr="00CD59CC">
        <w:rPr>
          <w:rFonts w:ascii="Arial" w:hAnsi="Arial" w:cs="Arial"/>
          <w:iCs w:val="0"/>
        </w:rPr>
        <w:t>relation</w:t>
      </w:r>
      <w:r w:rsidR="007B7640" w:rsidRPr="00CD59CC">
        <w:rPr>
          <w:rFonts w:ascii="Arial" w:hAnsi="Arial" w:cs="Arial"/>
          <w:iCs w:val="0"/>
        </w:rPr>
        <w:t xml:space="preserve"> </w:t>
      </w:r>
      <w:r w:rsidRPr="00CD59CC">
        <w:rPr>
          <w:rFonts w:ascii="Arial" w:hAnsi="Arial" w:cs="Arial"/>
          <w:iCs w:val="0"/>
        </w:rPr>
        <w:t>to:</w:t>
      </w:r>
      <w:r w:rsidR="007B7640" w:rsidRPr="00CD59CC">
        <w:rPr>
          <w:rFonts w:ascii="Arial" w:hAnsi="Arial" w:cs="Arial"/>
          <w:iCs w:val="0"/>
        </w:rPr>
        <w:t xml:space="preserve"> </w:t>
      </w:r>
    </w:p>
    <w:p w14:paraId="6B56CE66" w14:textId="77777777" w:rsidR="0000609D" w:rsidRPr="00CD59CC" w:rsidRDefault="0000609D" w:rsidP="00CD59CC">
      <w:pPr>
        <w:pStyle w:val="Szvegtrzs21"/>
        <w:jc w:val="left"/>
        <w:rPr>
          <w:rFonts w:ascii="Arial" w:hAnsi="Arial" w:cs="Arial"/>
          <w:iCs w:val="0"/>
        </w:rPr>
      </w:pPr>
    </w:p>
    <w:p w14:paraId="7C3904BB" w14:textId="77777777" w:rsidR="0000609D" w:rsidRPr="00CD59CC" w:rsidRDefault="0000609D" w:rsidP="007B4138">
      <w:pPr>
        <w:pStyle w:val="Szvegtrzs21"/>
        <w:numPr>
          <w:ilvl w:val="0"/>
          <w:numId w:val="51"/>
        </w:numPr>
        <w:tabs>
          <w:tab w:val="clear" w:pos="720"/>
          <w:tab w:val="num" w:pos="567"/>
        </w:tabs>
        <w:ind w:left="567" w:hanging="567"/>
        <w:jc w:val="left"/>
        <w:rPr>
          <w:rFonts w:ascii="Arial" w:hAnsi="Arial" w:cs="Arial"/>
          <w:iCs w:val="0"/>
        </w:rPr>
      </w:pPr>
      <w:r w:rsidRPr="00CD59CC">
        <w:rPr>
          <w:rFonts w:ascii="Arial" w:hAnsi="Arial" w:cs="Arial"/>
          <w:iCs w:val="0"/>
        </w:rPr>
        <w:t>access</w:t>
      </w:r>
      <w:r w:rsidR="007B7640" w:rsidRPr="00CD59CC">
        <w:rPr>
          <w:rFonts w:ascii="Arial" w:hAnsi="Arial" w:cs="Arial"/>
          <w:iCs w:val="0"/>
        </w:rPr>
        <w:t xml:space="preserve"> </w:t>
      </w:r>
      <w:r w:rsidRPr="00CD59CC">
        <w:rPr>
          <w:rFonts w:ascii="Arial" w:hAnsi="Arial" w:cs="Arial"/>
          <w:iCs w:val="0"/>
        </w:rPr>
        <w:t>to</w:t>
      </w:r>
      <w:r w:rsidR="007B7640" w:rsidRPr="00CD59CC">
        <w:rPr>
          <w:rFonts w:ascii="Arial" w:hAnsi="Arial" w:cs="Arial"/>
          <w:iCs w:val="0"/>
        </w:rPr>
        <w:t xml:space="preserve"> </w:t>
      </w:r>
      <w:r w:rsidRPr="00CD59CC">
        <w:rPr>
          <w:rFonts w:ascii="Arial" w:hAnsi="Arial" w:cs="Arial"/>
          <w:iCs w:val="0"/>
        </w:rPr>
        <w:t>employment,</w:t>
      </w:r>
      <w:r w:rsidR="007B7640" w:rsidRPr="00CD59CC">
        <w:rPr>
          <w:rFonts w:ascii="Arial" w:hAnsi="Arial" w:cs="Arial"/>
          <w:iCs w:val="0"/>
        </w:rPr>
        <w:t xml:space="preserve"> </w:t>
      </w:r>
      <w:r w:rsidRPr="00CD59CC">
        <w:rPr>
          <w:rFonts w:ascii="Arial" w:hAnsi="Arial" w:cs="Arial"/>
          <w:iCs w:val="0"/>
        </w:rPr>
        <w:t>including</w:t>
      </w:r>
      <w:r w:rsidR="007B7640" w:rsidRPr="00CD59CC">
        <w:rPr>
          <w:rFonts w:ascii="Arial" w:hAnsi="Arial" w:cs="Arial"/>
          <w:iCs w:val="0"/>
        </w:rPr>
        <w:t xml:space="preserve"> </w:t>
      </w:r>
      <w:r w:rsidRPr="00CD59CC">
        <w:rPr>
          <w:rFonts w:ascii="Arial" w:hAnsi="Arial" w:cs="Arial"/>
          <w:iCs w:val="0"/>
        </w:rPr>
        <w:t>public</w:t>
      </w:r>
      <w:r w:rsidR="007B7640" w:rsidRPr="00CD59CC">
        <w:rPr>
          <w:rFonts w:ascii="Arial" w:hAnsi="Arial" w:cs="Arial"/>
          <w:iCs w:val="0"/>
        </w:rPr>
        <w:t xml:space="preserve"> </w:t>
      </w:r>
      <w:r w:rsidRPr="00CD59CC">
        <w:rPr>
          <w:rFonts w:ascii="Arial" w:hAnsi="Arial" w:cs="Arial"/>
          <w:iCs w:val="0"/>
        </w:rPr>
        <w:t>job</w:t>
      </w:r>
      <w:r w:rsidR="007B7640" w:rsidRPr="00CD59CC">
        <w:rPr>
          <w:rFonts w:ascii="Arial" w:hAnsi="Arial" w:cs="Arial"/>
          <w:iCs w:val="0"/>
        </w:rPr>
        <w:t xml:space="preserve"> </w:t>
      </w:r>
      <w:r w:rsidRPr="00CD59CC">
        <w:rPr>
          <w:rFonts w:ascii="Arial" w:hAnsi="Arial" w:cs="Arial"/>
          <w:iCs w:val="0"/>
        </w:rPr>
        <w:t>announcements</w:t>
      </w:r>
      <w:r w:rsidR="007B7640" w:rsidRPr="00CD59CC">
        <w:rPr>
          <w:rFonts w:ascii="Arial" w:hAnsi="Arial" w:cs="Arial"/>
          <w:iCs w:val="0"/>
        </w:rPr>
        <w:t xml:space="preserve"> </w:t>
      </w:r>
      <w:r w:rsidRPr="00CD59CC">
        <w:rPr>
          <w:rFonts w:ascii="Arial" w:hAnsi="Arial" w:cs="Arial"/>
          <w:iCs w:val="0"/>
        </w:rPr>
        <w:t>and</w:t>
      </w:r>
      <w:r w:rsidR="007B7640" w:rsidRPr="00CD59CC">
        <w:rPr>
          <w:rFonts w:ascii="Arial" w:hAnsi="Arial" w:cs="Arial"/>
          <w:iCs w:val="0"/>
        </w:rPr>
        <w:t xml:space="preserve"> </w:t>
      </w:r>
      <w:r w:rsidRPr="00CD59CC">
        <w:rPr>
          <w:rFonts w:ascii="Arial" w:hAnsi="Arial" w:cs="Arial"/>
          <w:iCs w:val="0"/>
        </w:rPr>
        <w:t>selections</w:t>
      </w:r>
      <w:r w:rsidR="007B7640" w:rsidRPr="00CD59CC">
        <w:rPr>
          <w:rFonts w:ascii="Arial" w:hAnsi="Arial" w:cs="Arial"/>
          <w:iCs w:val="0"/>
        </w:rPr>
        <w:t xml:space="preserve"> </w:t>
      </w:r>
      <w:r w:rsidRPr="00CD59CC">
        <w:rPr>
          <w:rFonts w:ascii="Arial" w:hAnsi="Arial" w:cs="Arial"/>
          <w:iCs w:val="0"/>
        </w:rPr>
        <w:t>criteria;</w:t>
      </w:r>
    </w:p>
    <w:p w14:paraId="32776681" w14:textId="77777777" w:rsidR="0000609D" w:rsidRPr="00CD59CC" w:rsidRDefault="0000609D" w:rsidP="007B4138">
      <w:pPr>
        <w:pStyle w:val="Szvegtrzs21"/>
        <w:numPr>
          <w:ilvl w:val="0"/>
          <w:numId w:val="51"/>
        </w:numPr>
        <w:tabs>
          <w:tab w:val="clear" w:pos="720"/>
          <w:tab w:val="num" w:pos="567"/>
        </w:tabs>
        <w:ind w:left="567" w:hanging="567"/>
        <w:jc w:val="left"/>
        <w:rPr>
          <w:rFonts w:ascii="Arial" w:hAnsi="Arial" w:cs="Arial"/>
          <w:iCs w:val="0"/>
        </w:rPr>
      </w:pPr>
      <w:r w:rsidRPr="00CD59CC">
        <w:rPr>
          <w:rFonts w:ascii="Arial" w:hAnsi="Arial" w:cs="Arial"/>
          <w:iCs w:val="0"/>
        </w:rPr>
        <w:t>actions</w:t>
      </w:r>
      <w:r w:rsidR="007B7640" w:rsidRPr="00CD59CC">
        <w:rPr>
          <w:rFonts w:ascii="Arial" w:hAnsi="Arial" w:cs="Arial"/>
          <w:iCs w:val="0"/>
        </w:rPr>
        <w:t xml:space="preserve"> </w:t>
      </w:r>
      <w:r w:rsidRPr="00CD59CC">
        <w:rPr>
          <w:rFonts w:ascii="Arial" w:hAnsi="Arial" w:cs="Arial"/>
          <w:iCs w:val="0"/>
        </w:rPr>
        <w:t>leading</w:t>
      </w:r>
      <w:r w:rsidR="007B7640" w:rsidRPr="00CD59CC">
        <w:rPr>
          <w:rFonts w:ascii="Arial" w:hAnsi="Arial" w:cs="Arial"/>
          <w:iCs w:val="0"/>
        </w:rPr>
        <w:t xml:space="preserve"> </w:t>
      </w:r>
      <w:r w:rsidRPr="00CD59CC">
        <w:rPr>
          <w:rFonts w:ascii="Arial" w:hAnsi="Arial" w:cs="Arial"/>
          <w:iCs w:val="0"/>
        </w:rPr>
        <w:t>up</w:t>
      </w:r>
      <w:r w:rsidR="007B7640" w:rsidRPr="00CD59CC">
        <w:rPr>
          <w:rFonts w:ascii="Arial" w:hAnsi="Arial" w:cs="Arial"/>
          <w:iCs w:val="0"/>
        </w:rPr>
        <w:t xml:space="preserve"> </w:t>
      </w:r>
      <w:r w:rsidRPr="00CD59CC">
        <w:rPr>
          <w:rFonts w:ascii="Arial" w:hAnsi="Arial" w:cs="Arial"/>
          <w:iCs w:val="0"/>
        </w:rPr>
        <w:t>to</w:t>
      </w:r>
      <w:r w:rsidR="007B7640" w:rsidRPr="00CD59CC">
        <w:rPr>
          <w:rFonts w:ascii="Arial" w:hAnsi="Arial" w:cs="Arial"/>
          <w:iCs w:val="0"/>
        </w:rPr>
        <w:t xml:space="preserve"> </w:t>
      </w:r>
      <w:r w:rsidRPr="00CD59CC">
        <w:rPr>
          <w:rFonts w:ascii="Arial" w:hAnsi="Arial" w:cs="Arial"/>
          <w:iCs w:val="0"/>
        </w:rPr>
        <w:t>employment</w:t>
      </w:r>
      <w:r w:rsidR="007B7640" w:rsidRPr="00CD59CC">
        <w:rPr>
          <w:rFonts w:ascii="Arial" w:hAnsi="Arial" w:cs="Arial"/>
          <w:iCs w:val="0"/>
        </w:rPr>
        <w:t xml:space="preserve"> </w:t>
      </w:r>
      <w:r w:rsidRPr="00CD59CC">
        <w:rPr>
          <w:rFonts w:ascii="Arial" w:hAnsi="Arial" w:cs="Arial"/>
          <w:iCs w:val="0"/>
        </w:rPr>
        <w:t>in</w:t>
      </w:r>
      <w:r w:rsidR="007B7640" w:rsidRPr="00CD59CC">
        <w:rPr>
          <w:rFonts w:ascii="Arial" w:hAnsi="Arial" w:cs="Arial"/>
          <w:iCs w:val="0"/>
        </w:rPr>
        <w:t xml:space="preserve"> </w:t>
      </w:r>
      <w:r w:rsidRPr="00CD59CC">
        <w:rPr>
          <w:rFonts w:ascii="Arial" w:hAnsi="Arial" w:cs="Arial"/>
          <w:iCs w:val="0"/>
        </w:rPr>
        <w:t>the</w:t>
      </w:r>
      <w:r w:rsidR="007B7640" w:rsidRPr="00CD59CC">
        <w:rPr>
          <w:rFonts w:ascii="Arial" w:hAnsi="Arial" w:cs="Arial"/>
          <w:iCs w:val="0"/>
        </w:rPr>
        <w:t xml:space="preserve"> </w:t>
      </w:r>
      <w:r w:rsidRPr="00CD59CC">
        <w:rPr>
          <w:rFonts w:ascii="Arial" w:hAnsi="Arial" w:cs="Arial"/>
          <w:iCs w:val="0"/>
        </w:rPr>
        <w:t>wider</w:t>
      </w:r>
      <w:r w:rsidR="007B7640" w:rsidRPr="00CD59CC">
        <w:rPr>
          <w:rFonts w:ascii="Arial" w:hAnsi="Arial" w:cs="Arial"/>
          <w:iCs w:val="0"/>
        </w:rPr>
        <w:t xml:space="preserve"> </w:t>
      </w:r>
      <w:r w:rsidRPr="00CD59CC">
        <w:rPr>
          <w:rFonts w:ascii="Arial" w:hAnsi="Arial" w:cs="Arial"/>
          <w:iCs w:val="0"/>
        </w:rPr>
        <w:t>sense;</w:t>
      </w:r>
    </w:p>
    <w:p w14:paraId="29A44459" w14:textId="77777777" w:rsidR="0000609D" w:rsidRPr="00CD59CC" w:rsidRDefault="0000609D" w:rsidP="007B4138">
      <w:pPr>
        <w:pStyle w:val="Szvegtrzs21"/>
        <w:numPr>
          <w:ilvl w:val="0"/>
          <w:numId w:val="51"/>
        </w:numPr>
        <w:tabs>
          <w:tab w:val="clear" w:pos="720"/>
          <w:tab w:val="num" w:pos="567"/>
        </w:tabs>
        <w:ind w:left="567" w:hanging="567"/>
        <w:jc w:val="left"/>
        <w:rPr>
          <w:rFonts w:ascii="Arial" w:hAnsi="Arial" w:cs="Arial"/>
          <w:iCs w:val="0"/>
        </w:rPr>
      </w:pPr>
      <w:r w:rsidRPr="00CD59CC">
        <w:rPr>
          <w:rFonts w:ascii="Arial" w:hAnsi="Arial" w:cs="Arial"/>
          <w:iCs w:val="0"/>
        </w:rPr>
        <w:t>actions</w:t>
      </w:r>
      <w:r w:rsidR="007B7640" w:rsidRPr="00CD59CC">
        <w:rPr>
          <w:rFonts w:ascii="Arial" w:hAnsi="Arial" w:cs="Arial"/>
          <w:iCs w:val="0"/>
        </w:rPr>
        <w:t xml:space="preserve"> </w:t>
      </w:r>
      <w:r w:rsidRPr="00CD59CC">
        <w:rPr>
          <w:rFonts w:ascii="Arial" w:hAnsi="Arial" w:cs="Arial"/>
          <w:iCs w:val="0"/>
        </w:rPr>
        <w:t>relating</w:t>
      </w:r>
      <w:r w:rsidR="007B7640" w:rsidRPr="00CD59CC">
        <w:rPr>
          <w:rFonts w:ascii="Arial" w:hAnsi="Arial" w:cs="Arial"/>
          <w:iCs w:val="0"/>
        </w:rPr>
        <w:t xml:space="preserve"> </w:t>
      </w:r>
      <w:r w:rsidRPr="00CD59CC">
        <w:rPr>
          <w:rFonts w:ascii="Arial" w:hAnsi="Arial" w:cs="Arial"/>
          <w:iCs w:val="0"/>
        </w:rPr>
        <w:t>to</w:t>
      </w:r>
      <w:r w:rsidR="007B7640" w:rsidRPr="00CD59CC">
        <w:rPr>
          <w:rFonts w:ascii="Arial" w:hAnsi="Arial" w:cs="Arial"/>
          <w:iCs w:val="0"/>
        </w:rPr>
        <w:t xml:space="preserve"> </w:t>
      </w:r>
      <w:r w:rsidRPr="00CD59CC">
        <w:rPr>
          <w:rFonts w:ascii="Arial" w:hAnsi="Arial" w:cs="Arial"/>
          <w:iCs w:val="0"/>
        </w:rPr>
        <w:t>the</w:t>
      </w:r>
      <w:r w:rsidR="007B7640" w:rsidRPr="00CD59CC">
        <w:rPr>
          <w:rFonts w:ascii="Arial" w:hAnsi="Arial" w:cs="Arial"/>
          <w:iCs w:val="0"/>
        </w:rPr>
        <w:t xml:space="preserve"> </w:t>
      </w:r>
      <w:r w:rsidRPr="00CD59CC">
        <w:rPr>
          <w:rFonts w:ascii="Arial" w:hAnsi="Arial" w:cs="Arial"/>
          <w:iCs w:val="0"/>
        </w:rPr>
        <w:t>commencement</w:t>
      </w:r>
      <w:r w:rsidR="007B7640" w:rsidRPr="00CD59CC">
        <w:rPr>
          <w:rFonts w:ascii="Arial" w:hAnsi="Arial" w:cs="Arial"/>
          <w:iCs w:val="0"/>
        </w:rPr>
        <w:t xml:space="preserve"> </w:t>
      </w:r>
      <w:r w:rsidRPr="00CD59CC">
        <w:rPr>
          <w:rFonts w:ascii="Arial" w:hAnsi="Arial" w:cs="Arial"/>
          <w:iCs w:val="0"/>
        </w:rPr>
        <w:t>and</w:t>
      </w:r>
      <w:r w:rsidR="007B7640" w:rsidRPr="00CD59CC">
        <w:rPr>
          <w:rFonts w:ascii="Arial" w:hAnsi="Arial" w:cs="Arial"/>
          <w:iCs w:val="0"/>
        </w:rPr>
        <w:t xml:space="preserve"> </w:t>
      </w:r>
      <w:r w:rsidRPr="00CD59CC">
        <w:rPr>
          <w:rFonts w:ascii="Arial" w:hAnsi="Arial" w:cs="Arial"/>
          <w:iCs w:val="0"/>
        </w:rPr>
        <w:t>termination</w:t>
      </w:r>
      <w:r w:rsidR="007B7640" w:rsidRPr="00CD59CC">
        <w:rPr>
          <w:rFonts w:ascii="Arial" w:hAnsi="Arial" w:cs="Arial"/>
          <w:iCs w:val="0"/>
        </w:rPr>
        <w:t xml:space="preserve"> </w:t>
      </w:r>
      <w:r w:rsidRPr="00CD59CC">
        <w:rPr>
          <w:rFonts w:ascii="Arial" w:hAnsi="Arial" w:cs="Arial"/>
          <w:iCs w:val="0"/>
        </w:rPr>
        <w:t>of</w:t>
      </w:r>
      <w:r w:rsidR="007B7640" w:rsidRPr="00CD59CC">
        <w:rPr>
          <w:rFonts w:ascii="Arial" w:hAnsi="Arial" w:cs="Arial"/>
          <w:iCs w:val="0"/>
        </w:rPr>
        <w:t xml:space="preserve"> </w:t>
      </w:r>
      <w:r w:rsidRPr="00CD59CC">
        <w:rPr>
          <w:rFonts w:ascii="Arial" w:hAnsi="Arial" w:cs="Arial"/>
          <w:iCs w:val="0"/>
        </w:rPr>
        <w:t>employment;</w:t>
      </w:r>
    </w:p>
    <w:p w14:paraId="1DDEC9E0" w14:textId="77777777" w:rsidR="0000609D" w:rsidRPr="00CD59CC" w:rsidRDefault="0000609D" w:rsidP="007B4138">
      <w:pPr>
        <w:pStyle w:val="Szvegtrzs21"/>
        <w:numPr>
          <w:ilvl w:val="0"/>
          <w:numId w:val="51"/>
        </w:numPr>
        <w:tabs>
          <w:tab w:val="clear" w:pos="720"/>
          <w:tab w:val="num" w:pos="567"/>
        </w:tabs>
        <w:ind w:left="567" w:hanging="567"/>
        <w:jc w:val="left"/>
        <w:rPr>
          <w:rFonts w:ascii="Arial" w:hAnsi="Arial" w:cs="Arial"/>
          <w:iCs w:val="0"/>
        </w:rPr>
      </w:pPr>
      <w:r w:rsidRPr="00CD59CC">
        <w:rPr>
          <w:rFonts w:ascii="Arial" w:hAnsi="Arial" w:cs="Arial"/>
          <w:iCs w:val="0"/>
        </w:rPr>
        <w:t>remuneration;</w:t>
      </w:r>
      <w:r w:rsidR="007B7640" w:rsidRPr="00CD59CC">
        <w:rPr>
          <w:rFonts w:ascii="Arial" w:hAnsi="Arial" w:cs="Arial"/>
          <w:iCs w:val="0"/>
        </w:rPr>
        <w:t xml:space="preserve"> </w:t>
      </w:r>
    </w:p>
    <w:p w14:paraId="06F34B0E" w14:textId="77777777" w:rsidR="0000609D" w:rsidRPr="00CD59CC" w:rsidRDefault="0000609D" w:rsidP="007B4138">
      <w:pPr>
        <w:pStyle w:val="Szvegtrzs21"/>
        <w:numPr>
          <w:ilvl w:val="0"/>
          <w:numId w:val="51"/>
        </w:numPr>
        <w:tabs>
          <w:tab w:val="clear" w:pos="720"/>
          <w:tab w:val="num" w:pos="567"/>
        </w:tabs>
        <w:ind w:left="567" w:hanging="567"/>
        <w:jc w:val="left"/>
        <w:rPr>
          <w:rFonts w:ascii="Arial" w:hAnsi="Arial" w:cs="Arial"/>
          <w:iCs w:val="0"/>
        </w:rPr>
      </w:pPr>
      <w:r w:rsidRPr="00CD59CC">
        <w:rPr>
          <w:rFonts w:ascii="Arial" w:hAnsi="Arial" w:cs="Arial"/>
          <w:iCs w:val="0"/>
        </w:rPr>
        <w:t>working</w:t>
      </w:r>
      <w:r w:rsidR="007B7640" w:rsidRPr="00CD59CC">
        <w:rPr>
          <w:rFonts w:ascii="Arial" w:hAnsi="Arial" w:cs="Arial"/>
          <w:iCs w:val="0"/>
        </w:rPr>
        <w:t xml:space="preserve"> </w:t>
      </w:r>
      <w:r w:rsidRPr="00CD59CC">
        <w:rPr>
          <w:rFonts w:ascii="Arial" w:hAnsi="Arial" w:cs="Arial"/>
          <w:iCs w:val="0"/>
        </w:rPr>
        <w:t>conditions;</w:t>
      </w:r>
    </w:p>
    <w:p w14:paraId="3E92FFCC" w14:textId="77777777" w:rsidR="0000609D" w:rsidRPr="00CD59CC" w:rsidRDefault="0000609D" w:rsidP="007B4138">
      <w:pPr>
        <w:pStyle w:val="Szvegtrzs21"/>
        <w:numPr>
          <w:ilvl w:val="0"/>
          <w:numId w:val="51"/>
        </w:numPr>
        <w:tabs>
          <w:tab w:val="clear" w:pos="720"/>
          <w:tab w:val="num" w:pos="567"/>
        </w:tabs>
        <w:ind w:left="567" w:hanging="567"/>
        <w:jc w:val="left"/>
        <w:rPr>
          <w:rFonts w:ascii="Arial" w:hAnsi="Arial" w:cs="Arial"/>
          <w:iCs w:val="0"/>
        </w:rPr>
      </w:pPr>
      <w:r w:rsidRPr="00CD59CC">
        <w:rPr>
          <w:rFonts w:ascii="Arial" w:hAnsi="Arial" w:cs="Arial"/>
          <w:iCs w:val="0"/>
        </w:rPr>
        <w:t>promotion</w:t>
      </w:r>
      <w:r w:rsidR="007B7640" w:rsidRPr="00CD59CC">
        <w:rPr>
          <w:rFonts w:ascii="Arial" w:hAnsi="Arial" w:cs="Arial"/>
          <w:iCs w:val="0"/>
        </w:rPr>
        <w:t xml:space="preserve"> </w:t>
      </w:r>
      <w:r w:rsidRPr="00CD59CC">
        <w:rPr>
          <w:rFonts w:ascii="Arial" w:hAnsi="Arial" w:cs="Arial"/>
          <w:iCs w:val="0"/>
        </w:rPr>
        <w:t>and</w:t>
      </w:r>
      <w:r w:rsidR="007B7640" w:rsidRPr="00CD59CC">
        <w:rPr>
          <w:rFonts w:ascii="Arial" w:hAnsi="Arial" w:cs="Arial"/>
          <w:iCs w:val="0"/>
        </w:rPr>
        <w:t xml:space="preserve"> </w:t>
      </w:r>
      <w:r w:rsidRPr="00CD59CC">
        <w:rPr>
          <w:rFonts w:ascii="Arial" w:hAnsi="Arial" w:cs="Arial"/>
          <w:iCs w:val="0"/>
        </w:rPr>
        <w:t>training;</w:t>
      </w:r>
    </w:p>
    <w:p w14:paraId="286C194A" w14:textId="77777777" w:rsidR="0000609D" w:rsidRPr="00CD59CC" w:rsidRDefault="0000609D" w:rsidP="007B4138">
      <w:pPr>
        <w:pStyle w:val="Szvegtrzs21"/>
        <w:numPr>
          <w:ilvl w:val="0"/>
          <w:numId w:val="51"/>
        </w:numPr>
        <w:tabs>
          <w:tab w:val="clear" w:pos="720"/>
          <w:tab w:val="num" w:pos="567"/>
        </w:tabs>
        <w:ind w:left="567" w:hanging="567"/>
        <w:jc w:val="left"/>
        <w:rPr>
          <w:rFonts w:ascii="Arial" w:hAnsi="Arial" w:cs="Arial"/>
          <w:iCs w:val="0"/>
        </w:rPr>
      </w:pPr>
      <w:r w:rsidRPr="00CD59CC">
        <w:rPr>
          <w:rFonts w:ascii="Arial" w:hAnsi="Arial" w:cs="Arial"/>
          <w:iCs w:val="0"/>
        </w:rPr>
        <w:t>liability</w:t>
      </w:r>
      <w:r w:rsidR="007B7640" w:rsidRPr="00CD59CC">
        <w:rPr>
          <w:rFonts w:ascii="Arial" w:hAnsi="Arial" w:cs="Arial"/>
          <w:iCs w:val="0"/>
        </w:rPr>
        <w:t xml:space="preserve"> </w:t>
      </w:r>
      <w:r w:rsidRPr="00CD59CC">
        <w:rPr>
          <w:rFonts w:ascii="Arial" w:hAnsi="Arial" w:cs="Arial"/>
          <w:iCs w:val="0"/>
        </w:rPr>
        <w:t>for</w:t>
      </w:r>
      <w:r w:rsidR="007B7640" w:rsidRPr="00CD59CC">
        <w:rPr>
          <w:rFonts w:ascii="Arial" w:hAnsi="Arial" w:cs="Arial"/>
          <w:iCs w:val="0"/>
        </w:rPr>
        <w:t xml:space="preserve"> </w:t>
      </w:r>
      <w:r w:rsidRPr="00CD59CC">
        <w:rPr>
          <w:rFonts w:ascii="Arial" w:hAnsi="Arial" w:cs="Arial"/>
          <w:iCs w:val="0"/>
        </w:rPr>
        <w:t>damages</w:t>
      </w:r>
      <w:r w:rsidR="007B7640" w:rsidRPr="00CD59CC">
        <w:rPr>
          <w:rFonts w:ascii="Arial" w:hAnsi="Arial" w:cs="Arial"/>
          <w:iCs w:val="0"/>
        </w:rPr>
        <w:t xml:space="preserve"> </w:t>
      </w:r>
      <w:r w:rsidRPr="00CD59CC">
        <w:rPr>
          <w:rFonts w:ascii="Arial" w:hAnsi="Arial" w:cs="Arial"/>
          <w:iCs w:val="0"/>
        </w:rPr>
        <w:t>and</w:t>
      </w:r>
      <w:r w:rsidR="007B7640" w:rsidRPr="00CD59CC">
        <w:rPr>
          <w:rFonts w:ascii="Arial" w:hAnsi="Arial" w:cs="Arial"/>
          <w:iCs w:val="0"/>
        </w:rPr>
        <w:t xml:space="preserve"> </w:t>
      </w:r>
      <w:r w:rsidRPr="00CD59CC">
        <w:rPr>
          <w:rFonts w:ascii="Arial" w:hAnsi="Arial" w:cs="Arial"/>
          <w:iCs w:val="0"/>
        </w:rPr>
        <w:t>disciplinary</w:t>
      </w:r>
      <w:r w:rsidR="007B7640" w:rsidRPr="00CD59CC">
        <w:rPr>
          <w:rFonts w:ascii="Arial" w:hAnsi="Arial" w:cs="Arial"/>
          <w:iCs w:val="0"/>
        </w:rPr>
        <w:t xml:space="preserve"> </w:t>
      </w:r>
      <w:r w:rsidRPr="00CD59CC">
        <w:rPr>
          <w:rFonts w:ascii="Arial" w:hAnsi="Arial" w:cs="Arial"/>
          <w:iCs w:val="0"/>
        </w:rPr>
        <w:t>actions</w:t>
      </w:r>
    </w:p>
    <w:p w14:paraId="5613001A" w14:textId="77777777" w:rsidR="0000609D" w:rsidRPr="00CD59CC" w:rsidRDefault="0000609D" w:rsidP="00CD59CC">
      <w:pPr>
        <w:rPr>
          <w:rFonts w:ascii="Arial" w:hAnsi="Arial" w:cs="Arial"/>
          <w:iCs/>
        </w:rPr>
      </w:pPr>
    </w:p>
    <w:p w14:paraId="31F7C594" w14:textId="77777777" w:rsidR="0000609D" w:rsidRPr="00CD59CC" w:rsidRDefault="0000609D" w:rsidP="00CD59CC">
      <w:pPr>
        <w:rPr>
          <w:rFonts w:ascii="Arial" w:hAnsi="Arial" w:cs="Arial"/>
        </w:rPr>
      </w:pPr>
      <w:r w:rsidRPr="00CD59CC">
        <w:rPr>
          <w:rFonts w:ascii="Arial" w:hAnsi="Arial" w:cs="Arial"/>
          <w:iCs/>
        </w:rPr>
        <w:t>with</w:t>
      </w:r>
      <w:r w:rsidR="007B7640" w:rsidRPr="00CD59CC">
        <w:rPr>
          <w:rFonts w:ascii="Arial" w:hAnsi="Arial" w:cs="Arial"/>
          <w:iCs/>
        </w:rPr>
        <w:t xml:space="preserve"> </w:t>
      </w:r>
      <w:r w:rsidRPr="00CD59CC">
        <w:rPr>
          <w:rFonts w:ascii="Arial" w:hAnsi="Arial" w:cs="Arial"/>
          <w:iCs/>
        </w:rPr>
        <w:t>regard</w:t>
      </w:r>
      <w:r w:rsidR="007B7640" w:rsidRPr="00CD59CC">
        <w:rPr>
          <w:rFonts w:ascii="Arial" w:hAnsi="Arial" w:cs="Arial"/>
          <w:iCs/>
        </w:rPr>
        <w:t xml:space="preserve"> </w:t>
      </w:r>
      <w:r w:rsidRPr="00CD59CC">
        <w:rPr>
          <w:rFonts w:ascii="Arial" w:hAnsi="Arial" w:cs="Arial"/>
          <w:iCs/>
        </w:rPr>
        <w:t>to</w:t>
      </w:r>
      <w:r w:rsidR="007B7640" w:rsidRPr="00CD59CC">
        <w:rPr>
          <w:rFonts w:ascii="Arial" w:hAnsi="Arial" w:cs="Arial"/>
          <w:iCs/>
        </w:rPr>
        <w:t xml:space="preserve"> </w:t>
      </w:r>
      <w:r w:rsidRPr="00CD59CC">
        <w:rPr>
          <w:rFonts w:ascii="Arial" w:hAnsi="Arial" w:cs="Arial"/>
          <w:iCs/>
        </w:rPr>
        <w:t>both</w:t>
      </w:r>
      <w:r w:rsidR="007B7640" w:rsidRPr="00CD59CC">
        <w:rPr>
          <w:rFonts w:ascii="Arial" w:hAnsi="Arial" w:cs="Arial"/>
          <w:iCs/>
        </w:rPr>
        <w:t xml:space="preserve"> </w:t>
      </w:r>
      <w:r w:rsidRPr="00CD59CC">
        <w:rPr>
          <w:rFonts w:ascii="Arial" w:hAnsi="Arial" w:cs="Arial"/>
          <w:iCs/>
        </w:rPr>
        <w:t>labour</w:t>
      </w:r>
      <w:r w:rsidR="007B7640" w:rsidRPr="00CD59CC">
        <w:rPr>
          <w:rFonts w:ascii="Arial" w:hAnsi="Arial" w:cs="Arial"/>
          <w:iCs/>
        </w:rPr>
        <w:t xml:space="preserve"> </w:t>
      </w:r>
      <w:r w:rsidRPr="00CD59CC">
        <w:rPr>
          <w:rFonts w:ascii="Arial" w:hAnsi="Arial" w:cs="Arial"/>
          <w:iCs/>
        </w:rPr>
        <w:t>relations</w:t>
      </w:r>
      <w:r w:rsidR="007B7640" w:rsidRPr="00CD59CC">
        <w:rPr>
          <w:rFonts w:ascii="Arial" w:hAnsi="Arial" w:cs="Arial"/>
          <w:iCs/>
        </w:rPr>
        <w:t xml:space="preserve"> </w:t>
      </w:r>
      <w:r w:rsidRPr="00CD59CC">
        <w:rPr>
          <w:rFonts w:ascii="Arial" w:hAnsi="Arial" w:cs="Arial"/>
          <w:iCs/>
        </w:rPr>
        <w:t>(i.e.</w:t>
      </w:r>
      <w:r w:rsidR="007B7640" w:rsidRPr="00CD59CC">
        <w:rPr>
          <w:rFonts w:ascii="Arial" w:hAnsi="Arial" w:cs="Arial"/>
          <w:iCs/>
        </w:rPr>
        <w:t xml:space="preserve"> </w:t>
      </w:r>
      <w:r w:rsidRPr="00CD59CC">
        <w:rPr>
          <w:rFonts w:ascii="Arial" w:hAnsi="Arial" w:cs="Arial"/>
          <w:iCs/>
        </w:rPr>
        <w:t>employment</w:t>
      </w:r>
      <w:r w:rsidR="007B7640" w:rsidRPr="00CD59CC">
        <w:rPr>
          <w:rFonts w:ascii="Arial" w:hAnsi="Arial" w:cs="Arial"/>
          <w:iCs/>
        </w:rPr>
        <w:t xml:space="preserve"> </w:t>
      </w:r>
      <w:r w:rsidRPr="00CD59CC">
        <w:rPr>
          <w:rFonts w:ascii="Arial" w:hAnsi="Arial" w:cs="Arial"/>
          <w:iCs/>
        </w:rPr>
        <w:t>based</w:t>
      </w:r>
      <w:r w:rsidR="007B7640" w:rsidRPr="00CD59CC">
        <w:rPr>
          <w:rFonts w:ascii="Arial" w:hAnsi="Arial" w:cs="Arial"/>
          <w:iCs/>
        </w:rPr>
        <w:t xml:space="preserve"> </w:t>
      </w:r>
      <w:r w:rsidRPr="00CD59CC">
        <w:rPr>
          <w:rFonts w:ascii="Arial" w:hAnsi="Arial" w:cs="Arial"/>
          <w:iCs/>
        </w:rPr>
        <w:t>on</w:t>
      </w:r>
      <w:r w:rsidR="007B7640" w:rsidRPr="00CD59CC">
        <w:rPr>
          <w:rFonts w:ascii="Arial" w:hAnsi="Arial" w:cs="Arial"/>
          <w:iCs/>
        </w:rPr>
        <w:t xml:space="preserve"> </w:t>
      </w:r>
      <w:r w:rsidRPr="00CD59CC">
        <w:rPr>
          <w:rFonts w:ascii="Arial" w:hAnsi="Arial" w:cs="Arial"/>
          <w:iCs/>
        </w:rPr>
        <w:t>a</w:t>
      </w:r>
      <w:r w:rsidR="007B7640" w:rsidRPr="00CD59CC">
        <w:rPr>
          <w:rFonts w:ascii="Arial" w:hAnsi="Arial" w:cs="Arial"/>
          <w:iCs/>
        </w:rPr>
        <w:t xml:space="preserve"> </w:t>
      </w:r>
      <w:r w:rsidRPr="00CD59CC">
        <w:rPr>
          <w:rFonts w:ascii="Arial" w:hAnsi="Arial" w:cs="Arial"/>
          <w:iCs/>
        </w:rPr>
        <w:t>labour</w:t>
      </w:r>
      <w:r w:rsidR="007B7640" w:rsidRPr="00CD59CC">
        <w:rPr>
          <w:rFonts w:ascii="Arial" w:hAnsi="Arial" w:cs="Arial"/>
          <w:iCs/>
        </w:rPr>
        <w:t xml:space="preserve"> </w:t>
      </w:r>
      <w:r w:rsidRPr="00CD59CC">
        <w:rPr>
          <w:rFonts w:ascii="Arial" w:hAnsi="Arial" w:cs="Arial"/>
          <w:iCs/>
        </w:rPr>
        <w:t>contract)</w:t>
      </w:r>
      <w:r w:rsidR="007B7640" w:rsidRPr="00CD59CC">
        <w:rPr>
          <w:rFonts w:ascii="Arial" w:hAnsi="Arial" w:cs="Arial"/>
          <w:iCs/>
        </w:rPr>
        <w:t xml:space="preserve"> </w:t>
      </w:r>
      <w:r w:rsidRPr="00CD59CC">
        <w:rPr>
          <w:rFonts w:ascii="Arial" w:hAnsi="Arial" w:cs="Arial"/>
          <w:iCs/>
        </w:rPr>
        <w:t>and</w:t>
      </w:r>
      <w:r w:rsidR="007B7640" w:rsidRPr="00CD59CC">
        <w:rPr>
          <w:rFonts w:ascii="Arial" w:hAnsi="Arial" w:cs="Arial"/>
          <w:iCs/>
        </w:rPr>
        <w:t xml:space="preserve"> </w:t>
      </w:r>
      <w:r w:rsidRPr="00CD59CC">
        <w:rPr>
          <w:rFonts w:ascii="Arial" w:hAnsi="Arial" w:cs="Arial"/>
          <w:iCs/>
        </w:rPr>
        <w:t>other</w:t>
      </w:r>
      <w:r w:rsidR="007B7640" w:rsidRPr="00CD59CC">
        <w:rPr>
          <w:rFonts w:ascii="Arial" w:hAnsi="Arial" w:cs="Arial"/>
          <w:iCs/>
        </w:rPr>
        <w:t xml:space="preserve"> </w:t>
      </w:r>
      <w:r w:rsidRPr="00CD59CC">
        <w:rPr>
          <w:rFonts w:ascii="Arial" w:hAnsi="Arial" w:cs="Arial"/>
          <w:iCs/>
        </w:rPr>
        <w:t>relations</w:t>
      </w:r>
      <w:r w:rsidR="007B7640" w:rsidRPr="00CD59CC">
        <w:rPr>
          <w:rFonts w:ascii="Arial" w:hAnsi="Arial" w:cs="Arial"/>
          <w:iCs/>
        </w:rPr>
        <w:t xml:space="preserve"> </w:t>
      </w:r>
      <w:r w:rsidRPr="00CD59CC">
        <w:rPr>
          <w:rFonts w:ascii="Arial" w:hAnsi="Arial" w:cs="Arial"/>
          <w:iCs/>
        </w:rPr>
        <w:t>aimed</w:t>
      </w:r>
      <w:r w:rsidR="007B7640" w:rsidRPr="00CD59CC">
        <w:rPr>
          <w:rFonts w:ascii="Arial" w:hAnsi="Arial" w:cs="Arial"/>
          <w:iCs/>
        </w:rPr>
        <w:t xml:space="preserve"> </w:t>
      </w:r>
      <w:r w:rsidRPr="00CD59CC">
        <w:rPr>
          <w:rFonts w:ascii="Arial" w:hAnsi="Arial" w:cs="Arial"/>
          <w:iCs/>
        </w:rPr>
        <w:t>at</w:t>
      </w:r>
      <w:r w:rsidR="007B7640" w:rsidRPr="00CD59CC">
        <w:rPr>
          <w:rFonts w:ascii="Arial" w:hAnsi="Arial" w:cs="Arial"/>
          <w:iCs/>
        </w:rPr>
        <w:t xml:space="preserve"> </w:t>
      </w:r>
      <w:r w:rsidRPr="00CD59CC">
        <w:rPr>
          <w:rFonts w:ascii="Arial" w:hAnsi="Arial" w:cs="Arial"/>
          <w:iCs/>
        </w:rPr>
        <w:t>employment</w:t>
      </w:r>
      <w:r w:rsidR="007B7640" w:rsidRPr="00CD59CC">
        <w:rPr>
          <w:rFonts w:ascii="Arial" w:hAnsi="Arial" w:cs="Arial"/>
          <w:iCs/>
        </w:rPr>
        <w:t xml:space="preserve"> </w:t>
      </w:r>
      <w:r w:rsidRPr="00CD59CC">
        <w:rPr>
          <w:rFonts w:ascii="Arial" w:hAnsi="Arial" w:cs="Arial"/>
          <w:iCs/>
        </w:rPr>
        <w:t>(including</w:t>
      </w:r>
      <w:r w:rsidR="007B7640" w:rsidRPr="00CD59CC">
        <w:rPr>
          <w:rFonts w:ascii="Arial" w:hAnsi="Arial" w:cs="Arial"/>
          <w:iCs/>
        </w:rPr>
        <w:t xml:space="preserve"> </w:t>
      </w:r>
      <w:r w:rsidRPr="00CD59CC">
        <w:rPr>
          <w:rFonts w:ascii="Arial" w:hAnsi="Arial" w:cs="Arial"/>
          <w:iCs/>
        </w:rPr>
        <w:t>contractual</w:t>
      </w:r>
      <w:r w:rsidR="007B7640" w:rsidRPr="00CD59CC">
        <w:rPr>
          <w:rFonts w:ascii="Arial" w:hAnsi="Arial" w:cs="Arial"/>
          <w:iCs/>
        </w:rPr>
        <w:t xml:space="preserve"> </w:t>
      </w:r>
      <w:r w:rsidRPr="00CD59CC">
        <w:rPr>
          <w:rFonts w:ascii="Arial" w:hAnsi="Arial" w:cs="Arial"/>
          <w:iCs/>
        </w:rPr>
        <w:t>relations</w:t>
      </w:r>
      <w:r w:rsidR="007B7640" w:rsidRPr="00CD59CC">
        <w:rPr>
          <w:rFonts w:ascii="Arial" w:hAnsi="Arial" w:cs="Arial"/>
          <w:iCs/>
        </w:rPr>
        <w:t xml:space="preserve"> </w:t>
      </w:r>
      <w:r w:rsidRPr="00CD59CC">
        <w:rPr>
          <w:rFonts w:ascii="Arial" w:hAnsi="Arial" w:cs="Arial"/>
          <w:iCs/>
        </w:rPr>
        <w:t>with</w:t>
      </w:r>
      <w:r w:rsidR="007B7640" w:rsidRPr="00CD59CC">
        <w:rPr>
          <w:rFonts w:ascii="Arial" w:hAnsi="Arial" w:cs="Arial"/>
          <w:iCs/>
        </w:rPr>
        <w:t xml:space="preserve"> </w:t>
      </w:r>
      <w:r w:rsidRPr="00CD59CC">
        <w:rPr>
          <w:rFonts w:ascii="Arial" w:hAnsi="Arial" w:cs="Arial"/>
          <w:iCs/>
        </w:rPr>
        <w:t>self-employed</w:t>
      </w:r>
      <w:r w:rsidR="007B7640" w:rsidRPr="00CD59CC">
        <w:rPr>
          <w:rFonts w:ascii="Arial" w:hAnsi="Arial" w:cs="Arial"/>
          <w:iCs/>
        </w:rPr>
        <w:t xml:space="preserve"> </w:t>
      </w:r>
      <w:r w:rsidRPr="00CD59CC">
        <w:rPr>
          <w:rFonts w:ascii="Arial" w:hAnsi="Arial" w:cs="Arial"/>
          <w:iCs/>
        </w:rPr>
        <w:t>people).</w:t>
      </w:r>
    </w:p>
    <w:p w14:paraId="09639A55" w14:textId="77777777" w:rsidR="003908A4" w:rsidRPr="00CD59CC" w:rsidRDefault="003908A4" w:rsidP="00CD59CC">
      <w:pPr>
        <w:rPr>
          <w:rFonts w:ascii="Arial" w:hAnsi="Arial" w:cs="Arial"/>
        </w:rPr>
      </w:pPr>
    </w:p>
    <w:p w14:paraId="4D246101" w14:textId="77777777" w:rsidR="002B5BCD" w:rsidRPr="00CD59CC" w:rsidRDefault="002B5BCD" w:rsidP="00CD59CC">
      <w:pPr>
        <w:rPr>
          <w:rFonts w:ascii="Arial" w:hAnsi="Arial" w:cs="Arial"/>
          <w:i/>
        </w:rPr>
      </w:pPr>
      <w:r w:rsidRPr="00CD59CC">
        <w:rPr>
          <w:rFonts w:ascii="Arial" w:hAnsi="Arial" w:cs="Arial"/>
          <w:i/>
        </w:rPr>
        <w:t>In</w:t>
      </w:r>
      <w:r w:rsidR="007B7640" w:rsidRPr="00CD59CC">
        <w:rPr>
          <w:rFonts w:ascii="Arial" w:hAnsi="Arial" w:cs="Arial"/>
          <w:i/>
        </w:rPr>
        <w:t xml:space="preserve"> </w:t>
      </w:r>
      <w:r w:rsidRPr="00CD59CC">
        <w:rPr>
          <w:rFonts w:ascii="Arial" w:hAnsi="Arial" w:cs="Arial"/>
          <w:i/>
        </w:rPr>
        <w:t>paragraphs</w:t>
      </w:r>
      <w:r w:rsidR="007B7640" w:rsidRPr="00CD59CC">
        <w:rPr>
          <w:rFonts w:ascii="Arial" w:hAnsi="Arial" w:cs="Arial"/>
          <w:i/>
        </w:rPr>
        <w:t xml:space="preserve"> </w:t>
      </w:r>
      <w:r w:rsidRPr="00CD59CC">
        <w:rPr>
          <w:rFonts w:ascii="Arial" w:hAnsi="Arial" w:cs="Arial"/>
          <w:i/>
        </w:rPr>
        <w:t>3.2.2</w:t>
      </w:r>
      <w:r w:rsidR="007B7640" w:rsidRPr="00CD59CC">
        <w:rPr>
          <w:rFonts w:ascii="Arial" w:hAnsi="Arial" w:cs="Arial"/>
          <w:i/>
        </w:rPr>
        <w:t xml:space="preserve"> </w:t>
      </w:r>
      <w:r w:rsidRPr="00CD59CC">
        <w:rPr>
          <w:rFonts w:ascii="Arial" w:hAnsi="Arial" w:cs="Arial"/>
          <w:i/>
        </w:rPr>
        <w:t>-</w:t>
      </w:r>
      <w:r w:rsidR="007B7640" w:rsidRPr="00CD59CC">
        <w:rPr>
          <w:rFonts w:ascii="Arial" w:hAnsi="Arial" w:cs="Arial"/>
          <w:i/>
        </w:rPr>
        <w:t xml:space="preserve"> </w:t>
      </w:r>
      <w:r w:rsidRPr="00CD59CC">
        <w:rPr>
          <w:rFonts w:ascii="Arial" w:hAnsi="Arial" w:cs="Arial"/>
          <w:i/>
        </w:rPr>
        <w:t>3.2.5,</w:t>
      </w:r>
      <w:r w:rsidR="007B7640" w:rsidRPr="00CD59CC">
        <w:rPr>
          <w:rFonts w:ascii="Arial" w:hAnsi="Arial" w:cs="Arial"/>
          <w:i/>
        </w:rPr>
        <w:t xml:space="preserve"> </w:t>
      </w:r>
      <w:r w:rsidRPr="00CD59CC">
        <w:rPr>
          <w:rFonts w:ascii="Arial" w:hAnsi="Arial" w:cs="Arial"/>
          <w:i/>
        </w:rPr>
        <w:t>you</w:t>
      </w:r>
      <w:r w:rsidR="007B7640" w:rsidRPr="00CD59CC">
        <w:rPr>
          <w:rFonts w:ascii="Arial" w:hAnsi="Arial" w:cs="Arial"/>
          <w:i/>
        </w:rPr>
        <w:t xml:space="preserve"> </w:t>
      </w:r>
      <w:r w:rsidRPr="00CD59CC">
        <w:rPr>
          <w:rFonts w:ascii="Arial" w:hAnsi="Arial" w:cs="Arial"/>
          <w:i/>
        </w:rPr>
        <w:t>should</w:t>
      </w:r>
      <w:r w:rsidR="007B7640" w:rsidRPr="00CD59CC">
        <w:rPr>
          <w:rFonts w:ascii="Arial" w:hAnsi="Arial" w:cs="Arial"/>
          <w:i/>
        </w:rPr>
        <w:t xml:space="preserve"> </w:t>
      </w:r>
      <w:r w:rsidRPr="00CD59CC">
        <w:rPr>
          <w:rFonts w:ascii="Arial" w:hAnsi="Arial" w:cs="Arial"/>
          <w:i/>
        </w:rPr>
        <w:t>specify</w:t>
      </w:r>
      <w:r w:rsidR="007B7640" w:rsidRPr="00CD59CC">
        <w:rPr>
          <w:rFonts w:ascii="Arial" w:hAnsi="Arial" w:cs="Arial"/>
          <w:i/>
        </w:rPr>
        <w:t xml:space="preserve"> </w:t>
      </w:r>
      <w:r w:rsidRPr="00CD59CC">
        <w:rPr>
          <w:rFonts w:ascii="Arial" w:hAnsi="Arial" w:cs="Arial"/>
          <w:i/>
        </w:rPr>
        <w:t>if</w:t>
      </w:r>
      <w:r w:rsidR="007B7640" w:rsidRPr="00CD59CC">
        <w:rPr>
          <w:rFonts w:ascii="Arial" w:hAnsi="Arial" w:cs="Arial"/>
          <w:i/>
        </w:rPr>
        <w:t xml:space="preserve"> </w:t>
      </w:r>
      <w:r w:rsidRPr="00CD59CC">
        <w:rPr>
          <w:rFonts w:ascii="Arial" w:hAnsi="Arial" w:cs="Arial"/>
          <w:i/>
        </w:rPr>
        <w:t>each</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following</w:t>
      </w:r>
      <w:r w:rsidR="007B7640" w:rsidRPr="00CD59CC">
        <w:rPr>
          <w:rFonts w:ascii="Arial" w:hAnsi="Arial" w:cs="Arial"/>
          <w:i/>
        </w:rPr>
        <w:t xml:space="preserve"> </w:t>
      </w:r>
      <w:r w:rsidRPr="00CD59CC">
        <w:rPr>
          <w:rFonts w:ascii="Arial" w:hAnsi="Arial" w:cs="Arial"/>
          <w:i/>
        </w:rPr>
        <w:t>areas</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fully</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expressly</w:t>
      </w:r>
      <w:r w:rsidR="007B7640" w:rsidRPr="00CD59CC">
        <w:rPr>
          <w:rFonts w:ascii="Arial" w:hAnsi="Arial" w:cs="Arial"/>
          <w:i/>
        </w:rPr>
        <w:t xml:space="preserve"> </w:t>
      </w:r>
      <w:r w:rsidRPr="00CD59CC">
        <w:rPr>
          <w:rFonts w:ascii="Arial" w:hAnsi="Arial" w:cs="Arial"/>
          <w:i/>
        </w:rPr>
        <w:t>covered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each</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grounds</w:t>
      </w:r>
      <w:r w:rsidR="007B7640" w:rsidRPr="00CD59CC">
        <w:rPr>
          <w:rFonts w:ascii="Arial" w:hAnsi="Arial" w:cs="Arial"/>
          <w:i/>
        </w:rPr>
        <w:t xml:space="preserve"> </w:t>
      </w:r>
      <w:r w:rsidRPr="00CD59CC">
        <w:rPr>
          <w:rFonts w:ascii="Arial" w:hAnsi="Arial" w:cs="Arial"/>
          <w:i/>
        </w:rPr>
        <w:t>covered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Directives.</w:t>
      </w:r>
    </w:p>
    <w:p w14:paraId="07AA5110" w14:textId="77777777" w:rsidR="002B5BCD" w:rsidRPr="00CD59CC" w:rsidRDefault="002B5BCD" w:rsidP="00CD59CC">
      <w:pPr>
        <w:rPr>
          <w:rFonts w:ascii="Arial" w:hAnsi="Arial" w:cs="Arial"/>
        </w:rPr>
      </w:pPr>
    </w:p>
    <w:p w14:paraId="2BF4834B" w14:textId="36B193BB" w:rsidR="002B5BCD" w:rsidRPr="00CD59CC" w:rsidRDefault="002B5BCD" w:rsidP="00CD59CC">
      <w:pPr>
        <w:pStyle w:val="Heading3"/>
        <w:rPr>
          <w:rFonts w:cs="Arial"/>
        </w:rPr>
      </w:pPr>
      <w:bookmarkStart w:id="147" w:name="_Toc392758723"/>
      <w:bookmarkStart w:id="148" w:name="_Toc220221152"/>
      <w:bookmarkStart w:id="149" w:name="_Toc329163614"/>
      <w:bookmarkStart w:id="150" w:name="_Toc366846332"/>
      <w:r w:rsidRPr="00CD59CC">
        <w:rPr>
          <w:rFonts w:cs="Arial"/>
        </w:rPr>
        <w:t>Conditions</w:t>
      </w:r>
      <w:r w:rsidR="007B7640" w:rsidRPr="00CD59CC">
        <w:rPr>
          <w:rFonts w:cs="Arial"/>
        </w:rPr>
        <w:t xml:space="preserve"> </w:t>
      </w:r>
      <w:r w:rsidRPr="00CD59CC">
        <w:rPr>
          <w:rFonts w:cs="Arial"/>
        </w:rPr>
        <w:t>for</w:t>
      </w:r>
      <w:r w:rsidR="007B7640" w:rsidRPr="00CD59CC">
        <w:rPr>
          <w:rFonts w:cs="Arial"/>
        </w:rPr>
        <w:t xml:space="preserve"> </w:t>
      </w:r>
      <w:r w:rsidRPr="00CD59CC">
        <w:rPr>
          <w:rFonts w:cs="Arial"/>
        </w:rPr>
        <w:t>access</w:t>
      </w:r>
      <w:r w:rsidR="007B7640" w:rsidRPr="00CD59CC">
        <w:rPr>
          <w:rFonts w:cs="Arial"/>
        </w:rPr>
        <w:t xml:space="preserve"> </w:t>
      </w:r>
      <w:r w:rsidRPr="00CD59CC">
        <w:rPr>
          <w:rFonts w:cs="Arial"/>
        </w:rPr>
        <w:t>to</w:t>
      </w:r>
      <w:r w:rsidR="007B7640" w:rsidRPr="00CD59CC">
        <w:rPr>
          <w:rFonts w:cs="Arial"/>
        </w:rPr>
        <w:t xml:space="preserve"> </w:t>
      </w:r>
      <w:r w:rsidRPr="00CD59CC">
        <w:rPr>
          <w:rFonts w:cs="Arial"/>
        </w:rPr>
        <w:t>employment,</w:t>
      </w:r>
      <w:r w:rsidR="007B7640" w:rsidRPr="00CD59CC">
        <w:rPr>
          <w:rFonts w:cs="Arial"/>
        </w:rPr>
        <w:t xml:space="preserve"> </w:t>
      </w:r>
      <w:r w:rsidRPr="00CD59CC">
        <w:rPr>
          <w:rFonts w:cs="Arial"/>
        </w:rPr>
        <w:t>to</w:t>
      </w:r>
      <w:r w:rsidR="007B7640" w:rsidRPr="00CD59CC">
        <w:rPr>
          <w:rFonts w:cs="Arial"/>
        </w:rPr>
        <w:t xml:space="preserve"> </w:t>
      </w:r>
      <w:r w:rsidRPr="00CD59CC">
        <w:rPr>
          <w:rFonts w:cs="Arial"/>
        </w:rPr>
        <w:t>self-employment</w:t>
      </w:r>
      <w:r w:rsidR="007B7640" w:rsidRPr="00CD59CC">
        <w:rPr>
          <w:rFonts w:cs="Arial"/>
        </w:rPr>
        <w:t xml:space="preserve"> </w:t>
      </w:r>
      <w:r w:rsidRPr="00CD59CC">
        <w:rPr>
          <w:rFonts w:cs="Arial"/>
        </w:rPr>
        <w:t>or</w:t>
      </w:r>
      <w:r w:rsidR="007B7640" w:rsidRPr="00CD59CC">
        <w:rPr>
          <w:rFonts w:cs="Arial"/>
        </w:rPr>
        <w:t xml:space="preserve"> </w:t>
      </w:r>
      <w:r w:rsidRPr="00CD59CC">
        <w:rPr>
          <w:rFonts w:cs="Arial"/>
        </w:rPr>
        <w:t>to</w:t>
      </w:r>
      <w:r w:rsidR="007B7640" w:rsidRPr="00CD59CC">
        <w:rPr>
          <w:rFonts w:cs="Arial"/>
        </w:rPr>
        <w:t xml:space="preserve"> </w:t>
      </w:r>
      <w:r w:rsidRPr="00CD59CC">
        <w:rPr>
          <w:rFonts w:cs="Arial"/>
        </w:rPr>
        <w:t>occupation,</w:t>
      </w:r>
      <w:r w:rsidR="007B7640" w:rsidRPr="00CD59CC">
        <w:rPr>
          <w:rFonts w:cs="Arial"/>
        </w:rPr>
        <w:t xml:space="preserve"> </w:t>
      </w:r>
      <w:r w:rsidRPr="00CD59CC">
        <w:rPr>
          <w:rFonts w:cs="Arial"/>
        </w:rPr>
        <w:t>including</w:t>
      </w:r>
      <w:r w:rsidR="007B7640" w:rsidRPr="00CD59CC">
        <w:rPr>
          <w:rFonts w:cs="Arial"/>
        </w:rPr>
        <w:t xml:space="preserve"> </w:t>
      </w:r>
      <w:r w:rsidRPr="00CD59CC">
        <w:rPr>
          <w:rFonts w:cs="Arial"/>
        </w:rPr>
        <w:t>selection</w:t>
      </w:r>
      <w:r w:rsidR="007B7640" w:rsidRPr="00CD59CC">
        <w:rPr>
          <w:rFonts w:cs="Arial"/>
        </w:rPr>
        <w:t xml:space="preserve"> </w:t>
      </w:r>
      <w:r w:rsidRPr="00CD59CC">
        <w:rPr>
          <w:rFonts w:cs="Arial"/>
        </w:rPr>
        <w:t>criteria,</w:t>
      </w:r>
      <w:r w:rsidR="007B7640" w:rsidRPr="00CD59CC">
        <w:rPr>
          <w:rFonts w:cs="Arial"/>
        </w:rPr>
        <w:t xml:space="preserve"> </w:t>
      </w:r>
      <w:r w:rsidRPr="00CD59CC">
        <w:rPr>
          <w:rFonts w:cs="Arial"/>
        </w:rPr>
        <w:t>recruitment</w:t>
      </w:r>
      <w:r w:rsidR="007B7640" w:rsidRPr="00CD59CC">
        <w:rPr>
          <w:rFonts w:cs="Arial"/>
        </w:rPr>
        <w:t xml:space="preserve"> </w:t>
      </w:r>
      <w:r w:rsidRPr="00CD59CC">
        <w:rPr>
          <w:rFonts w:cs="Arial"/>
        </w:rPr>
        <w:t>conditions</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promotion,</w:t>
      </w:r>
      <w:r w:rsidR="007B7640" w:rsidRPr="00CD59CC">
        <w:rPr>
          <w:rFonts w:cs="Arial"/>
        </w:rPr>
        <w:t xml:space="preserve"> </w:t>
      </w:r>
      <w:r w:rsidRPr="00CD59CC">
        <w:rPr>
          <w:rFonts w:cs="Arial"/>
        </w:rPr>
        <w:t>whatever</w:t>
      </w:r>
      <w:r w:rsidR="007B7640" w:rsidRPr="00CD59CC">
        <w:rPr>
          <w:rFonts w:cs="Arial"/>
        </w:rPr>
        <w:t xml:space="preserve"> </w:t>
      </w:r>
      <w:r w:rsidRPr="00CD59CC">
        <w:rPr>
          <w:rFonts w:cs="Arial"/>
        </w:rPr>
        <w:t>the</w:t>
      </w:r>
      <w:r w:rsidR="007B7640" w:rsidRPr="00CD59CC">
        <w:rPr>
          <w:rFonts w:cs="Arial"/>
        </w:rPr>
        <w:t xml:space="preserve"> </w:t>
      </w:r>
      <w:r w:rsidRPr="00CD59CC">
        <w:rPr>
          <w:rFonts w:cs="Arial"/>
        </w:rPr>
        <w:t>branch</w:t>
      </w:r>
      <w:r w:rsidR="007B7640" w:rsidRPr="00CD59CC">
        <w:rPr>
          <w:rFonts w:cs="Arial"/>
        </w:rPr>
        <w:t xml:space="preserve"> </w:t>
      </w:r>
      <w:r w:rsidRPr="00CD59CC">
        <w:rPr>
          <w:rFonts w:cs="Arial"/>
        </w:rPr>
        <w:t>of</w:t>
      </w:r>
      <w:r w:rsidR="007B7640" w:rsidRPr="00CD59CC">
        <w:rPr>
          <w:rFonts w:cs="Arial"/>
        </w:rPr>
        <w:t xml:space="preserve"> </w:t>
      </w:r>
      <w:r w:rsidRPr="00CD59CC">
        <w:rPr>
          <w:rFonts w:cs="Arial"/>
        </w:rPr>
        <w:t>activity</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at</w:t>
      </w:r>
      <w:r w:rsidR="007B7640" w:rsidRPr="00CD59CC">
        <w:rPr>
          <w:rFonts w:cs="Arial"/>
        </w:rPr>
        <w:t xml:space="preserve"> </w:t>
      </w:r>
      <w:r w:rsidRPr="00CD59CC">
        <w:rPr>
          <w:rFonts w:cs="Arial"/>
        </w:rPr>
        <w:t>all</w:t>
      </w:r>
      <w:r w:rsidR="007B7640" w:rsidRPr="00CD59CC">
        <w:rPr>
          <w:rFonts w:cs="Arial"/>
        </w:rPr>
        <w:t xml:space="preserve"> </w:t>
      </w:r>
      <w:r w:rsidRPr="00CD59CC">
        <w:rPr>
          <w:rFonts w:cs="Arial"/>
        </w:rPr>
        <w:t>levels</w:t>
      </w:r>
      <w:r w:rsidR="007B7640" w:rsidRPr="00CD59CC">
        <w:rPr>
          <w:rFonts w:cs="Arial"/>
        </w:rPr>
        <w:t xml:space="preserve"> </w:t>
      </w:r>
      <w:r w:rsidRPr="00CD59CC">
        <w:rPr>
          <w:rFonts w:cs="Arial"/>
        </w:rPr>
        <w:t>of</w:t>
      </w:r>
      <w:r w:rsidR="007B7640" w:rsidRPr="00CD59CC">
        <w:rPr>
          <w:rFonts w:cs="Arial"/>
        </w:rPr>
        <w:t xml:space="preserve"> </w:t>
      </w:r>
      <w:r w:rsidRPr="00CD59CC">
        <w:rPr>
          <w:rFonts w:cs="Arial"/>
        </w:rPr>
        <w:t>the</w:t>
      </w:r>
      <w:r w:rsidR="007B7640" w:rsidRPr="00CD59CC">
        <w:rPr>
          <w:rFonts w:cs="Arial"/>
        </w:rPr>
        <w:t xml:space="preserve"> </w:t>
      </w:r>
      <w:r w:rsidRPr="00CD59CC">
        <w:rPr>
          <w:rFonts w:cs="Arial"/>
        </w:rPr>
        <w:t>professional</w:t>
      </w:r>
      <w:r w:rsidR="007B7640" w:rsidRPr="00CD59CC">
        <w:rPr>
          <w:rFonts w:cs="Arial"/>
        </w:rPr>
        <w:t xml:space="preserve"> </w:t>
      </w:r>
      <w:r w:rsidRPr="00CD59CC">
        <w:rPr>
          <w:rFonts w:cs="Arial"/>
        </w:rPr>
        <w:t>hierarchy</w:t>
      </w:r>
      <w:r w:rsidR="007B7640" w:rsidRPr="00CD59CC">
        <w:rPr>
          <w:rFonts w:cs="Arial"/>
        </w:rPr>
        <w:t xml:space="preserve"> </w:t>
      </w:r>
      <w:r w:rsidRPr="00CD59CC">
        <w:rPr>
          <w:rFonts w:cs="Arial"/>
        </w:rPr>
        <w:t>(Article</w:t>
      </w:r>
      <w:r w:rsidR="007B7640" w:rsidRPr="00CD59CC">
        <w:rPr>
          <w:rFonts w:cs="Arial"/>
        </w:rPr>
        <w:t xml:space="preserve"> </w:t>
      </w:r>
      <w:r w:rsidRPr="00CD59CC">
        <w:rPr>
          <w:rFonts w:cs="Arial"/>
        </w:rPr>
        <w:t>3(1)(a))</w:t>
      </w:r>
      <w:bookmarkEnd w:id="147"/>
      <w:r w:rsidR="007B7640" w:rsidRPr="00CD59CC">
        <w:rPr>
          <w:rFonts w:cs="Arial"/>
        </w:rPr>
        <w:t xml:space="preserve"> </w:t>
      </w:r>
      <w:bookmarkEnd w:id="148"/>
      <w:bookmarkEnd w:id="149"/>
      <w:bookmarkEnd w:id="150"/>
    </w:p>
    <w:p w14:paraId="5E5D9BBA" w14:textId="77777777" w:rsidR="002B5BCD" w:rsidRPr="00CD59CC" w:rsidRDefault="002B5BCD" w:rsidP="00CD59CC">
      <w:pPr>
        <w:rPr>
          <w:rFonts w:ascii="Arial" w:hAnsi="Arial" w:cs="Arial"/>
          <w:bCs/>
        </w:rPr>
      </w:pPr>
    </w:p>
    <w:p w14:paraId="482C1359" w14:textId="77777777" w:rsidR="00FE5EFF" w:rsidRPr="00CD59CC" w:rsidRDefault="00FE5EFF" w:rsidP="00CD59CC">
      <w:pPr>
        <w:rPr>
          <w:rFonts w:ascii="Arial" w:hAnsi="Arial" w:cs="Arial"/>
          <w:bCs/>
          <w:i/>
        </w:rPr>
      </w:pPr>
      <w:r w:rsidRPr="00CD59CC">
        <w:rPr>
          <w:rFonts w:ascii="Arial" w:hAnsi="Arial" w:cs="Arial"/>
          <w:bCs/>
          <w:i/>
        </w:rPr>
        <w:t>Does</w:t>
      </w:r>
      <w:r w:rsidR="007B7640" w:rsidRPr="00CD59CC">
        <w:rPr>
          <w:rFonts w:ascii="Arial" w:hAnsi="Arial" w:cs="Arial"/>
          <w:bCs/>
          <w:i/>
        </w:rPr>
        <w:t xml:space="preserve"> </w:t>
      </w:r>
      <w:r w:rsidRPr="00CD59CC">
        <w:rPr>
          <w:rFonts w:ascii="Arial" w:hAnsi="Arial" w:cs="Arial"/>
          <w:bCs/>
          <w:i/>
        </w:rPr>
        <w:t>national</w:t>
      </w:r>
      <w:r w:rsidR="007B7640" w:rsidRPr="00CD59CC">
        <w:rPr>
          <w:rFonts w:ascii="Arial" w:hAnsi="Arial" w:cs="Arial"/>
          <w:bCs/>
          <w:i/>
        </w:rPr>
        <w:t xml:space="preserve"> </w:t>
      </w:r>
      <w:r w:rsidRPr="00CD59CC">
        <w:rPr>
          <w:rFonts w:ascii="Arial" w:hAnsi="Arial" w:cs="Arial"/>
          <w:bCs/>
          <w:i/>
        </w:rPr>
        <w:t>law</w:t>
      </w:r>
      <w:r w:rsidR="007B7640" w:rsidRPr="00CD59CC">
        <w:rPr>
          <w:rFonts w:ascii="Arial" w:hAnsi="Arial" w:cs="Arial"/>
          <w:bCs/>
          <w:i/>
        </w:rPr>
        <w:t xml:space="preserve"> </w:t>
      </w:r>
      <w:r w:rsidRPr="00CD59CC">
        <w:rPr>
          <w:rFonts w:ascii="Arial" w:hAnsi="Arial" w:cs="Arial"/>
          <w:bCs/>
          <w:i/>
        </w:rPr>
        <w:t>on</w:t>
      </w:r>
      <w:r w:rsidR="007B7640" w:rsidRPr="00CD59CC">
        <w:rPr>
          <w:rFonts w:ascii="Arial" w:hAnsi="Arial" w:cs="Arial"/>
          <w:bCs/>
          <w:i/>
        </w:rPr>
        <w:t xml:space="preserve"> </w:t>
      </w:r>
      <w:r w:rsidRPr="00CD59CC">
        <w:rPr>
          <w:rFonts w:ascii="Arial" w:hAnsi="Arial" w:cs="Arial"/>
          <w:bCs/>
          <w:i/>
        </w:rPr>
        <w:t>discrimination</w:t>
      </w:r>
      <w:r w:rsidR="007B7640" w:rsidRPr="00CD59CC">
        <w:rPr>
          <w:rFonts w:ascii="Arial" w:hAnsi="Arial" w:cs="Arial"/>
          <w:bCs/>
          <w:i/>
        </w:rPr>
        <w:t xml:space="preserve"> </w:t>
      </w:r>
      <w:r w:rsidRPr="00CD59CC">
        <w:rPr>
          <w:rFonts w:ascii="Arial" w:hAnsi="Arial" w:cs="Arial"/>
          <w:bCs/>
          <w:i/>
        </w:rPr>
        <w:t>include</w:t>
      </w:r>
      <w:r w:rsidR="007B7640" w:rsidRPr="00CD59CC">
        <w:rPr>
          <w:rFonts w:ascii="Arial" w:hAnsi="Arial" w:cs="Arial"/>
          <w:bCs/>
          <w:i/>
        </w:rPr>
        <w:t xml:space="preserve"> </w:t>
      </w:r>
      <w:r w:rsidRPr="00CD59CC">
        <w:rPr>
          <w:rFonts w:ascii="Arial" w:hAnsi="Arial" w:cs="Arial"/>
          <w:bCs/>
          <w:i/>
        </w:rPr>
        <w:t>access</w:t>
      </w:r>
      <w:r w:rsidR="007B7640" w:rsidRPr="00CD59CC">
        <w:rPr>
          <w:rFonts w:ascii="Arial" w:hAnsi="Arial" w:cs="Arial"/>
          <w:bCs/>
          <w:i/>
        </w:rPr>
        <w:t xml:space="preserve"> </w:t>
      </w:r>
      <w:r w:rsidRPr="00CD59CC">
        <w:rPr>
          <w:rFonts w:ascii="Arial" w:hAnsi="Arial" w:cs="Arial"/>
          <w:bCs/>
          <w:i/>
        </w:rPr>
        <w:t>to</w:t>
      </w:r>
      <w:r w:rsidR="007B7640" w:rsidRPr="00CD59CC">
        <w:rPr>
          <w:rFonts w:ascii="Arial" w:hAnsi="Arial" w:cs="Arial"/>
          <w:bCs/>
          <w:i/>
        </w:rPr>
        <w:t xml:space="preserve"> </w:t>
      </w:r>
      <w:r w:rsidRPr="00CD59CC">
        <w:rPr>
          <w:rFonts w:ascii="Arial" w:hAnsi="Arial" w:cs="Arial"/>
          <w:bCs/>
          <w:i/>
        </w:rPr>
        <w:t>employment,</w:t>
      </w:r>
      <w:r w:rsidR="007B7640" w:rsidRPr="00CD59CC">
        <w:rPr>
          <w:rFonts w:ascii="Arial" w:hAnsi="Arial" w:cs="Arial"/>
          <w:bCs/>
          <w:i/>
        </w:rPr>
        <w:t xml:space="preserve"> </w:t>
      </w:r>
      <w:r w:rsidRPr="00CD59CC">
        <w:rPr>
          <w:rFonts w:ascii="Arial" w:hAnsi="Arial" w:cs="Arial"/>
          <w:bCs/>
          <w:i/>
        </w:rPr>
        <w:t>self-employment</w:t>
      </w:r>
      <w:r w:rsidR="007B7640" w:rsidRPr="00CD59CC">
        <w:rPr>
          <w:rFonts w:ascii="Arial" w:hAnsi="Arial" w:cs="Arial"/>
          <w:bCs/>
          <w:i/>
        </w:rPr>
        <w:t xml:space="preserve"> </w:t>
      </w:r>
      <w:r w:rsidRPr="00CD59CC">
        <w:rPr>
          <w:rFonts w:ascii="Arial" w:hAnsi="Arial" w:cs="Arial"/>
          <w:bCs/>
          <w:i/>
        </w:rPr>
        <w:t>or</w:t>
      </w:r>
      <w:r w:rsidR="007B7640" w:rsidRPr="00CD59CC">
        <w:rPr>
          <w:rFonts w:ascii="Arial" w:hAnsi="Arial" w:cs="Arial"/>
          <w:bCs/>
          <w:i/>
        </w:rPr>
        <w:t xml:space="preserve"> </w:t>
      </w:r>
      <w:r w:rsidRPr="00CD59CC">
        <w:rPr>
          <w:rFonts w:ascii="Arial" w:hAnsi="Arial" w:cs="Arial"/>
          <w:bCs/>
          <w:i/>
        </w:rPr>
        <w:t>occupation</w:t>
      </w:r>
      <w:r w:rsidR="007B7640" w:rsidRPr="00CD59CC">
        <w:rPr>
          <w:rFonts w:ascii="Arial" w:hAnsi="Arial" w:cs="Arial"/>
          <w:bCs/>
          <w:i/>
        </w:rPr>
        <w:t xml:space="preserve"> </w:t>
      </w:r>
      <w:r w:rsidRPr="00CD59CC">
        <w:rPr>
          <w:rFonts w:ascii="Arial" w:hAnsi="Arial" w:cs="Arial"/>
          <w:bCs/>
          <w:i/>
        </w:rPr>
        <w:t>as</w:t>
      </w:r>
      <w:r w:rsidR="007B7640" w:rsidRPr="00CD59CC">
        <w:rPr>
          <w:rFonts w:ascii="Arial" w:hAnsi="Arial" w:cs="Arial"/>
          <w:bCs/>
          <w:i/>
        </w:rPr>
        <w:t xml:space="preserve"> </w:t>
      </w:r>
      <w:r w:rsidRPr="00CD59CC">
        <w:rPr>
          <w:rFonts w:ascii="Arial" w:hAnsi="Arial" w:cs="Arial"/>
          <w:bCs/>
          <w:i/>
        </w:rPr>
        <w:t>described</w:t>
      </w:r>
      <w:r w:rsidR="007B7640" w:rsidRPr="00CD59CC">
        <w:rPr>
          <w:rFonts w:ascii="Arial" w:hAnsi="Arial" w:cs="Arial"/>
          <w:bCs/>
          <w:i/>
        </w:rPr>
        <w:t xml:space="preserve"> </w:t>
      </w:r>
      <w:r w:rsidRPr="00CD59CC">
        <w:rPr>
          <w:rFonts w:ascii="Arial" w:hAnsi="Arial" w:cs="Arial"/>
          <w:bCs/>
          <w:i/>
        </w:rPr>
        <w:t>in</w:t>
      </w:r>
      <w:r w:rsidR="007B7640" w:rsidRPr="00CD59CC">
        <w:rPr>
          <w:rFonts w:ascii="Arial" w:hAnsi="Arial" w:cs="Arial"/>
          <w:bCs/>
          <w:i/>
        </w:rPr>
        <w:t xml:space="preserve"> </w:t>
      </w:r>
      <w:r w:rsidRPr="00CD59CC">
        <w:rPr>
          <w:rFonts w:ascii="Arial" w:hAnsi="Arial" w:cs="Arial"/>
          <w:bCs/>
          <w:i/>
        </w:rPr>
        <w:t>the</w:t>
      </w:r>
      <w:r w:rsidR="007B7640" w:rsidRPr="00CD59CC">
        <w:rPr>
          <w:rFonts w:ascii="Arial" w:hAnsi="Arial" w:cs="Arial"/>
          <w:bCs/>
          <w:i/>
        </w:rPr>
        <w:t xml:space="preserve"> </w:t>
      </w:r>
      <w:r w:rsidRPr="00CD59CC">
        <w:rPr>
          <w:rFonts w:ascii="Arial" w:hAnsi="Arial" w:cs="Arial"/>
          <w:bCs/>
          <w:i/>
        </w:rPr>
        <w:t>Directives?</w:t>
      </w:r>
      <w:r w:rsidR="007B7640" w:rsidRPr="00CD59CC">
        <w:rPr>
          <w:rFonts w:ascii="Arial" w:hAnsi="Arial" w:cs="Arial"/>
          <w:bCs/>
          <w:i/>
        </w:rPr>
        <w:t xml:space="preserve"> </w:t>
      </w:r>
      <w:r w:rsidR="00F070F7" w:rsidRPr="00CD59CC">
        <w:rPr>
          <w:rFonts w:ascii="Arial" w:hAnsi="Arial" w:cs="Arial"/>
          <w:bCs/>
          <w:i/>
        </w:rPr>
        <w:t>In</w:t>
      </w:r>
      <w:r w:rsidR="007B7640" w:rsidRPr="00CD59CC">
        <w:rPr>
          <w:rFonts w:ascii="Arial" w:hAnsi="Arial" w:cs="Arial"/>
          <w:bCs/>
          <w:i/>
        </w:rPr>
        <w:t xml:space="preserve"> </w:t>
      </w:r>
      <w:r w:rsidR="00F070F7" w:rsidRPr="00CD59CC">
        <w:rPr>
          <w:rFonts w:ascii="Arial" w:hAnsi="Arial" w:cs="Arial"/>
          <w:bCs/>
          <w:i/>
        </w:rPr>
        <w:t>case</w:t>
      </w:r>
      <w:r w:rsidR="007B7640" w:rsidRPr="00CD59CC">
        <w:rPr>
          <w:rFonts w:ascii="Arial" w:hAnsi="Arial" w:cs="Arial"/>
          <w:bCs/>
          <w:i/>
        </w:rPr>
        <w:t xml:space="preserve"> </w:t>
      </w:r>
      <w:r w:rsidR="00F070F7" w:rsidRPr="00CD59CC">
        <w:rPr>
          <w:rFonts w:ascii="Arial" w:hAnsi="Arial" w:cs="Arial"/>
          <w:bCs/>
          <w:i/>
        </w:rPr>
        <w:t>national</w:t>
      </w:r>
      <w:r w:rsidR="007B7640" w:rsidRPr="00CD59CC">
        <w:rPr>
          <w:rFonts w:ascii="Arial" w:hAnsi="Arial" w:cs="Arial"/>
          <w:bCs/>
          <w:i/>
        </w:rPr>
        <w:t xml:space="preserve"> </w:t>
      </w:r>
      <w:r w:rsidR="00F070F7" w:rsidRPr="00CD59CC">
        <w:rPr>
          <w:rFonts w:ascii="Arial" w:hAnsi="Arial" w:cs="Arial"/>
          <w:bCs/>
          <w:i/>
        </w:rPr>
        <w:t>anti-discrimination</w:t>
      </w:r>
      <w:r w:rsidR="007B7640" w:rsidRPr="00CD59CC">
        <w:rPr>
          <w:rFonts w:ascii="Arial" w:hAnsi="Arial" w:cs="Arial"/>
          <w:bCs/>
          <w:i/>
        </w:rPr>
        <w:t xml:space="preserve"> </w:t>
      </w:r>
      <w:r w:rsidR="00F070F7" w:rsidRPr="00CD59CC">
        <w:rPr>
          <w:rFonts w:ascii="Arial" w:hAnsi="Arial" w:cs="Arial"/>
          <w:bCs/>
          <w:i/>
        </w:rPr>
        <w:t>law</w:t>
      </w:r>
      <w:r w:rsidR="007B7640" w:rsidRPr="00CD59CC">
        <w:rPr>
          <w:rFonts w:ascii="Arial" w:hAnsi="Arial" w:cs="Arial"/>
          <w:bCs/>
          <w:i/>
        </w:rPr>
        <w:t xml:space="preserve"> </w:t>
      </w:r>
      <w:r w:rsidR="00F070F7" w:rsidRPr="00CD59CC">
        <w:rPr>
          <w:rFonts w:ascii="Arial" w:hAnsi="Arial" w:cs="Arial"/>
          <w:bCs/>
          <w:i/>
        </w:rPr>
        <w:t>does</w:t>
      </w:r>
      <w:r w:rsidR="007B7640" w:rsidRPr="00CD59CC">
        <w:rPr>
          <w:rFonts w:ascii="Arial" w:hAnsi="Arial" w:cs="Arial"/>
          <w:bCs/>
          <w:i/>
        </w:rPr>
        <w:t xml:space="preserve"> </w:t>
      </w:r>
      <w:r w:rsidR="00F070F7" w:rsidRPr="00CD59CC">
        <w:rPr>
          <w:rFonts w:ascii="Arial" w:hAnsi="Arial" w:cs="Arial"/>
          <w:bCs/>
          <w:i/>
        </w:rPr>
        <w:t>not</w:t>
      </w:r>
      <w:r w:rsidR="007B7640" w:rsidRPr="00CD59CC">
        <w:rPr>
          <w:rFonts w:ascii="Arial" w:hAnsi="Arial" w:cs="Arial"/>
          <w:bCs/>
          <w:i/>
        </w:rPr>
        <w:t xml:space="preserve"> </w:t>
      </w:r>
      <w:r w:rsidR="00F070F7" w:rsidRPr="00CD59CC">
        <w:rPr>
          <w:rFonts w:ascii="Arial" w:hAnsi="Arial" w:cs="Arial"/>
          <w:bCs/>
          <w:i/>
        </w:rPr>
        <w:t>do</w:t>
      </w:r>
      <w:r w:rsidR="007B7640" w:rsidRPr="00CD59CC">
        <w:rPr>
          <w:rFonts w:ascii="Arial" w:hAnsi="Arial" w:cs="Arial"/>
          <w:bCs/>
          <w:i/>
        </w:rPr>
        <w:t xml:space="preserve"> </w:t>
      </w:r>
      <w:r w:rsidR="00F070F7" w:rsidRPr="00CD59CC">
        <w:rPr>
          <w:rFonts w:ascii="Arial" w:hAnsi="Arial" w:cs="Arial"/>
          <w:bCs/>
          <w:i/>
        </w:rPr>
        <w:t>so,</w:t>
      </w:r>
      <w:r w:rsidR="007B7640" w:rsidRPr="00CD59CC">
        <w:rPr>
          <w:rFonts w:ascii="Arial" w:hAnsi="Arial" w:cs="Arial"/>
          <w:bCs/>
          <w:i/>
        </w:rPr>
        <w:t xml:space="preserve"> </w:t>
      </w:r>
      <w:r w:rsidR="00F070F7" w:rsidRPr="00CD59CC">
        <w:rPr>
          <w:rFonts w:ascii="Arial" w:hAnsi="Arial" w:cs="Arial"/>
          <w:bCs/>
          <w:i/>
        </w:rPr>
        <w:t>is</w:t>
      </w:r>
      <w:r w:rsidR="007B7640" w:rsidRPr="00CD59CC">
        <w:rPr>
          <w:rFonts w:ascii="Arial" w:hAnsi="Arial" w:cs="Arial"/>
          <w:bCs/>
          <w:i/>
        </w:rPr>
        <w:t xml:space="preserve"> </w:t>
      </w:r>
      <w:r w:rsidR="00F070F7" w:rsidRPr="00CD59CC">
        <w:rPr>
          <w:rFonts w:ascii="Arial" w:hAnsi="Arial" w:cs="Arial"/>
          <w:bCs/>
          <w:i/>
        </w:rPr>
        <w:t>discrimination</w:t>
      </w:r>
      <w:r w:rsidR="007B7640" w:rsidRPr="00CD59CC">
        <w:rPr>
          <w:rFonts w:ascii="Arial" w:hAnsi="Arial" w:cs="Arial"/>
          <w:bCs/>
          <w:i/>
        </w:rPr>
        <w:t xml:space="preserve"> </w:t>
      </w:r>
      <w:r w:rsidR="00F070F7" w:rsidRPr="00CD59CC">
        <w:rPr>
          <w:rFonts w:ascii="Arial" w:hAnsi="Arial" w:cs="Arial"/>
          <w:bCs/>
          <w:i/>
        </w:rPr>
        <w:t>regarding</w:t>
      </w:r>
      <w:r w:rsidR="007B7640" w:rsidRPr="00CD59CC">
        <w:rPr>
          <w:rFonts w:ascii="Arial" w:hAnsi="Arial" w:cs="Arial"/>
          <w:bCs/>
          <w:i/>
        </w:rPr>
        <w:t xml:space="preserve"> </w:t>
      </w:r>
      <w:r w:rsidR="00F070F7" w:rsidRPr="00CD59CC">
        <w:rPr>
          <w:rFonts w:ascii="Arial" w:hAnsi="Arial" w:cs="Arial"/>
          <w:bCs/>
          <w:i/>
        </w:rPr>
        <w:t>access</w:t>
      </w:r>
      <w:r w:rsidR="007B7640" w:rsidRPr="00CD59CC">
        <w:rPr>
          <w:rFonts w:ascii="Arial" w:hAnsi="Arial" w:cs="Arial"/>
          <w:bCs/>
          <w:i/>
        </w:rPr>
        <w:t xml:space="preserve"> </w:t>
      </w:r>
      <w:r w:rsidR="00F070F7" w:rsidRPr="00CD59CC">
        <w:rPr>
          <w:rFonts w:ascii="Arial" w:hAnsi="Arial" w:cs="Arial"/>
          <w:bCs/>
          <w:i/>
        </w:rPr>
        <w:t>to</w:t>
      </w:r>
      <w:r w:rsidR="007B7640" w:rsidRPr="00CD59CC">
        <w:rPr>
          <w:rFonts w:ascii="Arial" w:hAnsi="Arial" w:cs="Arial"/>
          <w:bCs/>
          <w:i/>
        </w:rPr>
        <w:t xml:space="preserve"> </w:t>
      </w:r>
      <w:r w:rsidR="00F070F7" w:rsidRPr="00CD59CC">
        <w:rPr>
          <w:rFonts w:ascii="Arial" w:hAnsi="Arial" w:cs="Arial"/>
          <w:bCs/>
          <w:i/>
        </w:rPr>
        <w:t>employment,</w:t>
      </w:r>
      <w:r w:rsidR="007B7640" w:rsidRPr="00CD59CC">
        <w:rPr>
          <w:rFonts w:ascii="Arial" w:hAnsi="Arial" w:cs="Arial"/>
          <w:bCs/>
          <w:i/>
        </w:rPr>
        <w:t xml:space="preserve"> </w:t>
      </w:r>
      <w:r w:rsidR="00F070F7" w:rsidRPr="00CD59CC">
        <w:rPr>
          <w:rFonts w:ascii="Arial" w:hAnsi="Arial" w:cs="Arial"/>
          <w:bCs/>
          <w:i/>
        </w:rPr>
        <w:t>self-employment</w:t>
      </w:r>
      <w:r w:rsidR="007B7640" w:rsidRPr="00CD59CC">
        <w:rPr>
          <w:rFonts w:ascii="Arial" w:hAnsi="Arial" w:cs="Arial"/>
          <w:bCs/>
          <w:i/>
        </w:rPr>
        <w:t xml:space="preserve"> </w:t>
      </w:r>
      <w:r w:rsidR="00F070F7" w:rsidRPr="00CD59CC">
        <w:rPr>
          <w:rFonts w:ascii="Arial" w:hAnsi="Arial" w:cs="Arial"/>
          <w:bCs/>
          <w:i/>
        </w:rPr>
        <w:t>and</w:t>
      </w:r>
      <w:r w:rsidR="007B7640" w:rsidRPr="00CD59CC">
        <w:rPr>
          <w:rFonts w:ascii="Arial" w:hAnsi="Arial" w:cs="Arial"/>
          <w:bCs/>
          <w:i/>
        </w:rPr>
        <w:t xml:space="preserve"> </w:t>
      </w:r>
      <w:r w:rsidR="00F070F7" w:rsidRPr="00CD59CC">
        <w:rPr>
          <w:rFonts w:ascii="Arial" w:hAnsi="Arial" w:cs="Arial"/>
          <w:bCs/>
          <w:i/>
        </w:rPr>
        <w:t>occupation</w:t>
      </w:r>
      <w:r w:rsidR="007B7640" w:rsidRPr="00CD59CC">
        <w:rPr>
          <w:rFonts w:ascii="Arial" w:hAnsi="Arial" w:cs="Arial"/>
          <w:bCs/>
          <w:i/>
        </w:rPr>
        <w:t xml:space="preserve"> </w:t>
      </w:r>
      <w:r w:rsidR="00F070F7" w:rsidRPr="00CD59CC">
        <w:rPr>
          <w:rFonts w:ascii="Arial" w:hAnsi="Arial" w:cs="Arial"/>
          <w:bCs/>
          <w:i/>
        </w:rPr>
        <w:t>dealt</w:t>
      </w:r>
      <w:r w:rsidR="007B7640" w:rsidRPr="00CD59CC">
        <w:rPr>
          <w:rFonts w:ascii="Arial" w:hAnsi="Arial" w:cs="Arial"/>
          <w:bCs/>
          <w:i/>
        </w:rPr>
        <w:t xml:space="preserve"> </w:t>
      </w:r>
      <w:r w:rsidR="00F070F7" w:rsidRPr="00CD59CC">
        <w:rPr>
          <w:rFonts w:ascii="Arial" w:hAnsi="Arial" w:cs="Arial"/>
          <w:bCs/>
          <w:i/>
        </w:rPr>
        <w:t>with</w:t>
      </w:r>
      <w:r w:rsidR="007B7640" w:rsidRPr="00CD59CC">
        <w:rPr>
          <w:rFonts w:ascii="Arial" w:hAnsi="Arial" w:cs="Arial"/>
          <w:bCs/>
          <w:i/>
        </w:rPr>
        <w:t xml:space="preserve"> </w:t>
      </w:r>
      <w:r w:rsidR="00F070F7" w:rsidRPr="00CD59CC">
        <w:rPr>
          <w:rFonts w:ascii="Arial" w:hAnsi="Arial" w:cs="Arial"/>
          <w:bCs/>
          <w:i/>
        </w:rPr>
        <w:t>in</w:t>
      </w:r>
      <w:r w:rsidR="007B7640" w:rsidRPr="00CD59CC">
        <w:rPr>
          <w:rFonts w:ascii="Arial" w:hAnsi="Arial" w:cs="Arial"/>
          <w:bCs/>
          <w:i/>
        </w:rPr>
        <w:t xml:space="preserve"> </w:t>
      </w:r>
      <w:r w:rsidR="00F070F7" w:rsidRPr="00CD59CC">
        <w:rPr>
          <w:rFonts w:ascii="Arial" w:hAnsi="Arial" w:cs="Arial"/>
          <w:bCs/>
          <w:i/>
        </w:rPr>
        <w:t>any</w:t>
      </w:r>
      <w:r w:rsidR="007B7640" w:rsidRPr="00CD59CC">
        <w:rPr>
          <w:rFonts w:ascii="Arial" w:hAnsi="Arial" w:cs="Arial"/>
          <w:bCs/>
          <w:i/>
        </w:rPr>
        <w:t xml:space="preserve"> </w:t>
      </w:r>
      <w:r w:rsidR="00F070F7" w:rsidRPr="00CD59CC">
        <w:rPr>
          <w:rFonts w:ascii="Arial" w:hAnsi="Arial" w:cs="Arial"/>
          <w:bCs/>
          <w:i/>
        </w:rPr>
        <w:t>other</w:t>
      </w:r>
      <w:r w:rsidR="007B7640" w:rsidRPr="00CD59CC">
        <w:rPr>
          <w:rFonts w:ascii="Arial" w:hAnsi="Arial" w:cs="Arial"/>
          <w:bCs/>
          <w:i/>
        </w:rPr>
        <w:t xml:space="preserve"> </w:t>
      </w:r>
      <w:r w:rsidR="00F070F7" w:rsidRPr="00CD59CC">
        <w:rPr>
          <w:rFonts w:ascii="Arial" w:hAnsi="Arial" w:cs="Arial"/>
          <w:bCs/>
          <w:i/>
        </w:rPr>
        <w:t>legislation?</w:t>
      </w:r>
    </w:p>
    <w:p w14:paraId="5DEF22EF" w14:textId="77777777" w:rsidR="00FE5EFF" w:rsidRPr="00CD59CC" w:rsidRDefault="00FE5EFF" w:rsidP="00CD59CC">
      <w:pPr>
        <w:rPr>
          <w:rFonts w:ascii="Arial" w:hAnsi="Arial" w:cs="Arial"/>
          <w:bCs/>
          <w:i/>
        </w:rPr>
      </w:pPr>
      <w:r w:rsidRPr="00CD59CC">
        <w:rPr>
          <w:rFonts w:ascii="Arial" w:hAnsi="Arial" w:cs="Arial"/>
          <w:i/>
        </w:rPr>
        <w:t>Is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public</w:t>
      </w:r>
      <w:r w:rsidR="007B7640" w:rsidRPr="00CD59CC">
        <w:rPr>
          <w:rFonts w:ascii="Arial" w:hAnsi="Arial" w:cs="Arial"/>
          <w:i/>
        </w:rPr>
        <w:t xml:space="preserve"> </w:t>
      </w:r>
      <w:r w:rsidRPr="00CD59CC">
        <w:rPr>
          <w:rFonts w:ascii="Arial" w:hAnsi="Arial" w:cs="Arial"/>
          <w:i/>
        </w:rPr>
        <w:t>sector</w:t>
      </w:r>
      <w:r w:rsidR="007B7640" w:rsidRPr="00CD59CC">
        <w:rPr>
          <w:rFonts w:ascii="Arial" w:hAnsi="Arial" w:cs="Arial"/>
          <w:i/>
        </w:rPr>
        <w:t xml:space="preserve"> </w:t>
      </w:r>
      <w:r w:rsidRPr="00CD59CC">
        <w:rPr>
          <w:rFonts w:ascii="Arial" w:hAnsi="Arial" w:cs="Arial"/>
          <w:i/>
        </w:rPr>
        <w:t>dealt</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differently</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private</w:t>
      </w:r>
      <w:r w:rsidR="007B7640" w:rsidRPr="00CD59CC">
        <w:rPr>
          <w:rFonts w:ascii="Arial" w:hAnsi="Arial" w:cs="Arial"/>
          <w:i/>
        </w:rPr>
        <w:t xml:space="preserve"> </w:t>
      </w:r>
      <w:r w:rsidRPr="00CD59CC">
        <w:rPr>
          <w:rFonts w:ascii="Arial" w:hAnsi="Arial" w:cs="Arial"/>
          <w:i/>
        </w:rPr>
        <w:t>sector?</w:t>
      </w:r>
    </w:p>
    <w:p w14:paraId="3A1C105A" w14:textId="77777777" w:rsidR="00FE5EFF" w:rsidRPr="00CD59CC" w:rsidRDefault="00FE5EFF" w:rsidP="00CD59CC">
      <w:pPr>
        <w:rPr>
          <w:rFonts w:ascii="Arial" w:hAnsi="Arial" w:cs="Arial"/>
          <w:bCs/>
        </w:rPr>
      </w:pPr>
    </w:p>
    <w:p w14:paraId="61AC2B41" w14:textId="77777777" w:rsidR="000F3883" w:rsidRPr="00CD59CC" w:rsidRDefault="000F3883" w:rsidP="00CD59CC">
      <w:pPr>
        <w:rPr>
          <w:rFonts w:ascii="Arial" w:hAnsi="Arial" w:cs="Arial"/>
        </w:rPr>
      </w:pP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remark</w:t>
      </w:r>
      <w:r w:rsidR="007B7640" w:rsidRPr="00CD59CC">
        <w:rPr>
          <w:rFonts w:ascii="Arial" w:hAnsi="Arial" w:cs="Arial"/>
        </w:rPr>
        <w:t xml:space="preserve"> </w:t>
      </w:r>
      <w:r w:rsidRPr="00CD59CC">
        <w:rPr>
          <w:rFonts w:ascii="Arial" w:hAnsi="Arial" w:cs="Arial"/>
        </w:rPr>
        <w:t>regarding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paragraphs,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reiterated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covers</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covered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goes</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beyond</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respect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answers</w:t>
      </w:r>
      <w:r w:rsidR="007B7640" w:rsidRPr="00CD59CC">
        <w:rPr>
          <w:rFonts w:ascii="Arial" w:hAnsi="Arial" w:cs="Arial"/>
        </w:rPr>
        <w:t xml:space="preserve"> </w:t>
      </w:r>
      <w:r w:rsidRPr="00CD59CC">
        <w:rPr>
          <w:rFonts w:ascii="Arial" w:hAnsi="Arial" w:cs="Arial"/>
        </w:rPr>
        <w:t>below</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interpreted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cover</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included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p>
    <w:p w14:paraId="25043F4C" w14:textId="77777777" w:rsidR="000F3883" w:rsidRPr="00CD59CC" w:rsidRDefault="000F3883" w:rsidP="00CD59CC">
      <w:pPr>
        <w:rPr>
          <w:rFonts w:ascii="Arial" w:hAnsi="Arial" w:cs="Arial"/>
          <w:bCs/>
        </w:rPr>
      </w:pPr>
    </w:p>
    <w:p w14:paraId="2EFD028E" w14:textId="77777777" w:rsidR="000F3883" w:rsidRPr="00CD59CC" w:rsidRDefault="000F3883" w:rsidP="00CD59CC">
      <w:pPr>
        <w:rPr>
          <w:rFonts w:ascii="Arial" w:hAnsi="Arial" w:cs="Arial"/>
          <w:bCs/>
        </w:rPr>
      </w:pPr>
      <w:r w:rsidRPr="00CD59CC">
        <w:rPr>
          <w:rFonts w:ascii="Arial" w:hAnsi="Arial" w:cs="Arial"/>
          <w:bCs/>
        </w:rPr>
        <w:lastRenderedPageBreak/>
        <w:t>As</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specific</w:t>
      </w:r>
      <w:r w:rsidR="007B7640" w:rsidRPr="00CD59CC">
        <w:rPr>
          <w:rFonts w:ascii="Arial" w:hAnsi="Arial" w:cs="Arial"/>
          <w:bCs/>
        </w:rPr>
        <w:t xml:space="preserve"> </w:t>
      </w:r>
      <w:r w:rsidRPr="00CD59CC">
        <w:rPr>
          <w:rFonts w:ascii="Arial" w:hAnsi="Arial" w:cs="Arial"/>
          <w:bCs/>
        </w:rPr>
        <w:t>issue:</w:t>
      </w:r>
      <w:r w:rsidR="007B7640" w:rsidRPr="00CD59CC">
        <w:rPr>
          <w:rFonts w:ascii="Arial" w:hAnsi="Arial" w:cs="Arial"/>
          <w:bCs/>
        </w:rPr>
        <w:t xml:space="preserve"> </w:t>
      </w:r>
      <w:r w:rsidRPr="00CD59CC">
        <w:rPr>
          <w:rFonts w:ascii="Arial" w:hAnsi="Arial" w:cs="Arial"/>
          <w:bCs/>
        </w:rPr>
        <w:t>under</w:t>
      </w:r>
      <w:r w:rsidR="007B7640" w:rsidRPr="00CD59CC">
        <w:rPr>
          <w:rFonts w:ascii="Arial" w:hAnsi="Arial" w:cs="Arial"/>
          <w:bCs/>
        </w:rPr>
        <w:t xml:space="preserve"> </w:t>
      </w:r>
      <w:r w:rsidRPr="00CD59CC">
        <w:rPr>
          <w:rFonts w:ascii="Arial" w:hAnsi="Arial" w:cs="Arial"/>
          <w:bCs/>
        </w:rPr>
        <w:t>Article</w:t>
      </w:r>
      <w:r w:rsidR="007B7640" w:rsidRPr="00CD59CC">
        <w:rPr>
          <w:rFonts w:ascii="Arial" w:hAnsi="Arial" w:cs="Arial"/>
          <w:bCs/>
        </w:rPr>
        <w:t xml:space="preserve"> </w:t>
      </w:r>
      <w:r w:rsidRPr="00CD59CC">
        <w:rPr>
          <w:rFonts w:ascii="Arial" w:hAnsi="Arial" w:cs="Arial"/>
          <w:bCs/>
        </w:rPr>
        <w:t>21</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r w:rsidR="007B7640" w:rsidRPr="00CD59CC">
        <w:rPr>
          <w:rFonts w:ascii="Arial" w:hAnsi="Arial" w:cs="Arial"/>
          <w:bCs/>
        </w:rPr>
        <w:t xml:space="preserve"> </w:t>
      </w:r>
      <w:r w:rsidRPr="00CD59CC">
        <w:rPr>
          <w:rFonts w:ascii="Arial" w:hAnsi="Arial" w:cs="Arial"/>
          <w:bCs/>
        </w:rPr>
        <w:t>(see</w:t>
      </w:r>
      <w:r w:rsidR="007B7640" w:rsidRPr="00CD59CC">
        <w:rPr>
          <w:rFonts w:ascii="Arial" w:hAnsi="Arial" w:cs="Arial"/>
          <w:bCs/>
        </w:rPr>
        <w:t xml:space="preserve"> </w:t>
      </w:r>
      <w:r w:rsidRPr="00CD59CC">
        <w:rPr>
          <w:rFonts w:ascii="Arial" w:hAnsi="Arial" w:cs="Arial"/>
          <w:bCs/>
        </w:rPr>
        <w:t>above,</w:t>
      </w:r>
      <w:r w:rsidR="007B7640" w:rsidRPr="00CD59CC">
        <w:rPr>
          <w:rFonts w:ascii="Arial" w:hAnsi="Arial" w:cs="Arial"/>
          <w:bCs/>
        </w:rPr>
        <w:t xml:space="preserve"> </w:t>
      </w:r>
      <w:r w:rsidRPr="00CD59CC">
        <w:rPr>
          <w:rFonts w:ascii="Arial" w:hAnsi="Arial" w:cs="Arial"/>
          <w:bCs/>
        </w:rPr>
        <w:t>under</w:t>
      </w:r>
      <w:r w:rsidR="007B7640" w:rsidRPr="00CD59CC">
        <w:rPr>
          <w:rFonts w:ascii="Arial" w:hAnsi="Arial" w:cs="Arial"/>
          <w:bCs/>
        </w:rPr>
        <w:t xml:space="preserve"> </w:t>
      </w:r>
      <w:r w:rsidRPr="00CD59CC">
        <w:rPr>
          <w:rFonts w:ascii="Arial" w:hAnsi="Arial" w:cs="Arial"/>
          <w:bCs/>
        </w:rPr>
        <w:t>Section</w:t>
      </w:r>
      <w:r w:rsidR="007B7640" w:rsidRPr="00CD59CC">
        <w:rPr>
          <w:rFonts w:ascii="Arial" w:hAnsi="Arial" w:cs="Arial"/>
          <w:bCs/>
        </w:rPr>
        <w:t xml:space="preserve"> </w:t>
      </w:r>
      <w:r w:rsidRPr="00CD59CC">
        <w:rPr>
          <w:rFonts w:ascii="Arial" w:hAnsi="Arial" w:cs="Arial"/>
          <w:bCs/>
        </w:rPr>
        <w:t>3.2.1.),</w:t>
      </w:r>
      <w:r w:rsidR="007B7640" w:rsidRPr="00CD59CC">
        <w:rPr>
          <w:rFonts w:ascii="Arial" w:hAnsi="Arial" w:cs="Arial"/>
          <w:bCs/>
        </w:rPr>
        <w:t xml:space="preserve"> </w:t>
      </w:r>
      <w:r w:rsidRPr="00CD59CC">
        <w:rPr>
          <w:rFonts w:ascii="Arial" w:hAnsi="Arial" w:cs="Arial"/>
          <w:bCs/>
        </w:rPr>
        <w:t>these</w:t>
      </w:r>
      <w:r w:rsidR="007B7640" w:rsidRPr="00CD59CC">
        <w:rPr>
          <w:rFonts w:ascii="Arial" w:hAnsi="Arial" w:cs="Arial"/>
          <w:bCs/>
        </w:rPr>
        <w:t xml:space="preserve"> </w:t>
      </w:r>
      <w:r w:rsidRPr="00CD59CC">
        <w:rPr>
          <w:rFonts w:ascii="Arial" w:hAnsi="Arial" w:cs="Arial"/>
          <w:bCs/>
        </w:rPr>
        <w:t>issues</w:t>
      </w:r>
      <w:r w:rsidR="007B7640" w:rsidRPr="00CD59CC">
        <w:rPr>
          <w:rFonts w:ascii="Arial" w:hAnsi="Arial" w:cs="Arial"/>
          <w:bCs/>
        </w:rPr>
        <w:t xml:space="preserve"> </w:t>
      </w:r>
      <w:r w:rsidRPr="00CD59CC">
        <w:rPr>
          <w:rFonts w:ascii="Arial" w:hAnsi="Arial" w:cs="Arial"/>
          <w:bCs/>
        </w:rPr>
        <w:t>are</w:t>
      </w:r>
      <w:r w:rsidR="007B7640" w:rsidRPr="00CD59CC">
        <w:rPr>
          <w:rFonts w:ascii="Arial" w:hAnsi="Arial" w:cs="Arial"/>
          <w:bCs/>
        </w:rPr>
        <w:t xml:space="preserve"> </w:t>
      </w:r>
      <w:r w:rsidRPr="00CD59CC">
        <w:rPr>
          <w:rFonts w:ascii="Arial" w:hAnsi="Arial" w:cs="Arial"/>
          <w:bCs/>
        </w:rPr>
        <w:t>covered</w:t>
      </w:r>
      <w:r w:rsidR="007B7640" w:rsidRPr="00CD59CC">
        <w:rPr>
          <w:rFonts w:ascii="Arial" w:hAnsi="Arial" w:cs="Arial"/>
          <w:bCs/>
        </w:rPr>
        <w:t xml:space="preserve"> </w:t>
      </w:r>
      <w:r w:rsidRPr="00CD59CC">
        <w:rPr>
          <w:rFonts w:ascii="Arial" w:hAnsi="Arial" w:cs="Arial"/>
          <w:bCs/>
        </w:rPr>
        <w:t>by</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requirement</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equal</w:t>
      </w:r>
      <w:r w:rsidR="007B7640" w:rsidRPr="00CD59CC">
        <w:rPr>
          <w:rFonts w:ascii="Arial" w:hAnsi="Arial" w:cs="Arial"/>
          <w:bCs/>
        </w:rPr>
        <w:t xml:space="preserve"> </w:t>
      </w:r>
      <w:r w:rsidRPr="00CD59CC">
        <w:rPr>
          <w:rFonts w:ascii="Arial" w:hAnsi="Arial" w:cs="Arial"/>
          <w:bCs/>
        </w:rPr>
        <w:t>treatment</w:t>
      </w:r>
      <w:r w:rsidR="007B7640" w:rsidRPr="00CD59CC">
        <w:rPr>
          <w:rFonts w:ascii="Arial" w:hAnsi="Arial" w:cs="Arial"/>
          <w:bCs/>
        </w:rPr>
        <w:t xml:space="preserve"> </w:t>
      </w:r>
      <w:r w:rsidRPr="00CD59CC">
        <w:rPr>
          <w:rFonts w:ascii="Arial" w:hAnsi="Arial" w:cs="Arial"/>
          <w:bCs/>
        </w:rPr>
        <w:t>with</w:t>
      </w:r>
      <w:r w:rsidR="007B7640" w:rsidRPr="00CD59CC">
        <w:rPr>
          <w:rFonts w:ascii="Arial" w:hAnsi="Arial" w:cs="Arial"/>
          <w:bCs/>
        </w:rPr>
        <w:t xml:space="preserve"> </w:t>
      </w:r>
      <w:r w:rsidRPr="00CD59CC">
        <w:rPr>
          <w:rFonts w:ascii="Arial" w:hAnsi="Arial" w:cs="Arial"/>
          <w:bCs/>
        </w:rPr>
        <w:t>regard</w:t>
      </w:r>
      <w:r w:rsidR="007B7640" w:rsidRPr="00CD59CC">
        <w:rPr>
          <w:rFonts w:ascii="Arial" w:hAnsi="Arial" w:cs="Arial"/>
          <w:bCs/>
        </w:rPr>
        <w:t xml:space="preserve"> </w:t>
      </w:r>
      <w:r w:rsidRPr="00CD59CC">
        <w:rPr>
          <w:rFonts w:ascii="Arial" w:hAnsi="Arial" w:cs="Arial"/>
          <w:bCs/>
        </w:rPr>
        <w:t>to</w:t>
      </w:r>
      <w:r w:rsidR="007B7640" w:rsidRPr="00CD59CC">
        <w:rPr>
          <w:rFonts w:ascii="Arial" w:hAnsi="Arial" w:cs="Arial"/>
          <w:bCs/>
        </w:rPr>
        <w:t xml:space="preserve"> </w:t>
      </w:r>
      <w:r w:rsidRPr="00CD59CC">
        <w:rPr>
          <w:rFonts w:ascii="Arial" w:hAnsi="Arial" w:cs="Arial"/>
          <w:bCs/>
        </w:rPr>
        <w:t>both</w:t>
      </w:r>
      <w:r w:rsidR="007B7640" w:rsidRPr="00CD59CC">
        <w:rPr>
          <w:rFonts w:ascii="Arial" w:hAnsi="Arial" w:cs="Arial"/>
          <w:bCs/>
        </w:rPr>
        <w:t xml:space="preserve"> </w:t>
      </w:r>
      <w:r w:rsidRPr="00CD59CC">
        <w:rPr>
          <w:rFonts w:ascii="Arial" w:hAnsi="Arial" w:cs="Arial"/>
          <w:bCs/>
        </w:rPr>
        <w:t>employment</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self-employment.</w:t>
      </w:r>
      <w:r w:rsidR="007B7640" w:rsidRPr="00CD59CC">
        <w:rPr>
          <w:rFonts w:ascii="Arial" w:hAnsi="Arial" w:cs="Arial"/>
          <w:bCs/>
        </w:rPr>
        <w:t xml:space="preserve"> </w:t>
      </w:r>
    </w:p>
    <w:p w14:paraId="3B57C10D" w14:textId="77777777" w:rsidR="000F3883" w:rsidRPr="00CD59CC" w:rsidRDefault="000F3883" w:rsidP="00CD59CC">
      <w:pPr>
        <w:rPr>
          <w:rFonts w:ascii="Arial" w:hAnsi="Arial" w:cs="Arial"/>
          <w:bCs/>
        </w:rPr>
      </w:pPr>
    </w:p>
    <w:p w14:paraId="3095E3CB" w14:textId="77777777" w:rsidR="000F3883" w:rsidRPr="00CD59CC" w:rsidRDefault="000F3883" w:rsidP="00CD59CC">
      <w:pPr>
        <w:rPr>
          <w:rFonts w:ascii="Arial" w:hAnsi="Arial" w:cs="Arial"/>
          <w:bCs/>
        </w:rPr>
      </w:pPr>
      <w:r w:rsidRPr="00CD59CC">
        <w:rPr>
          <w:rFonts w:ascii="Arial" w:hAnsi="Arial" w:cs="Arial"/>
          <w:bCs/>
        </w:rPr>
        <w:t>No</w:t>
      </w:r>
      <w:r w:rsidR="007B7640" w:rsidRPr="00CD59CC">
        <w:rPr>
          <w:rFonts w:ascii="Arial" w:hAnsi="Arial" w:cs="Arial"/>
          <w:bCs/>
        </w:rPr>
        <w:t xml:space="preserve"> </w:t>
      </w:r>
      <w:r w:rsidRPr="00CD59CC">
        <w:rPr>
          <w:rFonts w:ascii="Arial" w:hAnsi="Arial" w:cs="Arial"/>
          <w:bCs/>
        </w:rPr>
        <w:t>distinction</w:t>
      </w:r>
      <w:r w:rsidR="007B7640" w:rsidRPr="00CD59CC">
        <w:rPr>
          <w:rFonts w:ascii="Arial" w:hAnsi="Arial" w:cs="Arial"/>
          <w:bCs/>
        </w:rPr>
        <w:t xml:space="preserve"> </w:t>
      </w:r>
      <w:r w:rsidRPr="00CD59CC">
        <w:rPr>
          <w:rFonts w:ascii="Arial" w:hAnsi="Arial" w:cs="Arial"/>
          <w:bCs/>
        </w:rPr>
        <w:t>is</w:t>
      </w:r>
      <w:r w:rsidR="007B7640" w:rsidRPr="00CD59CC">
        <w:rPr>
          <w:rFonts w:ascii="Arial" w:hAnsi="Arial" w:cs="Arial"/>
          <w:bCs/>
        </w:rPr>
        <w:t xml:space="preserve"> </w:t>
      </w:r>
      <w:r w:rsidRPr="00CD59CC">
        <w:rPr>
          <w:rFonts w:ascii="Arial" w:hAnsi="Arial" w:cs="Arial"/>
          <w:bCs/>
        </w:rPr>
        <w:t>made</w:t>
      </w:r>
      <w:r w:rsidR="007B7640" w:rsidRPr="00CD59CC">
        <w:rPr>
          <w:rFonts w:ascii="Arial" w:hAnsi="Arial" w:cs="Arial"/>
          <w:bCs/>
        </w:rPr>
        <w:t xml:space="preserve"> </w:t>
      </w:r>
      <w:r w:rsidRPr="00CD59CC">
        <w:rPr>
          <w:rFonts w:ascii="Arial" w:hAnsi="Arial" w:cs="Arial"/>
          <w:bCs/>
        </w:rPr>
        <w:t>between</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private</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public</w:t>
      </w:r>
      <w:r w:rsidR="007B7640" w:rsidRPr="00CD59CC">
        <w:rPr>
          <w:rFonts w:ascii="Arial" w:hAnsi="Arial" w:cs="Arial"/>
          <w:bCs/>
        </w:rPr>
        <w:t xml:space="preserve"> </w:t>
      </w:r>
      <w:r w:rsidRPr="00CD59CC">
        <w:rPr>
          <w:rFonts w:ascii="Arial" w:hAnsi="Arial" w:cs="Arial"/>
          <w:bCs/>
        </w:rPr>
        <w:t>sector</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this</w:t>
      </w:r>
      <w:r w:rsidR="007B7640" w:rsidRPr="00CD59CC">
        <w:rPr>
          <w:rFonts w:ascii="Arial" w:hAnsi="Arial" w:cs="Arial"/>
          <w:bCs/>
        </w:rPr>
        <w:t xml:space="preserve"> </w:t>
      </w:r>
      <w:r w:rsidRPr="00CD59CC">
        <w:rPr>
          <w:rFonts w:ascii="Arial" w:hAnsi="Arial" w:cs="Arial"/>
          <w:bCs/>
        </w:rPr>
        <w:t>respect,</w:t>
      </w:r>
      <w:r w:rsidR="007B7640" w:rsidRPr="00CD59CC">
        <w:rPr>
          <w:rFonts w:ascii="Arial" w:hAnsi="Arial" w:cs="Arial"/>
          <w:bCs/>
        </w:rPr>
        <w:t xml:space="preserve"> </w:t>
      </w:r>
      <w:r w:rsidRPr="00CD59CC">
        <w:rPr>
          <w:rFonts w:ascii="Arial" w:hAnsi="Arial" w:cs="Arial"/>
          <w:bCs/>
        </w:rPr>
        <w:t>as</w:t>
      </w:r>
      <w:r w:rsidR="007B7640" w:rsidRPr="00CD59CC">
        <w:rPr>
          <w:rFonts w:ascii="Arial" w:hAnsi="Arial" w:cs="Arial"/>
          <w:bCs/>
        </w:rPr>
        <w:t xml:space="preserve"> </w:t>
      </w:r>
      <w:r w:rsidRPr="00CD59CC">
        <w:rPr>
          <w:rFonts w:ascii="Arial" w:hAnsi="Arial" w:cs="Arial"/>
          <w:bCs/>
        </w:rPr>
        <w:t>employment</w:t>
      </w:r>
      <w:r w:rsidR="007B7640" w:rsidRPr="00CD59CC">
        <w:rPr>
          <w:rFonts w:ascii="Arial" w:hAnsi="Arial" w:cs="Arial"/>
          <w:bCs/>
        </w:rPr>
        <w:t xml:space="preserve"> </w:t>
      </w:r>
      <w:r w:rsidRPr="00CD59CC">
        <w:rPr>
          <w:rFonts w:ascii="Arial" w:hAnsi="Arial" w:cs="Arial"/>
          <w:bCs/>
        </w:rPr>
        <w:t>related</w:t>
      </w:r>
      <w:r w:rsidR="007B7640" w:rsidRPr="00CD59CC">
        <w:rPr>
          <w:rFonts w:ascii="Arial" w:hAnsi="Arial" w:cs="Arial"/>
          <w:bCs/>
        </w:rPr>
        <w:t xml:space="preserve"> </w:t>
      </w:r>
      <w:r w:rsidRPr="00CD59CC">
        <w:rPr>
          <w:rFonts w:ascii="Arial" w:hAnsi="Arial" w:cs="Arial"/>
          <w:bCs/>
        </w:rPr>
        <w:t>actions</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all</w:t>
      </w:r>
      <w:r w:rsidR="007B7640" w:rsidRPr="00CD59CC">
        <w:rPr>
          <w:rFonts w:ascii="Arial" w:hAnsi="Arial" w:cs="Arial"/>
          <w:bCs/>
        </w:rPr>
        <w:t xml:space="preserve"> </w:t>
      </w:r>
      <w:r w:rsidRPr="00CD59CC">
        <w:rPr>
          <w:rFonts w:ascii="Arial" w:hAnsi="Arial" w:cs="Arial"/>
          <w:bCs/>
        </w:rPr>
        <w:t>public</w:t>
      </w:r>
      <w:r w:rsidR="007B7640" w:rsidRPr="00CD59CC">
        <w:rPr>
          <w:rFonts w:ascii="Arial" w:hAnsi="Arial" w:cs="Arial"/>
          <w:bCs/>
        </w:rPr>
        <w:t xml:space="preserve"> </w:t>
      </w:r>
      <w:r w:rsidRPr="00CD59CC">
        <w:rPr>
          <w:rFonts w:ascii="Arial" w:hAnsi="Arial" w:cs="Arial"/>
          <w:bCs/>
        </w:rPr>
        <w:t>entities</w:t>
      </w:r>
      <w:r w:rsidR="007B7640" w:rsidRPr="00CD59CC">
        <w:rPr>
          <w:rFonts w:ascii="Arial" w:hAnsi="Arial" w:cs="Arial"/>
          <w:bCs/>
        </w:rPr>
        <w:t xml:space="preserve"> </w:t>
      </w:r>
      <w:r w:rsidRPr="00CD59CC">
        <w:rPr>
          <w:rFonts w:ascii="Arial" w:hAnsi="Arial" w:cs="Arial"/>
          <w:bCs/>
        </w:rPr>
        <w:t>are</w:t>
      </w:r>
      <w:r w:rsidR="007B7640" w:rsidRPr="00CD59CC">
        <w:rPr>
          <w:rFonts w:ascii="Arial" w:hAnsi="Arial" w:cs="Arial"/>
          <w:bCs/>
        </w:rPr>
        <w:t xml:space="preserve"> </w:t>
      </w:r>
      <w:r w:rsidRPr="00CD59CC">
        <w:rPr>
          <w:rFonts w:ascii="Arial" w:hAnsi="Arial" w:cs="Arial"/>
          <w:bCs/>
        </w:rPr>
        <w:t>covered</w:t>
      </w:r>
      <w:r w:rsidR="007B7640" w:rsidRPr="00CD59CC">
        <w:rPr>
          <w:rFonts w:ascii="Arial" w:hAnsi="Arial" w:cs="Arial"/>
          <w:bCs/>
        </w:rPr>
        <w:t xml:space="preserve"> </w:t>
      </w:r>
      <w:r w:rsidRPr="00CD59CC">
        <w:rPr>
          <w:rFonts w:ascii="Arial" w:hAnsi="Arial" w:cs="Arial"/>
          <w:bCs/>
        </w:rPr>
        <w:t>by</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employers</w:t>
      </w:r>
      <w:r w:rsidR="007B7640" w:rsidRPr="00CD59CC">
        <w:rPr>
          <w:rFonts w:ascii="Arial" w:hAnsi="Arial" w:cs="Arial"/>
          <w:bCs/>
        </w:rPr>
        <w:t xml:space="preserve"> </w:t>
      </w:r>
      <w:r w:rsidRPr="00CD59CC">
        <w:rPr>
          <w:rFonts w:ascii="Arial" w:hAnsi="Arial" w:cs="Arial"/>
          <w:bCs/>
        </w:rPr>
        <w:t>(taken</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broad</w:t>
      </w:r>
      <w:r w:rsidR="007B7640" w:rsidRPr="00CD59CC">
        <w:rPr>
          <w:rFonts w:ascii="Arial" w:hAnsi="Arial" w:cs="Arial"/>
          <w:bCs/>
        </w:rPr>
        <w:t xml:space="preserve"> </w:t>
      </w:r>
      <w:r w:rsidRPr="00CD59CC">
        <w:rPr>
          <w:rFonts w:ascii="Arial" w:hAnsi="Arial" w:cs="Arial"/>
          <w:bCs/>
        </w:rPr>
        <w:t>sense)</w:t>
      </w:r>
      <w:r w:rsidR="007B7640" w:rsidRPr="00CD59CC">
        <w:rPr>
          <w:rFonts w:ascii="Arial" w:hAnsi="Arial" w:cs="Arial"/>
          <w:bCs/>
        </w:rPr>
        <w:t xml:space="preserve"> </w:t>
      </w:r>
      <w:r w:rsidRPr="00CD59CC">
        <w:rPr>
          <w:rFonts w:ascii="Arial" w:hAnsi="Arial" w:cs="Arial"/>
          <w:bCs/>
        </w:rPr>
        <w:t>are</w:t>
      </w:r>
      <w:r w:rsidR="007B7640" w:rsidRPr="00CD59CC">
        <w:rPr>
          <w:rFonts w:ascii="Arial" w:hAnsi="Arial" w:cs="Arial"/>
          <w:bCs/>
        </w:rPr>
        <w:t xml:space="preserve"> </w:t>
      </w:r>
      <w:r w:rsidRPr="00CD59CC">
        <w:rPr>
          <w:rFonts w:ascii="Arial" w:hAnsi="Arial" w:cs="Arial"/>
          <w:bCs/>
        </w:rPr>
        <w:t>among</w:t>
      </w:r>
      <w:r w:rsidR="007B7640" w:rsidRPr="00CD59CC">
        <w:rPr>
          <w:rFonts w:ascii="Arial" w:hAnsi="Arial" w:cs="Arial"/>
          <w:bCs/>
        </w:rPr>
        <w:t xml:space="preserve"> </w:t>
      </w:r>
      <w:r w:rsidRPr="00CD59CC">
        <w:rPr>
          <w:rFonts w:ascii="Arial" w:hAnsi="Arial" w:cs="Arial"/>
          <w:bCs/>
        </w:rPr>
        <w:t>those</w:t>
      </w:r>
      <w:r w:rsidR="007B7640" w:rsidRPr="00CD59CC">
        <w:rPr>
          <w:rFonts w:ascii="Arial" w:hAnsi="Arial" w:cs="Arial"/>
          <w:bCs/>
        </w:rPr>
        <w:t xml:space="preserve"> </w:t>
      </w:r>
      <w:r w:rsidRPr="00CD59CC">
        <w:rPr>
          <w:rFonts w:ascii="Arial" w:hAnsi="Arial" w:cs="Arial"/>
          <w:bCs/>
        </w:rPr>
        <w:t>private</w:t>
      </w:r>
      <w:r w:rsidR="007B7640" w:rsidRPr="00CD59CC">
        <w:rPr>
          <w:rFonts w:ascii="Arial" w:hAnsi="Arial" w:cs="Arial"/>
          <w:bCs/>
        </w:rPr>
        <w:t xml:space="preserve"> </w:t>
      </w:r>
      <w:r w:rsidRPr="00CD59CC">
        <w:rPr>
          <w:rFonts w:ascii="Arial" w:hAnsi="Arial" w:cs="Arial"/>
          <w:bCs/>
        </w:rPr>
        <w:t>actors</w:t>
      </w:r>
      <w:r w:rsidR="007B7640" w:rsidRPr="00CD59CC">
        <w:rPr>
          <w:rFonts w:ascii="Arial" w:hAnsi="Arial" w:cs="Arial"/>
          <w:bCs/>
        </w:rPr>
        <w:t xml:space="preserve"> </w:t>
      </w:r>
      <w:r w:rsidRPr="00CD59CC">
        <w:rPr>
          <w:rFonts w:ascii="Arial" w:hAnsi="Arial" w:cs="Arial"/>
          <w:bCs/>
        </w:rPr>
        <w:t>who</w:t>
      </w:r>
      <w:r w:rsidR="007B7640" w:rsidRPr="00CD59CC">
        <w:rPr>
          <w:rFonts w:ascii="Arial" w:hAnsi="Arial" w:cs="Arial"/>
          <w:bCs/>
        </w:rPr>
        <w:t xml:space="preserve"> </w:t>
      </w:r>
      <w:r w:rsidRPr="00CD59CC">
        <w:rPr>
          <w:rFonts w:ascii="Arial" w:hAnsi="Arial" w:cs="Arial"/>
          <w:bCs/>
        </w:rPr>
        <w:t>fall</w:t>
      </w:r>
      <w:r w:rsidR="007B7640" w:rsidRPr="00CD59CC">
        <w:rPr>
          <w:rFonts w:ascii="Arial" w:hAnsi="Arial" w:cs="Arial"/>
          <w:bCs/>
        </w:rPr>
        <w:t xml:space="preserve"> </w:t>
      </w:r>
      <w:r w:rsidRPr="00CD59CC">
        <w:rPr>
          <w:rFonts w:ascii="Arial" w:hAnsi="Arial" w:cs="Arial"/>
          <w:bCs/>
        </w:rPr>
        <w:t>under</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ETA’s</w:t>
      </w:r>
      <w:r w:rsidR="007B7640" w:rsidRPr="00CD59CC">
        <w:rPr>
          <w:rFonts w:ascii="Arial" w:hAnsi="Arial" w:cs="Arial"/>
          <w:bCs/>
        </w:rPr>
        <w:t xml:space="preserve"> </w:t>
      </w:r>
      <w:r w:rsidRPr="00CD59CC">
        <w:rPr>
          <w:rFonts w:ascii="Arial" w:hAnsi="Arial" w:cs="Arial"/>
          <w:bCs/>
        </w:rPr>
        <w:t>personal</w:t>
      </w:r>
      <w:r w:rsidR="007B7640" w:rsidRPr="00CD59CC">
        <w:rPr>
          <w:rFonts w:ascii="Arial" w:hAnsi="Arial" w:cs="Arial"/>
          <w:bCs/>
        </w:rPr>
        <w:t xml:space="preserve"> </w:t>
      </w:r>
      <w:r w:rsidRPr="00CD59CC">
        <w:rPr>
          <w:rFonts w:ascii="Arial" w:hAnsi="Arial" w:cs="Arial"/>
          <w:bCs/>
        </w:rPr>
        <w:t>scope.</w:t>
      </w:r>
    </w:p>
    <w:p w14:paraId="0150B4F2" w14:textId="77777777" w:rsidR="002B5BCD" w:rsidRPr="00CD59CC" w:rsidRDefault="002B5BCD" w:rsidP="00CD59CC">
      <w:pPr>
        <w:rPr>
          <w:rFonts w:ascii="Arial" w:hAnsi="Arial" w:cs="Arial"/>
          <w:bCs/>
        </w:rPr>
      </w:pPr>
    </w:p>
    <w:p w14:paraId="103A655C" w14:textId="77777777" w:rsidR="002803A1" w:rsidRDefault="002B5BCD" w:rsidP="002803A1">
      <w:pPr>
        <w:pStyle w:val="Heading3"/>
        <w:rPr>
          <w:rFonts w:cs="Arial"/>
        </w:rPr>
      </w:pPr>
      <w:bookmarkStart w:id="151" w:name="_Toc220221153"/>
      <w:bookmarkStart w:id="152" w:name="_Toc392758724"/>
      <w:bookmarkStart w:id="153" w:name="_Toc329163615"/>
      <w:bookmarkStart w:id="154" w:name="_Toc366846333"/>
      <w:r w:rsidRPr="00CD59CC">
        <w:rPr>
          <w:rFonts w:cs="Arial"/>
        </w:rPr>
        <w:t>Employment</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working</w:t>
      </w:r>
      <w:r w:rsidR="007B7640" w:rsidRPr="00CD59CC">
        <w:rPr>
          <w:rFonts w:cs="Arial"/>
        </w:rPr>
        <w:t xml:space="preserve"> </w:t>
      </w:r>
      <w:r w:rsidRPr="00CD59CC">
        <w:rPr>
          <w:rFonts w:cs="Arial"/>
        </w:rPr>
        <w:t>conditions,</w:t>
      </w:r>
      <w:r w:rsidR="007B7640" w:rsidRPr="00CD59CC">
        <w:rPr>
          <w:rFonts w:cs="Arial"/>
        </w:rPr>
        <w:t xml:space="preserve"> </w:t>
      </w:r>
      <w:r w:rsidRPr="00CD59CC">
        <w:rPr>
          <w:rFonts w:cs="Arial"/>
        </w:rPr>
        <w:t>including</w:t>
      </w:r>
      <w:r w:rsidR="007B7640" w:rsidRPr="00CD59CC">
        <w:rPr>
          <w:rFonts w:cs="Arial"/>
        </w:rPr>
        <w:t xml:space="preserve"> </w:t>
      </w:r>
      <w:r w:rsidRPr="00CD59CC">
        <w:rPr>
          <w:rFonts w:cs="Arial"/>
        </w:rPr>
        <w:t>pay</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dismissals</w:t>
      </w:r>
      <w:r w:rsidR="007B7640" w:rsidRPr="00CD59CC">
        <w:rPr>
          <w:rFonts w:cs="Arial"/>
        </w:rPr>
        <w:t xml:space="preserve"> </w:t>
      </w:r>
      <w:r w:rsidRPr="00CD59CC">
        <w:rPr>
          <w:rFonts w:cs="Arial"/>
        </w:rPr>
        <w:t>(Article</w:t>
      </w:r>
      <w:r w:rsidR="007B7640" w:rsidRPr="00CD59CC">
        <w:rPr>
          <w:rFonts w:cs="Arial"/>
        </w:rPr>
        <w:t xml:space="preserve"> </w:t>
      </w:r>
      <w:r w:rsidRPr="00CD59CC">
        <w:rPr>
          <w:rFonts w:cs="Arial"/>
        </w:rPr>
        <w:t>3(1)(c))</w:t>
      </w:r>
      <w:bookmarkEnd w:id="151"/>
      <w:bookmarkEnd w:id="152"/>
      <w:bookmarkEnd w:id="153"/>
      <w:bookmarkEnd w:id="154"/>
    </w:p>
    <w:p w14:paraId="2B4F2BCD" w14:textId="77777777" w:rsidR="002803A1" w:rsidRPr="00BB4E9F" w:rsidRDefault="002803A1" w:rsidP="002803A1"/>
    <w:p w14:paraId="1750315A" w14:textId="77777777" w:rsidR="00F070F7" w:rsidRPr="00CD59CC" w:rsidRDefault="00F070F7" w:rsidP="00CD59CC">
      <w:pPr>
        <w:rPr>
          <w:rFonts w:ascii="Arial" w:hAnsi="Arial" w:cs="Arial"/>
        </w:rPr>
      </w:pPr>
      <w:r w:rsidRPr="00CD59CC">
        <w:rPr>
          <w:rFonts w:ascii="Arial" w:hAnsi="Arial" w:cs="Arial"/>
        </w:rPr>
        <w:t>Does</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include</w:t>
      </w:r>
      <w:r w:rsidR="007B7640" w:rsidRPr="00CD59CC">
        <w:rPr>
          <w:rFonts w:ascii="Arial" w:hAnsi="Arial" w:cs="Arial"/>
        </w:rPr>
        <w:t xml:space="preserve"> </w:t>
      </w:r>
      <w:r w:rsidRPr="00CD59CC">
        <w:rPr>
          <w:rFonts w:ascii="Arial" w:hAnsi="Arial" w:cs="Arial"/>
        </w:rPr>
        <w:t>working</w:t>
      </w:r>
      <w:r w:rsidR="007B7640" w:rsidRPr="00CD59CC">
        <w:rPr>
          <w:rFonts w:ascii="Arial" w:hAnsi="Arial" w:cs="Arial"/>
        </w:rPr>
        <w:t xml:space="preserve"> </w:t>
      </w:r>
      <w:r w:rsidRPr="00CD59CC">
        <w:rPr>
          <w:rFonts w:ascii="Arial" w:hAnsi="Arial" w:cs="Arial"/>
        </w:rPr>
        <w:t>conditions</w:t>
      </w:r>
      <w:r w:rsidR="007B7640" w:rsidRPr="00CD59CC">
        <w:rPr>
          <w:rFonts w:ascii="Arial" w:hAnsi="Arial" w:cs="Arial"/>
        </w:rPr>
        <w:t xml:space="preserve"> </w:t>
      </w:r>
      <w:r w:rsidRPr="00CD59CC">
        <w:rPr>
          <w:rFonts w:ascii="Arial" w:hAnsi="Arial" w:cs="Arial"/>
        </w:rPr>
        <w:t>including</w:t>
      </w:r>
      <w:r w:rsidR="007B7640" w:rsidRPr="00CD59CC">
        <w:rPr>
          <w:rFonts w:ascii="Arial" w:hAnsi="Arial" w:cs="Arial"/>
        </w:rPr>
        <w:t xml:space="preserve"> </w:t>
      </w:r>
      <w:r w:rsidRPr="00CD59CC">
        <w:rPr>
          <w:rFonts w:ascii="Arial" w:hAnsi="Arial" w:cs="Arial"/>
        </w:rPr>
        <w:t>pay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dismissals?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regarding</w:t>
      </w:r>
      <w:r w:rsidR="007B7640" w:rsidRPr="00CD59CC">
        <w:rPr>
          <w:rFonts w:ascii="Arial" w:hAnsi="Arial" w:cs="Arial"/>
        </w:rPr>
        <w:t xml:space="preserve"> </w:t>
      </w:r>
      <w:r w:rsidRPr="00CD59CC">
        <w:rPr>
          <w:rFonts w:ascii="Arial" w:hAnsi="Arial" w:cs="Arial"/>
        </w:rPr>
        <w:t>working</w:t>
      </w:r>
      <w:r w:rsidR="007B7640" w:rsidRPr="00CD59CC">
        <w:rPr>
          <w:rFonts w:ascii="Arial" w:hAnsi="Arial" w:cs="Arial"/>
        </w:rPr>
        <w:t xml:space="preserve"> </w:t>
      </w:r>
      <w:r w:rsidRPr="00CD59CC">
        <w:rPr>
          <w:rFonts w:ascii="Arial" w:hAnsi="Arial" w:cs="Arial"/>
        </w:rPr>
        <w:t>conditions</w:t>
      </w:r>
      <w:r w:rsidR="007B7640" w:rsidRPr="00CD59CC">
        <w:rPr>
          <w:rFonts w:ascii="Arial" w:hAnsi="Arial" w:cs="Arial"/>
        </w:rPr>
        <w:t xml:space="preserve"> </w:t>
      </w:r>
      <w:r w:rsidRPr="00CD59CC">
        <w:rPr>
          <w:rFonts w:ascii="Arial" w:hAnsi="Arial" w:cs="Arial"/>
        </w:rPr>
        <w:t>dealt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legislation?</w:t>
      </w:r>
    </w:p>
    <w:p w14:paraId="7A820BAB" w14:textId="77777777" w:rsidR="00F070F7" w:rsidRPr="00CD59CC" w:rsidRDefault="00F070F7" w:rsidP="00CD59CC">
      <w:pPr>
        <w:rPr>
          <w:rFonts w:ascii="Arial" w:hAnsi="Arial" w:cs="Arial"/>
        </w:rPr>
      </w:pPr>
    </w:p>
    <w:p w14:paraId="6A0689A1" w14:textId="77777777" w:rsidR="002B5BCD" w:rsidRPr="00CD59CC" w:rsidRDefault="002B5BCD" w:rsidP="00CD59CC">
      <w:pPr>
        <w:rPr>
          <w:rFonts w:ascii="Arial" w:hAnsi="Arial" w:cs="Arial"/>
          <w:i/>
        </w:rPr>
      </w:pPr>
      <w:r w:rsidRPr="00CD59CC">
        <w:rPr>
          <w:rFonts w:ascii="Arial" w:hAnsi="Arial" w:cs="Arial"/>
          <w:i/>
          <w:iCs/>
        </w:rPr>
        <w:t>In</w:t>
      </w:r>
      <w:r w:rsidR="007B7640" w:rsidRPr="00CD59CC">
        <w:rPr>
          <w:rFonts w:ascii="Arial" w:hAnsi="Arial" w:cs="Arial"/>
          <w:i/>
          <w:iCs/>
        </w:rPr>
        <w:t xml:space="preserve"> </w:t>
      </w:r>
      <w:r w:rsidRPr="00CD59CC">
        <w:rPr>
          <w:rFonts w:ascii="Arial" w:hAnsi="Arial" w:cs="Arial"/>
          <w:i/>
          <w:iCs/>
        </w:rPr>
        <w:t>respect</w:t>
      </w:r>
      <w:r w:rsidR="007B7640" w:rsidRPr="00CD59CC">
        <w:rPr>
          <w:rFonts w:ascii="Arial" w:hAnsi="Arial" w:cs="Arial"/>
          <w:i/>
          <w:iCs/>
        </w:rPr>
        <w:t xml:space="preserve"> </w:t>
      </w:r>
      <w:r w:rsidRPr="00CD59CC">
        <w:rPr>
          <w:rFonts w:ascii="Arial" w:hAnsi="Arial" w:cs="Arial"/>
          <w:i/>
          <w:iCs/>
        </w:rPr>
        <w:t>of</w:t>
      </w:r>
      <w:r w:rsidR="007B7640" w:rsidRPr="00CD59CC">
        <w:rPr>
          <w:rFonts w:ascii="Arial" w:hAnsi="Arial" w:cs="Arial"/>
          <w:i/>
          <w:iCs/>
        </w:rPr>
        <w:t xml:space="preserve"> </w:t>
      </w:r>
      <w:r w:rsidRPr="00CD59CC">
        <w:rPr>
          <w:rFonts w:ascii="Arial" w:hAnsi="Arial" w:cs="Arial"/>
          <w:i/>
          <w:iCs/>
        </w:rPr>
        <w:t>occupational</w:t>
      </w:r>
      <w:r w:rsidR="007B7640" w:rsidRPr="00CD59CC">
        <w:rPr>
          <w:rFonts w:ascii="Arial" w:hAnsi="Arial" w:cs="Arial"/>
          <w:i/>
          <w:iCs/>
        </w:rPr>
        <w:t xml:space="preserve"> </w:t>
      </w:r>
      <w:r w:rsidRPr="00CD59CC">
        <w:rPr>
          <w:rFonts w:ascii="Arial" w:hAnsi="Arial" w:cs="Arial"/>
          <w:i/>
          <w:iCs/>
        </w:rPr>
        <w:t>pensions,</w:t>
      </w:r>
      <w:r w:rsidR="007B7640" w:rsidRPr="00CD59CC">
        <w:rPr>
          <w:rFonts w:ascii="Arial" w:hAnsi="Arial" w:cs="Arial"/>
          <w:i/>
          <w:iCs/>
        </w:rPr>
        <w:t xml:space="preserve"> </w:t>
      </w:r>
      <w:r w:rsidRPr="00CD59CC">
        <w:rPr>
          <w:rFonts w:ascii="Arial" w:hAnsi="Arial" w:cs="Arial"/>
          <w:i/>
          <w:iCs/>
        </w:rPr>
        <w:t>how</w:t>
      </w:r>
      <w:r w:rsidR="007B7640" w:rsidRPr="00CD59CC">
        <w:rPr>
          <w:rFonts w:ascii="Arial" w:hAnsi="Arial" w:cs="Arial"/>
          <w:i/>
          <w:iCs/>
        </w:rPr>
        <w:t xml:space="preserve"> </w:t>
      </w:r>
      <w:r w:rsidRPr="00CD59CC">
        <w:rPr>
          <w:rFonts w:ascii="Arial" w:hAnsi="Arial" w:cs="Arial"/>
          <w:i/>
          <w:iCs/>
        </w:rPr>
        <w:t>does</w:t>
      </w:r>
      <w:r w:rsidR="007B7640" w:rsidRPr="00CD59CC">
        <w:rPr>
          <w:rFonts w:ascii="Arial" w:hAnsi="Arial" w:cs="Arial"/>
          <w:i/>
          <w:iCs/>
        </w:rPr>
        <w:t xml:space="preserve"> </w:t>
      </w:r>
      <w:r w:rsidRPr="00CD59CC">
        <w:rPr>
          <w:rFonts w:ascii="Arial" w:hAnsi="Arial" w:cs="Arial"/>
          <w:i/>
          <w:iCs/>
        </w:rPr>
        <w:t>national</w:t>
      </w:r>
      <w:r w:rsidR="007B7640" w:rsidRPr="00CD59CC">
        <w:rPr>
          <w:rFonts w:ascii="Arial" w:hAnsi="Arial" w:cs="Arial"/>
          <w:i/>
          <w:iCs/>
        </w:rPr>
        <w:t xml:space="preserve"> </w:t>
      </w:r>
      <w:r w:rsidRPr="00CD59CC">
        <w:rPr>
          <w:rFonts w:ascii="Arial" w:hAnsi="Arial" w:cs="Arial"/>
          <w:i/>
          <w:iCs/>
        </w:rPr>
        <w:t>law</w:t>
      </w:r>
      <w:r w:rsidR="007B7640" w:rsidRPr="00CD59CC">
        <w:rPr>
          <w:rFonts w:ascii="Arial" w:hAnsi="Arial" w:cs="Arial"/>
          <w:i/>
          <w:iCs/>
        </w:rPr>
        <w:t xml:space="preserve"> </w:t>
      </w:r>
      <w:r w:rsidR="00F070F7" w:rsidRPr="00CD59CC">
        <w:rPr>
          <w:rFonts w:ascii="Arial" w:hAnsi="Arial" w:cs="Arial"/>
          <w:i/>
          <w:iCs/>
        </w:rPr>
        <w:t>on</w:t>
      </w:r>
      <w:r w:rsidR="007B7640" w:rsidRPr="00CD59CC">
        <w:rPr>
          <w:rFonts w:ascii="Arial" w:hAnsi="Arial" w:cs="Arial"/>
          <w:i/>
          <w:iCs/>
        </w:rPr>
        <w:t xml:space="preserve"> </w:t>
      </w:r>
      <w:r w:rsidR="00F070F7" w:rsidRPr="00CD59CC">
        <w:rPr>
          <w:rFonts w:ascii="Arial" w:hAnsi="Arial" w:cs="Arial"/>
          <w:i/>
          <w:iCs/>
        </w:rPr>
        <w:t>discrimination</w:t>
      </w:r>
      <w:r w:rsidR="007B7640" w:rsidRPr="00CD59CC">
        <w:rPr>
          <w:rFonts w:ascii="Arial" w:hAnsi="Arial" w:cs="Arial"/>
          <w:i/>
          <w:iCs/>
        </w:rPr>
        <w:t xml:space="preserve"> </w:t>
      </w:r>
      <w:r w:rsidRPr="00CD59CC">
        <w:rPr>
          <w:rFonts w:ascii="Arial" w:hAnsi="Arial" w:cs="Arial"/>
          <w:i/>
          <w:iCs/>
        </w:rPr>
        <w:t>ensure</w:t>
      </w:r>
      <w:r w:rsidR="007B7640" w:rsidRPr="00CD59CC">
        <w:rPr>
          <w:rFonts w:ascii="Arial" w:hAnsi="Arial" w:cs="Arial"/>
          <w:i/>
          <w:iCs/>
        </w:rPr>
        <w:t xml:space="preserve"> </w:t>
      </w:r>
      <w:r w:rsidRPr="00CD59CC">
        <w:rPr>
          <w:rFonts w:ascii="Arial" w:hAnsi="Arial" w:cs="Arial"/>
          <w:i/>
          <w:iCs/>
        </w:rPr>
        <w:t>the</w:t>
      </w:r>
      <w:r w:rsidR="007B7640" w:rsidRPr="00CD59CC">
        <w:rPr>
          <w:rFonts w:ascii="Arial" w:hAnsi="Arial" w:cs="Arial"/>
          <w:i/>
          <w:iCs/>
        </w:rPr>
        <w:t xml:space="preserve"> </w:t>
      </w:r>
      <w:r w:rsidRPr="00CD59CC">
        <w:rPr>
          <w:rFonts w:ascii="Arial" w:hAnsi="Arial" w:cs="Arial"/>
          <w:i/>
          <w:iCs/>
        </w:rPr>
        <w:t>prohibition</w:t>
      </w:r>
      <w:r w:rsidR="007B7640" w:rsidRPr="00CD59CC">
        <w:rPr>
          <w:rFonts w:ascii="Arial" w:hAnsi="Arial" w:cs="Arial"/>
          <w:i/>
          <w:iCs/>
        </w:rPr>
        <w:t xml:space="preserve"> </w:t>
      </w:r>
      <w:r w:rsidRPr="00CD59CC">
        <w:rPr>
          <w:rFonts w:ascii="Arial" w:hAnsi="Arial" w:cs="Arial"/>
          <w:i/>
          <w:iCs/>
        </w:rPr>
        <w:t>of</w:t>
      </w:r>
      <w:r w:rsidR="007B7640" w:rsidRPr="00CD59CC">
        <w:rPr>
          <w:rFonts w:ascii="Arial" w:hAnsi="Arial" w:cs="Arial"/>
          <w:i/>
          <w:iCs/>
        </w:rPr>
        <w:t xml:space="preserve"> </w:t>
      </w:r>
      <w:r w:rsidRPr="00CD59CC">
        <w:rPr>
          <w:rFonts w:ascii="Arial" w:hAnsi="Arial" w:cs="Arial"/>
          <w:i/>
          <w:iCs/>
        </w:rPr>
        <w:t>discrimination</w:t>
      </w:r>
      <w:r w:rsidR="007B7640" w:rsidRPr="00CD59CC">
        <w:rPr>
          <w:rFonts w:ascii="Arial" w:hAnsi="Arial" w:cs="Arial"/>
          <w:i/>
          <w:iCs/>
        </w:rPr>
        <w:t xml:space="preserve"> </w:t>
      </w:r>
      <w:r w:rsidRPr="00CD59CC">
        <w:rPr>
          <w:rFonts w:ascii="Arial" w:hAnsi="Arial" w:cs="Arial"/>
          <w:i/>
          <w:iCs/>
        </w:rPr>
        <w:t>on</w:t>
      </w:r>
      <w:r w:rsidR="007B7640" w:rsidRPr="00CD59CC">
        <w:rPr>
          <w:rFonts w:ascii="Arial" w:hAnsi="Arial" w:cs="Arial"/>
          <w:i/>
          <w:iCs/>
        </w:rPr>
        <w:t xml:space="preserve"> </w:t>
      </w:r>
      <w:r w:rsidRPr="00CD59CC">
        <w:rPr>
          <w:rFonts w:ascii="Arial" w:hAnsi="Arial" w:cs="Arial"/>
          <w:i/>
          <w:iCs/>
        </w:rPr>
        <w:t>all</w:t>
      </w:r>
      <w:r w:rsidR="007B7640" w:rsidRPr="00CD59CC">
        <w:rPr>
          <w:rFonts w:ascii="Arial" w:hAnsi="Arial" w:cs="Arial"/>
          <w:i/>
          <w:iCs/>
        </w:rPr>
        <w:t xml:space="preserve"> </w:t>
      </w:r>
      <w:r w:rsidRPr="00CD59CC">
        <w:rPr>
          <w:rFonts w:ascii="Arial" w:hAnsi="Arial" w:cs="Arial"/>
          <w:i/>
          <w:iCs/>
        </w:rPr>
        <w:t>the</w:t>
      </w:r>
      <w:r w:rsidR="007B7640" w:rsidRPr="00CD59CC">
        <w:rPr>
          <w:rFonts w:ascii="Arial" w:hAnsi="Arial" w:cs="Arial"/>
          <w:i/>
          <w:iCs/>
        </w:rPr>
        <w:t xml:space="preserve"> </w:t>
      </w:r>
      <w:r w:rsidRPr="00CD59CC">
        <w:rPr>
          <w:rFonts w:ascii="Arial" w:hAnsi="Arial" w:cs="Arial"/>
          <w:i/>
          <w:iCs/>
        </w:rPr>
        <w:t>grounds</w:t>
      </w:r>
      <w:r w:rsidR="007B7640" w:rsidRPr="00CD59CC">
        <w:rPr>
          <w:rFonts w:ascii="Arial" w:hAnsi="Arial" w:cs="Arial"/>
          <w:i/>
          <w:iCs/>
        </w:rPr>
        <w:t xml:space="preserve"> </w:t>
      </w:r>
      <w:r w:rsidRPr="00CD59CC">
        <w:rPr>
          <w:rFonts w:ascii="Arial" w:hAnsi="Arial" w:cs="Arial"/>
          <w:i/>
          <w:iCs/>
        </w:rPr>
        <w:t>covered</w:t>
      </w:r>
      <w:r w:rsidR="007B7640" w:rsidRPr="00CD59CC">
        <w:rPr>
          <w:rFonts w:ascii="Arial" w:hAnsi="Arial" w:cs="Arial"/>
          <w:i/>
          <w:iCs/>
        </w:rPr>
        <w:t xml:space="preserve"> </w:t>
      </w:r>
      <w:r w:rsidRPr="00CD59CC">
        <w:rPr>
          <w:rFonts w:ascii="Arial" w:hAnsi="Arial" w:cs="Arial"/>
          <w:i/>
          <w:iCs/>
        </w:rPr>
        <w:t>by</w:t>
      </w:r>
      <w:r w:rsidR="007B7640" w:rsidRPr="00CD59CC">
        <w:rPr>
          <w:rFonts w:ascii="Arial" w:hAnsi="Arial" w:cs="Arial"/>
          <w:i/>
          <w:iCs/>
        </w:rPr>
        <w:t xml:space="preserve"> </w:t>
      </w:r>
      <w:r w:rsidRPr="00CD59CC">
        <w:rPr>
          <w:rFonts w:ascii="Arial" w:hAnsi="Arial" w:cs="Arial"/>
          <w:i/>
          <w:iCs/>
        </w:rPr>
        <w:t>Directive</w:t>
      </w:r>
      <w:r w:rsidR="007B7640" w:rsidRPr="00CD59CC">
        <w:rPr>
          <w:rFonts w:ascii="Arial" w:hAnsi="Arial" w:cs="Arial"/>
          <w:i/>
          <w:iCs/>
        </w:rPr>
        <w:t xml:space="preserve"> </w:t>
      </w:r>
      <w:r w:rsidRPr="00CD59CC">
        <w:rPr>
          <w:rFonts w:ascii="Arial" w:hAnsi="Arial" w:cs="Arial"/>
          <w:i/>
          <w:iCs/>
        </w:rPr>
        <w:t>2000/78</w:t>
      </w:r>
      <w:r w:rsidR="007B7640" w:rsidRPr="00CD59CC">
        <w:rPr>
          <w:rFonts w:ascii="Arial" w:hAnsi="Arial" w:cs="Arial"/>
          <w:i/>
          <w:iCs/>
        </w:rPr>
        <w:t xml:space="preserve"> </w:t>
      </w:r>
      <w:r w:rsidRPr="00CD59CC">
        <w:rPr>
          <w:rFonts w:ascii="Arial" w:hAnsi="Arial" w:cs="Arial"/>
          <w:i/>
          <w:iCs/>
        </w:rPr>
        <w:t>EC?</w:t>
      </w:r>
      <w:r w:rsidR="007B7640" w:rsidRPr="00CD59CC">
        <w:rPr>
          <w:rFonts w:ascii="Arial" w:hAnsi="Arial" w:cs="Arial"/>
          <w:i/>
          <w:iCs/>
        </w:rPr>
        <w:t xml:space="preserve"> </w:t>
      </w:r>
      <w:r w:rsidRPr="00CD59CC">
        <w:rPr>
          <w:rFonts w:ascii="Arial" w:hAnsi="Arial" w:cs="Arial"/>
          <w:i/>
          <w:iCs/>
        </w:rPr>
        <w:t>NB:</w:t>
      </w:r>
      <w:r w:rsidR="007B7640" w:rsidRPr="00CD59CC">
        <w:rPr>
          <w:rFonts w:ascii="Arial" w:hAnsi="Arial" w:cs="Arial"/>
          <w:i/>
          <w:iCs/>
        </w:rPr>
        <w:t xml:space="preserve"> </w:t>
      </w:r>
      <w:r w:rsidRPr="00CD59CC">
        <w:rPr>
          <w:rFonts w:ascii="Arial" w:hAnsi="Arial" w:cs="Arial"/>
          <w:i/>
          <w:iCs/>
        </w:rPr>
        <w:t>Case</w:t>
      </w:r>
      <w:r w:rsidR="007B7640" w:rsidRPr="00CD59CC">
        <w:rPr>
          <w:rFonts w:ascii="Arial" w:hAnsi="Arial" w:cs="Arial"/>
          <w:i/>
          <w:iCs/>
        </w:rPr>
        <w:t xml:space="preserve"> </w:t>
      </w:r>
      <w:r w:rsidRPr="00CD59CC">
        <w:rPr>
          <w:rFonts w:ascii="Arial" w:hAnsi="Arial" w:cs="Arial"/>
          <w:i/>
          <w:iCs/>
        </w:rPr>
        <w:t>C-267/06</w:t>
      </w:r>
      <w:r w:rsidR="007B7640" w:rsidRPr="00CD59CC">
        <w:rPr>
          <w:rFonts w:ascii="Arial" w:hAnsi="Arial" w:cs="Arial"/>
          <w:i/>
          <w:iCs/>
        </w:rPr>
        <w:t xml:space="preserve"> </w:t>
      </w:r>
      <w:r w:rsidRPr="00CD59CC">
        <w:rPr>
          <w:rFonts w:ascii="Arial" w:hAnsi="Arial" w:cs="Arial"/>
          <w:i/>
          <w:iCs/>
        </w:rPr>
        <w:t>Maruko</w:t>
      </w:r>
      <w:r w:rsidR="007B7640" w:rsidRPr="00CD59CC">
        <w:rPr>
          <w:rFonts w:ascii="Arial" w:hAnsi="Arial" w:cs="Arial"/>
          <w:i/>
          <w:iCs/>
        </w:rPr>
        <w:t xml:space="preserve"> </w:t>
      </w:r>
      <w:r w:rsidRPr="00CD59CC">
        <w:rPr>
          <w:rFonts w:ascii="Arial" w:hAnsi="Arial" w:cs="Arial"/>
          <w:i/>
          <w:iCs/>
        </w:rPr>
        <w:t>confirmed</w:t>
      </w:r>
      <w:r w:rsidR="007B7640" w:rsidRPr="00CD59CC">
        <w:rPr>
          <w:rFonts w:ascii="Arial" w:hAnsi="Arial" w:cs="Arial"/>
          <w:i/>
          <w:iCs/>
        </w:rPr>
        <w:t xml:space="preserve"> </w:t>
      </w:r>
      <w:r w:rsidRPr="00CD59CC">
        <w:rPr>
          <w:rFonts w:ascii="Arial" w:hAnsi="Arial" w:cs="Arial"/>
          <w:i/>
          <w:iCs/>
        </w:rPr>
        <w:t>that</w:t>
      </w:r>
      <w:r w:rsidR="007B7640" w:rsidRPr="00CD59CC">
        <w:rPr>
          <w:rFonts w:ascii="Arial" w:hAnsi="Arial" w:cs="Arial"/>
          <w:i/>
          <w:iCs/>
        </w:rPr>
        <w:t xml:space="preserve"> </w:t>
      </w:r>
      <w:r w:rsidRPr="00CD59CC">
        <w:rPr>
          <w:rFonts w:ascii="Arial" w:hAnsi="Arial" w:cs="Arial"/>
          <w:i/>
          <w:iCs/>
        </w:rPr>
        <w:t>occupational</w:t>
      </w:r>
      <w:r w:rsidR="007B7640" w:rsidRPr="00CD59CC">
        <w:rPr>
          <w:rFonts w:ascii="Arial" w:hAnsi="Arial" w:cs="Arial"/>
          <w:i/>
          <w:iCs/>
        </w:rPr>
        <w:t xml:space="preserve"> </w:t>
      </w:r>
      <w:r w:rsidRPr="00CD59CC">
        <w:rPr>
          <w:rFonts w:ascii="Arial" w:hAnsi="Arial" w:cs="Arial"/>
          <w:i/>
          <w:iCs/>
        </w:rPr>
        <w:t>pensions</w:t>
      </w:r>
      <w:r w:rsidR="007B7640" w:rsidRPr="00CD59CC">
        <w:rPr>
          <w:rFonts w:ascii="Arial" w:hAnsi="Arial" w:cs="Arial"/>
          <w:i/>
          <w:iCs/>
        </w:rPr>
        <w:t xml:space="preserve"> </w:t>
      </w:r>
      <w:r w:rsidRPr="00CD59CC">
        <w:rPr>
          <w:rFonts w:ascii="Arial" w:hAnsi="Arial" w:cs="Arial"/>
          <w:i/>
          <w:iCs/>
        </w:rPr>
        <w:t>constitute</w:t>
      </w:r>
      <w:r w:rsidR="007B7640" w:rsidRPr="00CD59CC">
        <w:rPr>
          <w:rFonts w:ascii="Arial" w:hAnsi="Arial" w:cs="Arial"/>
          <w:i/>
          <w:iCs/>
        </w:rPr>
        <w:t xml:space="preserve"> </w:t>
      </w:r>
      <w:r w:rsidRPr="00CD59CC">
        <w:rPr>
          <w:rFonts w:ascii="Arial" w:hAnsi="Arial" w:cs="Arial"/>
          <w:i/>
          <w:iCs/>
        </w:rPr>
        <w:t>part</w:t>
      </w:r>
      <w:r w:rsidR="007B7640" w:rsidRPr="00CD59CC">
        <w:rPr>
          <w:rFonts w:ascii="Arial" w:hAnsi="Arial" w:cs="Arial"/>
          <w:i/>
          <w:iCs/>
        </w:rPr>
        <w:t xml:space="preserve"> </w:t>
      </w:r>
      <w:r w:rsidRPr="00CD59CC">
        <w:rPr>
          <w:rFonts w:ascii="Arial" w:hAnsi="Arial" w:cs="Arial"/>
          <w:i/>
          <w:iCs/>
        </w:rPr>
        <w:t>of</w:t>
      </w:r>
      <w:r w:rsidR="007B7640" w:rsidRPr="00CD59CC">
        <w:rPr>
          <w:rFonts w:ascii="Arial" w:hAnsi="Arial" w:cs="Arial"/>
          <w:i/>
          <w:iCs/>
        </w:rPr>
        <w:t xml:space="preserve"> </w:t>
      </w:r>
      <w:r w:rsidRPr="00CD59CC">
        <w:rPr>
          <w:rFonts w:ascii="Arial" w:hAnsi="Arial" w:cs="Arial"/>
          <w:i/>
          <w:iCs/>
        </w:rPr>
        <w:t>an</w:t>
      </w:r>
      <w:r w:rsidR="007B7640" w:rsidRPr="00CD59CC">
        <w:rPr>
          <w:rFonts w:ascii="Arial" w:hAnsi="Arial" w:cs="Arial"/>
          <w:i/>
          <w:iCs/>
        </w:rPr>
        <w:t xml:space="preserve"> </w:t>
      </w:r>
      <w:r w:rsidRPr="00CD59CC">
        <w:rPr>
          <w:rFonts w:ascii="Arial" w:hAnsi="Arial" w:cs="Arial"/>
          <w:i/>
          <w:iCs/>
        </w:rPr>
        <w:t>employee’s</w:t>
      </w:r>
      <w:r w:rsidR="007B7640" w:rsidRPr="00CD59CC">
        <w:rPr>
          <w:rFonts w:ascii="Arial" w:hAnsi="Arial" w:cs="Arial"/>
          <w:i/>
          <w:iCs/>
        </w:rPr>
        <w:t xml:space="preserve"> </w:t>
      </w:r>
      <w:r w:rsidRPr="00CD59CC">
        <w:rPr>
          <w:rFonts w:ascii="Arial" w:hAnsi="Arial" w:cs="Arial"/>
          <w:i/>
          <w:iCs/>
        </w:rPr>
        <w:t>pay</w:t>
      </w:r>
      <w:r w:rsidR="007B7640" w:rsidRPr="00CD59CC">
        <w:rPr>
          <w:rFonts w:ascii="Arial" w:hAnsi="Arial" w:cs="Arial"/>
          <w:i/>
          <w:iCs/>
        </w:rPr>
        <w:t xml:space="preserve"> </w:t>
      </w:r>
      <w:r w:rsidRPr="00CD59CC">
        <w:rPr>
          <w:rFonts w:ascii="Arial" w:hAnsi="Arial" w:cs="Arial"/>
          <w:i/>
          <w:iCs/>
        </w:rPr>
        <w:t>under</w:t>
      </w:r>
      <w:r w:rsidR="007B7640" w:rsidRPr="00CD59CC">
        <w:rPr>
          <w:rFonts w:ascii="Arial" w:hAnsi="Arial" w:cs="Arial"/>
          <w:i/>
          <w:iCs/>
        </w:rPr>
        <w:t xml:space="preserve"> </w:t>
      </w:r>
      <w:r w:rsidRPr="00CD59CC">
        <w:rPr>
          <w:rFonts w:ascii="Arial" w:hAnsi="Arial" w:cs="Arial"/>
          <w:i/>
          <w:iCs/>
        </w:rPr>
        <w:t>Directive</w:t>
      </w:r>
      <w:r w:rsidR="007B7640" w:rsidRPr="00CD59CC">
        <w:rPr>
          <w:rFonts w:ascii="Arial" w:hAnsi="Arial" w:cs="Arial"/>
          <w:i/>
          <w:iCs/>
        </w:rPr>
        <w:t xml:space="preserve"> </w:t>
      </w:r>
      <w:r w:rsidRPr="00CD59CC">
        <w:rPr>
          <w:rFonts w:ascii="Arial" w:hAnsi="Arial" w:cs="Arial"/>
          <w:i/>
          <w:iCs/>
        </w:rPr>
        <w:t>2000/78</w:t>
      </w:r>
      <w:r w:rsidR="007B7640" w:rsidRPr="00CD59CC">
        <w:rPr>
          <w:rFonts w:ascii="Arial" w:hAnsi="Arial" w:cs="Arial"/>
          <w:i/>
          <w:iCs/>
        </w:rPr>
        <w:t xml:space="preserve"> </w:t>
      </w:r>
      <w:r w:rsidRPr="00CD59CC">
        <w:rPr>
          <w:rFonts w:ascii="Arial" w:hAnsi="Arial" w:cs="Arial"/>
          <w:i/>
          <w:iCs/>
        </w:rPr>
        <w:t>EC.</w:t>
      </w:r>
      <w:r w:rsidR="007B7640" w:rsidRPr="00CD59CC">
        <w:rPr>
          <w:rFonts w:ascii="Arial" w:hAnsi="Arial" w:cs="Arial"/>
          <w:i/>
          <w:iCs/>
        </w:rPr>
        <w:t xml:space="preserve"> </w:t>
      </w:r>
      <w:r w:rsidR="00F070F7" w:rsidRPr="00CD59CC">
        <w:rPr>
          <w:rFonts w:ascii="Arial" w:hAnsi="Arial" w:cs="Arial"/>
          <w:i/>
          <w:iCs/>
        </w:rPr>
        <w:t>In</w:t>
      </w:r>
      <w:r w:rsidR="007B7640" w:rsidRPr="00CD59CC">
        <w:rPr>
          <w:rFonts w:ascii="Arial" w:hAnsi="Arial" w:cs="Arial"/>
          <w:i/>
          <w:iCs/>
        </w:rPr>
        <w:t xml:space="preserve"> </w:t>
      </w:r>
      <w:r w:rsidR="00F070F7" w:rsidRPr="00CD59CC">
        <w:rPr>
          <w:rFonts w:ascii="Arial" w:hAnsi="Arial" w:cs="Arial"/>
          <w:i/>
          <w:iCs/>
        </w:rPr>
        <w:t>case</w:t>
      </w:r>
      <w:r w:rsidR="007B7640" w:rsidRPr="00CD59CC">
        <w:rPr>
          <w:rFonts w:ascii="Arial" w:hAnsi="Arial" w:cs="Arial"/>
          <w:i/>
          <w:iCs/>
        </w:rPr>
        <w:t xml:space="preserve"> </w:t>
      </w:r>
      <w:r w:rsidR="00F070F7" w:rsidRPr="00CD59CC">
        <w:rPr>
          <w:rFonts w:ascii="Arial" w:hAnsi="Arial" w:cs="Arial"/>
          <w:i/>
          <w:iCs/>
        </w:rPr>
        <w:t>national</w:t>
      </w:r>
      <w:r w:rsidR="007B7640" w:rsidRPr="00CD59CC">
        <w:rPr>
          <w:rFonts w:ascii="Arial" w:hAnsi="Arial" w:cs="Arial"/>
          <w:i/>
          <w:iCs/>
        </w:rPr>
        <w:t xml:space="preserve"> </w:t>
      </w:r>
      <w:r w:rsidR="00F070F7" w:rsidRPr="00CD59CC">
        <w:rPr>
          <w:rFonts w:ascii="Arial" w:hAnsi="Arial" w:cs="Arial"/>
          <w:i/>
          <w:iCs/>
        </w:rPr>
        <w:t>anti-discrimination</w:t>
      </w:r>
      <w:r w:rsidR="007B7640" w:rsidRPr="00CD59CC">
        <w:rPr>
          <w:rFonts w:ascii="Arial" w:hAnsi="Arial" w:cs="Arial"/>
          <w:i/>
          <w:iCs/>
        </w:rPr>
        <w:t xml:space="preserve"> </w:t>
      </w:r>
      <w:r w:rsidR="00F070F7" w:rsidRPr="00CD59CC">
        <w:rPr>
          <w:rFonts w:ascii="Arial" w:hAnsi="Arial" w:cs="Arial"/>
          <w:i/>
          <w:iCs/>
        </w:rPr>
        <w:t>law</w:t>
      </w:r>
      <w:r w:rsidR="007B7640" w:rsidRPr="00CD59CC">
        <w:rPr>
          <w:rFonts w:ascii="Arial" w:hAnsi="Arial" w:cs="Arial"/>
          <w:i/>
          <w:iCs/>
        </w:rPr>
        <w:t xml:space="preserve"> </w:t>
      </w:r>
      <w:r w:rsidR="00F070F7" w:rsidRPr="00CD59CC">
        <w:rPr>
          <w:rFonts w:ascii="Arial" w:hAnsi="Arial" w:cs="Arial"/>
          <w:i/>
          <w:iCs/>
        </w:rPr>
        <w:t>does</w:t>
      </w:r>
      <w:r w:rsidR="007B7640" w:rsidRPr="00CD59CC">
        <w:rPr>
          <w:rFonts w:ascii="Arial" w:hAnsi="Arial" w:cs="Arial"/>
          <w:i/>
          <w:iCs/>
        </w:rPr>
        <w:t xml:space="preserve"> </w:t>
      </w:r>
      <w:r w:rsidR="00F070F7" w:rsidRPr="00CD59CC">
        <w:rPr>
          <w:rFonts w:ascii="Arial" w:hAnsi="Arial" w:cs="Arial"/>
          <w:i/>
          <w:iCs/>
        </w:rPr>
        <w:t>not</w:t>
      </w:r>
      <w:r w:rsidR="007B7640" w:rsidRPr="00CD59CC">
        <w:rPr>
          <w:rFonts w:ascii="Arial" w:hAnsi="Arial" w:cs="Arial"/>
          <w:i/>
          <w:iCs/>
        </w:rPr>
        <w:t xml:space="preserve"> </w:t>
      </w:r>
      <w:r w:rsidR="00F070F7" w:rsidRPr="00CD59CC">
        <w:rPr>
          <w:rFonts w:ascii="Arial" w:hAnsi="Arial" w:cs="Arial"/>
          <w:i/>
          <w:iCs/>
        </w:rPr>
        <w:t>do</w:t>
      </w:r>
      <w:r w:rsidR="007B7640" w:rsidRPr="00CD59CC">
        <w:rPr>
          <w:rFonts w:ascii="Arial" w:hAnsi="Arial" w:cs="Arial"/>
          <w:i/>
          <w:iCs/>
        </w:rPr>
        <w:t xml:space="preserve"> </w:t>
      </w:r>
      <w:r w:rsidR="00F070F7" w:rsidRPr="00CD59CC">
        <w:rPr>
          <w:rFonts w:ascii="Arial" w:hAnsi="Arial" w:cs="Arial"/>
          <w:i/>
          <w:iCs/>
        </w:rPr>
        <w:t>so,</w:t>
      </w:r>
      <w:r w:rsidR="007B7640" w:rsidRPr="00CD59CC">
        <w:rPr>
          <w:rFonts w:ascii="Arial" w:hAnsi="Arial" w:cs="Arial"/>
          <w:i/>
          <w:iCs/>
        </w:rPr>
        <w:t xml:space="preserve"> </w:t>
      </w:r>
      <w:r w:rsidR="00F070F7" w:rsidRPr="00CD59CC">
        <w:rPr>
          <w:rFonts w:ascii="Arial" w:hAnsi="Arial" w:cs="Arial"/>
          <w:i/>
          <w:iCs/>
        </w:rPr>
        <w:t>is</w:t>
      </w:r>
      <w:r w:rsidR="007B7640" w:rsidRPr="00CD59CC">
        <w:rPr>
          <w:rFonts w:ascii="Arial" w:hAnsi="Arial" w:cs="Arial"/>
          <w:i/>
          <w:iCs/>
        </w:rPr>
        <w:t xml:space="preserve"> </w:t>
      </w:r>
      <w:r w:rsidR="00F070F7" w:rsidRPr="00CD59CC">
        <w:rPr>
          <w:rFonts w:ascii="Arial" w:hAnsi="Arial" w:cs="Arial"/>
          <w:i/>
          <w:iCs/>
        </w:rPr>
        <w:t>it</w:t>
      </w:r>
      <w:r w:rsidR="007B7640" w:rsidRPr="00CD59CC">
        <w:rPr>
          <w:rFonts w:ascii="Arial" w:hAnsi="Arial" w:cs="Arial"/>
          <w:i/>
          <w:iCs/>
        </w:rPr>
        <w:t xml:space="preserve"> </w:t>
      </w:r>
      <w:r w:rsidR="00F070F7" w:rsidRPr="00CD59CC">
        <w:rPr>
          <w:rFonts w:ascii="Arial" w:hAnsi="Arial" w:cs="Arial"/>
          <w:i/>
          <w:iCs/>
        </w:rPr>
        <w:t>dealt</w:t>
      </w:r>
      <w:r w:rsidR="007B7640" w:rsidRPr="00CD59CC">
        <w:rPr>
          <w:rFonts w:ascii="Arial" w:hAnsi="Arial" w:cs="Arial"/>
          <w:i/>
          <w:iCs/>
        </w:rPr>
        <w:t xml:space="preserve"> </w:t>
      </w:r>
      <w:r w:rsidR="00F070F7" w:rsidRPr="00CD59CC">
        <w:rPr>
          <w:rFonts w:ascii="Arial" w:hAnsi="Arial" w:cs="Arial"/>
          <w:i/>
          <w:iCs/>
        </w:rPr>
        <w:t>with</w:t>
      </w:r>
      <w:r w:rsidR="007B7640" w:rsidRPr="00CD59CC">
        <w:rPr>
          <w:rFonts w:ascii="Arial" w:hAnsi="Arial" w:cs="Arial"/>
          <w:i/>
          <w:iCs/>
        </w:rPr>
        <w:t xml:space="preserve"> </w:t>
      </w:r>
      <w:r w:rsidR="00F070F7" w:rsidRPr="00CD59CC">
        <w:rPr>
          <w:rFonts w:ascii="Arial" w:hAnsi="Arial" w:cs="Arial"/>
          <w:i/>
          <w:iCs/>
        </w:rPr>
        <w:t>in</w:t>
      </w:r>
      <w:r w:rsidR="007B7640" w:rsidRPr="00CD59CC">
        <w:rPr>
          <w:rFonts w:ascii="Arial" w:hAnsi="Arial" w:cs="Arial"/>
          <w:i/>
          <w:iCs/>
        </w:rPr>
        <w:t xml:space="preserve"> </w:t>
      </w:r>
      <w:r w:rsidR="00F070F7" w:rsidRPr="00CD59CC">
        <w:rPr>
          <w:rFonts w:ascii="Arial" w:hAnsi="Arial" w:cs="Arial"/>
          <w:i/>
          <w:iCs/>
        </w:rPr>
        <w:t>any</w:t>
      </w:r>
      <w:r w:rsidR="007B7640" w:rsidRPr="00CD59CC">
        <w:rPr>
          <w:rFonts w:ascii="Arial" w:hAnsi="Arial" w:cs="Arial"/>
          <w:i/>
          <w:iCs/>
        </w:rPr>
        <w:t xml:space="preserve"> </w:t>
      </w:r>
      <w:r w:rsidR="00F070F7" w:rsidRPr="00CD59CC">
        <w:rPr>
          <w:rFonts w:ascii="Arial" w:hAnsi="Arial" w:cs="Arial"/>
          <w:i/>
          <w:iCs/>
        </w:rPr>
        <w:t>other</w:t>
      </w:r>
      <w:r w:rsidR="007B7640" w:rsidRPr="00CD59CC">
        <w:rPr>
          <w:rFonts w:ascii="Arial" w:hAnsi="Arial" w:cs="Arial"/>
          <w:i/>
          <w:iCs/>
        </w:rPr>
        <w:t xml:space="preserve"> </w:t>
      </w:r>
      <w:r w:rsidR="00F070F7" w:rsidRPr="00CD59CC">
        <w:rPr>
          <w:rFonts w:ascii="Arial" w:hAnsi="Arial" w:cs="Arial"/>
          <w:i/>
          <w:iCs/>
        </w:rPr>
        <w:t>legislation?</w:t>
      </w:r>
    </w:p>
    <w:p w14:paraId="17DADA4E" w14:textId="77777777" w:rsidR="002B5BCD" w:rsidRPr="00CD59CC" w:rsidRDefault="002B5BCD" w:rsidP="00CD59CC">
      <w:pPr>
        <w:rPr>
          <w:rFonts w:ascii="Arial" w:hAnsi="Arial" w:cs="Arial"/>
        </w:rPr>
      </w:pPr>
    </w:p>
    <w:p w14:paraId="41F59CA1" w14:textId="77777777" w:rsidR="002B5BCD" w:rsidRPr="00CD59CC" w:rsidRDefault="002B5BCD" w:rsidP="00CD59CC">
      <w:pPr>
        <w:rPr>
          <w:rFonts w:ascii="Arial" w:hAnsi="Arial" w:cs="Arial"/>
          <w:i/>
        </w:rPr>
      </w:pPr>
      <w:r w:rsidRPr="00CD59CC">
        <w:rPr>
          <w:rFonts w:ascii="Arial" w:hAnsi="Arial" w:cs="Arial"/>
          <w:i/>
        </w:rPr>
        <w:t>Note</w:t>
      </w:r>
      <w:r w:rsidR="007B7640" w:rsidRPr="00CD59CC">
        <w:rPr>
          <w:rFonts w:ascii="Arial" w:hAnsi="Arial" w:cs="Arial"/>
          <w:i/>
        </w:rPr>
        <w:t xml:space="preserve"> </w:t>
      </w:r>
      <w:r w:rsidRPr="00CD59CC">
        <w:rPr>
          <w:rFonts w:ascii="Arial" w:hAnsi="Arial" w:cs="Arial"/>
          <w:i/>
        </w:rPr>
        <w:t>that</w:t>
      </w:r>
      <w:r w:rsidR="007B7640" w:rsidRPr="00CD59CC">
        <w:rPr>
          <w:rFonts w:ascii="Arial" w:hAnsi="Arial" w:cs="Arial"/>
          <w:i/>
        </w:rPr>
        <w:t xml:space="preserve"> </w:t>
      </w:r>
      <w:r w:rsidRPr="00CD59CC">
        <w:rPr>
          <w:rFonts w:ascii="Arial" w:hAnsi="Arial" w:cs="Arial"/>
          <w:i/>
        </w:rPr>
        <w:t>this</w:t>
      </w:r>
      <w:r w:rsidR="007B7640" w:rsidRPr="00CD59CC">
        <w:rPr>
          <w:rFonts w:ascii="Arial" w:hAnsi="Arial" w:cs="Arial"/>
          <w:i/>
        </w:rPr>
        <w:t xml:space="preserve"> </w:t>
      </w:r>
      <w:r w:rsidRPr="00CD59CC">
        <w:rPr>
          <w:rFonts w:ascii="Arial" w:hAnsi="Arial" w:cs="Arial"/>
          <w:i/>
        </w:rPr>
        <w:t>can</w:t>
      </w:r>
      <w:r w:rsidR="007B7640" w:rsidRPr="00CD59CC">
        <w:rPr>
          <w:rFonts w:ascii="Arial" w:hAnsi="Arial" w:cs="Arial"/>
          <w:i/>
        </w:rPr>
        <w:t xml:space="preserve"> </w:t>
      </w:r>
      <w:r w:rsidRPr="00CD59CC">
        <w:rPr>
          <w:rFonts w:ascii="Arial" w:hAnsi="Arial" w:cs="Arial"/>
          <w:i/>
        </w:rPr>
        <w:t>include</w:t>
      </w:r>
      <w:r w:rsidR="007B7640" w:rsidRPr="00CD59CC">
        <w:rPr>
          <w:rFonts w:ascii="Arial" w:hAnsi="Arial" w:cs="Arial"/>
          <w:i/>
        </w:rPr>
        <w:t xml:space="preserve"> </w:t>
      </w:r>
      <w:r w:rsidRPr="00CD59CC">
        <w:rPr>
          <w:rFonts w:ascii="Arial" w:hAnsi="Arial" w:cs="Arial"/>
          <w:i/>
        </w:rPr>
        <w:t>contractual</w:t>
      </w:r>
      <w:r w:rsidR="007B7640" w:rsidRPr="00CD59CC">
        <w:rPr>
          <w:rFonts w:ascii="Arial" w:hAnsi="Arial" w:cs="Arial"/>
          <w:i/>
        </w:rPr>
        <w:t xml:space="preserve"> </w:t>
      </w:r>
      <w:r w:rsidRPr="00CD59CC">
        <w:rPr>
          <w:rFonts w:ascii="Arial" w:hAnsi="Arial" w:cs="Arial"/>
          <w:i/>
        </w:rPr>
        <w:t>conditions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employment</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well</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conditions</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which</w:t>
      </w:r>
      <w:r w:rsidR="007B7640" w:rsidRPr="00CD59CC">
        <w:rPr>
          <w:rFonts w:ascii="Arial" w:hAnsi="Arial" w:cs="Arial"/>
          <w:i/>
        </w:rPr>
        <w:t xml:space="preserve"> </w:t>
      </w:r>
      <w:r w:rsidRPr="00CD59CC">
        <w:rPr>
          <w:rFonts w:ascii="Arial" w:hAnsi="Arial" w:cs="Arial"/>
          <w:i/>
        </w:rPr>
        <w:t>work</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expected</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carried</w:t>
      </w:r>
      <w:r w:rsidR="007B7640" w:rsidRPr="00CD59CC">
        <w:rPr>
          <w:rFonts w:ascii="Arial" w:hAnsi="Arial" w:cs="Arial"/>
          <w:i/>
        </w:rPr>
        <w:t xml:space="preserve"> </w:t>
      </w:r>
      <w:r w:rsidRPr="00CD59CC">
        <w:rPr>
          <w:rFonts w:ascii="Arial" w:hAnsi="Arial" w:cs="Arial"/>
          <w:i/>
        </w:rPr>
        <w:t>out.</w:t>
      </w:r>
    </w:p>
    <w:p w14:paraId="0686B278" w14:textId="77777777" w:rsidR="006B0141" w:rsidRPr="00CD59CC" w:rsidRDefault="006B0141" w:rsidP="00CD59CC">
      <w:pPr>
        <w:rPr>
          <w:rFonts w:ascii="Arial" w:hAnsi="Arial" w:cs="Arial"/>
        </w:rPr>
      </w:pPr>
    </w:p>
    <w:p w14:paraId="7879613C" w14:textId="77777777" w:rsidR="006B0141" w:rsidRPr="00CD59CC" w:rsidRDefault="006B0141" w:rsidP="00CD59CC">
      <w:pPr>
        <w:rPr>
          <w:rFonts w:ascii="Arial" w:hAnsi="Arial" w:cs="Arial"/>
          <w:bCs/>
        </w:rPr>
      </w:pPr>
      <w:r w:rsidRPr="00CD59CC">
        <w:rPr>
          <w:rFonts w:ascii="Arial" w:hAnsi="Arial" w:cs="Arial"/>
          <w:bCs/>
        </w:rPr>
        <w:t>As</w:t>
      </w:r>
      <w:r w:rsidR="007B7640" w:rsidRPr="00CD59CC">
        <w:rPr>
          <w:rFonts w:ascii="Arial" w:hAnsi="Arial" w:cs="Arial"/>
          <w:bCs/>
        </w:rPr>
        <w:t xml:space="preserve"> </w:t>
      </w:r>
      <w:r w:rsidRPr="00CD59CC">
        <w:rPr>
          <w:rFonts w:ascii="Arial" w:hAnsi="Arial" w:cs="Arial"/>
          <w:bCs/>
        </w:rPr>
        <w:t>it</w:t>
      </w:r>
      <w:r w:rsidR="007B7640" w:rsidRPr="00CD59CC">
        <w:rPr>
          <w:rFonts w:ascii="Arial" w:hAnsi="Arial" w:cs="Arial"/>
          <w:bCs/>
        </w:rPr>
        <w:t xml:space="preserve"> </w:t>
      </w:r>
      <w:r w:rsidRPr="00CD59CC">
        <w:rPr>
          <w:rFonts w:ascii="Arial" w:hAnsi="Arial" w:cs="Arial"/>
          <w:bCs/>
        </w:rPr>
        <w:t>was</w:t>
      </w:r>
      <w:r w:rsidR="007B7640" w:rsidRPr="00CD59CC">
        <w:rPr>
          <w:rFonts w:ascii="Arial" w:hAnsi="Arial" w:cs="Arial"/>
          <w:bCs/>
        </w:rPr>
        <w:t xml:space="preserve"> </w:t>
      </w:r>
      <w:r w:rsidRPr="00CD59CC">
        <w:rPr>
          <w:rFonts w:ascii="Arial" w:hAnsi="Arial" w:cs="Arial"/>
          <w:bCs/>
        </w:rPr>
        <w:t>outlined</w:t>
      </w:r>
      <w:r w:rsidR="007B7640" w:rsidRPr="00CD59CC">
        <w:rPr>
          <w:rFonts w:ascii="Arial" w:hAnsi="Arial" w:cs="Arial"/>
          <w:bCs/>
        </w:rPr>
        <w:t xml:space="preserve"> </w:t>
      </w:r>
      <w:r w:rsidRPr="00CD59CC">
        <w:rPr>
          <w:rFonts w:ascii="Arial" w:hAnsi="Arial" w:cs="Arial"/>
          <w:bCs/>
        </w:rPr>
        <w:t>under</w:t>
      </w:r>
      <w:r w:rsidR="007B7640" w:rsidRPr="00CD59CC">
        <w:rPr>
          <w:rFonts w:ascii="Arial" w:hAnsi="Arial" w:cs="Arial"/>
          <w:bCs/>
        </w:rPr>
        <w:t xml:space="preserve"> </w:t>
      </w:r>
      <w:r w:rsidRPr="00CD59CC">
        <w:rPr>
          <w:rFonts w:ascii="Arial" w:hAnsi="Arial" w:cs="Arial"/>
          <w:bCs/>
        </w:rPr>
        <w:t>Section</w:t>
      </w:r>
      <w:r w:rsidR="007B7640" w:rsidRPr="00CD59CC">
        <w:rPr>
          <w:rFonts w:ascii="Arial" w:hAnsi="Arial" w:cs="Arial"/>
          <w:bCs/>
        </w:rPr>
        <w:t xml:space="preserve"> </w:t>
      </w:r>
      <w:r w:rsidRPr="00CD59CC">
        <w:rPr>
          <w:rFonts w:ascii="Arial" w:hAnsi="Arial" w:cs="Arial"/>
          <w:bCs/>
        </w:rPr>
        <w:t>3.2.1,</w:t>
      </w:r>
      <w:r w:rsidR="007B7640" w:rsidRPr="00CD59CC">
        <w:rPr>
          <w:rFonts w:ascii="Arial" w:hAnsi="Arial" w:cs="Arial"/>
          <w:bCs/>
        </w:rPr>
        <w:t xml:space="preserve"> </w:t>
      </w:r>
      <w:r w:rsidRPr="00CD59CC">
        <w:rPr>
          <w:rFonts w:ascii="Arial" w:hAnsi="Arial" w:cs="Arial"/>
          <w:bCs/>
        </w:rPr>
        <w:t>working</w:t>
      </w:r>
      <w:r w:rsidR="007B7640" w:rsidRPr="00CD59CC">
        <w:rPr>
          <w:rFonts w:ascii="Arial" w:hAnsi="Arial" w:cs="Arial"/>
          <w:bCs/>
        </w:rPr>
        <w:t xml:space="preserve"> </w:t>
      </w:r>
      <w:r w:rsidRPr="00CD59CC">
        <w:rPr>
          <w:rFonts w:ascii="Arial" w:hAnsi="Arial" w:cs="Arial"/>
          <w:bCs/>
        </w:rPr>
        <w:t>conditions,</w:t>
      </w:r>
      <w:r w:rsidR="007B7640" w:rsidRPr="00CD59CC">
        <w:rPr>
          <w:rFonts w:ascii="Arial" w:hAnsi="Arial" w:cs="Arial"/>
          <w:bCs/>
        </w:rPr>
        <w:t xml:space="preserve"> </w:t>
      </w:r>
      <w:r w:rsidRPr="00CD59CC">
        <w:rPr>
          <w:rFonts w:ascii="Arial" w:hAnsi="Arial" w:cs="Arial"/>
          <w:bCs/>
        </w:rPr>
        <w:t>including</w:t>
      </w:r>
      <w:r w:rsidR="007B7640" w:rsidRPr="00CD59CC">
        <w:rPr>
          <w:rFonts w:ascii="Arial" w:hAnsi="Arial" w:cs="Arial"/>
          <w:bCs/>
        </w:rPr>
        <w:t xml:space="preserve"> </w:t>
      </w:r>
      <w:r w:rsidRPr="00CD59CC">
        <w:rPr>
          <w:rFonts w:ascii="Arial" w:hAnsi="Arial" w:cs="Arial"/>
          <w:bCs/>
        </w:rPr>
        <w:t>pay</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dismissals</w:t>
      </w:r>
      <w:r w:rsidR="007B7640" w:rsidRPr="00CD59CC">
        <w:rPr>
          <w:rFonts w:ascii="Arial" w:hAnsi="Arial" w:cs="Arial"/>
          <w:bCs/>
        </w:rPr>
        <w:t xml:space="preserve"> </w:t>
      </w:r>
      <w:r w:rsidRPr="00CD59CC">
        <w:rPr>
          <w:rFonts w:ascii="Arial" w:hAnsi="Arial" w:cs="Arial"/>
          <w:bCs/>
        </w:rPr>
        <w:t>are</w:t>
      </w:r>
      <w:r w:rsidR="007B7640" w:rsidRPr="00CD59CC">
        <w:rPr>
          <w:rFonts w:ascii="Arial" w:hAnsi="Arial" w:cs="Arial"/>
          <w:bCs/>
        </w:rPr>
        <w:t xml:space="preserve"> </w:t>
      </w:r>
      <w:r w:rsidRPr="00CD59CC">
        <w:rPr>
          <w:rFonts w:ascii="Arial" w:hAnsi="Arial" w:cs="Arial"/>
          <w:bCs/>
        </w:rPr>
        <w:t>fully</w:t>
      </w:r>
      <w:r w:rsidR="007B7640" w:rsidRPr="00CD59CC">
        <w:rPr>
          <w:rFonts w:ascii="Arial" w:hAnsi="Arial" w:cs="Arial"/>
          <w:bCs/>
        </w:rPr>
        <w:t xml:space="preserve"> </w:t>
      </w:r>
      <w:r w:rsidRPr="00CD59CC">
        <w:rPr>
          <w:rFonts w:ascii="Arial" w:hAnsi="Arial" w:cs="Arial"/>
          <w:bCs/>
        </w:rPr>
        <w:t>covered</w:t>
      </w:r>
      <w:r w:rsidR="007B7640" w:rsidRPr="00CD59CC">
        <w:rPr>
          <w:rFonts w:ascii="Arial" w:hAnsi="Arial" w:cs="Arial"/>
          <w:bCs/>
        </w:rPr>
        <w:t xml:space="preserve"> </w:t>
      </w:r>
      <w:r w:rsidRPr="00CD59CC">
        <w:rPr>
          <w:rFonts w:ascii="Arial" w:hAnsi="Arial" w:cs="Arial"/>
          <w:bCs/>
        </w:rPr>
        <w:t>by</w:t>
      </w:r>
      <w:r w:rsidR="007B7640" w:rsidRPr="00CD59CC">
        <w:rPr>
          <w:rFonts w:ascii="Arial" w:hAnsi="Arial" w:cs="Arial"/>
          <w:bCs/>
        </w:rPr>
        <w:t xml:space="preserve"> </w:t>
      </w:r>
      <w:r w:rsidRPr="00CD59CC">
        <w:rPr>
          <w:rFonts w:ascii="Arial" w:hAnsi="Arial" w:cs="Arial"/>
          <w:bCs/>
        </w:rPr>
        <w:t>the</w:t>
      </w:r>
      <w:r w:rsidR="007B7640" w:rsidRPr="00CD59CC">
        <w:rPr>
          <w:rFonts w:ascii="Arial" w:hAnsi="Arial" w:cs="Arial"/>
          <w:bCs/>
        </w:rPr>
        <w:t xml:space="preserve"> </w:t>
      </w:r>
      <w:r w:rsidRPr="00CD59CC">
        <w:rPr>
          <w:rFonts w:ascii="Arial" w:hAnsi="Arial" w:cs="Arial"/>
          <w:bCs/>
        </w:rPr>
        <w:t>ETA</w:t>
      </w:r>
      <w:r w:rsidR="007B7640" w:rsidRPr="00CD59CC">
        <w:rPr>
          <w:rFonts w:ascii="Arial" w:hAnsi="Arial" w:cs="Arial"/>
          <w:bCs/>
        </w:rPr>
        <w:t xml:space="preserve"> </w:t>
      </w:r>
      <w:r w:rsidRPr="00CD59CC">
        <w:rPr>
          <w:rFonts w:ascii="Arial" w:hAnsi="Arial" w:cs="Arial"/>
          <w:bCs/>
        </w:rPr>
        <w:t>in</w:t>
      </w:r>
      <w:r w:rsidR="007B7640" w:rsidRPr="00CD59CC">
        <w:rPr>
          <w:rFonts w:ascii="Arial" w:hAnsi="Arial" w:cs="Arial"/>
          <w:bCs/>
        </w:rPr>
        <w:t xml:space="preserve"> </w:t>
      </w:r>
      <w:r w:rsidRPr="00CD59CC">
        <w:rPr>
          <w:rFonts w:ascii="Arial" w:hAnsi="Arial" w:cs="Arial"/>
          <w:bCs/>
        </w:rPr>
        <w:t>terms</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its</w:t>
      </w:r>
      <w:r w:rsidR="007B7640" w:rsidRPr="00CD59CC">
        <w:rPr>
          <w:rFonts w:ascii="Arial" w:hAnsi="Arial" w:cs="Arial"/>
          <w:bCs/>
        </w:rPr>
        <w:t xml:space="preserve"> </w:t>
      </w:r>
      <w:r w:rsidRPr="00CD59CC">
        <w:rPr>
          <w:rFonts w:ascii="Arial" w:hAnsi="Arial" w:cs="Arial"/>
          <w:bCs/>
        </w:rPr>
        <w:t>Article</w:t>
      </w:r>
      <w:r w:rsidR="007B7640" w:rsidRPr="00CD59CC">
        <w:rPr>
          <w:rFonts w:ascii="Arial" w:hAnsi="Arial" w:cs="Arial"/>
          <w:bCs/>
        </w:rPr>
        <w:t xml:space="preserve"> </w:t>
      </w:r>
      <w:r w:rsidRPr="00CD59CC">
        <w:rPr>
          <w:rFonts w:ascii="Arial" w:hAnsi="Arial" w:cs="Arial"/>
          <w:bCs/>
        </w:rPr>
        <w:t>21.</w:t>
      </w:r>
    </w:p>
    <w:p w14:paraId="63942B1D" w14:textId="77777777" w:rsidR="006B0141" w:rsidRPr="00CD59CC" w:rsidRDefault="006B0141" w:rsidP="00CD59CC">
      <w:pPr>
        <w:rPr>
          <w:rFonts w:ascii="Arial" w:hAnsi="Arial" w:cs="Arial"/>
          <w:bCs/>
        </w:rPr>
      </w:pPr>
    </w:p>
    <w:p w14:paraId="4646DC2A" w14:textId="77777777" w:rsidR="006B0141" w:rsidRPr="00CD59CC" w:rsidRDefault="006B0141" w:rsidP="00CD59CC">
      <w:pPr>
        <w:rPr>
          <w:rFonts w:ascii="Arial" w:hAnsi="Arial" w:cs="Arial"/>
        </w:rPr>
      </w:pPr>
      <w:r w:rsidRPr="00CD59CC">
        <w:rPr>
          <w:rFonts w:ascii="Arial" w:hAnsi="Arial" w:cs="Arial"/>
          <w:bCs/>
        </w:rPr>
        <w:t>Occupational</w:t>
      </w:r>
      <w:r w:rsidR="007B7640" w:rsidRPr="00CD59CC">
        <w:rPr>
          <w:rFonts w:ascii="Arial" w:hAnsi="Arial" w:cs="Arial"/>
          <w:bCs/>
        </w:rPr>
        <w:t xml:space="preserve"> </w:t>
      </w:r>
      <w:r w:rsidRPr="00CD59CC">
        <w:rPr>
          <w:rFonts w:ascii="Arial" w:hAnsi="Arial" w:cs="Arial"/>
          <w:bCs/>
        </w:rPr>
        <w:t>pension</w:t>
      </w:r>
      <w:r w:rsidR="007B7640" w:rsidRPr="00CD59CC">
        <w:rPr>
          <w:rFonts w:ascii="Arial" w:hAnsi="Arial" w:cs="Arial"/>
          <w:bCs/>
        </w:rPr>
        <w:t xml:space="preserve"> </w:t>
      </w:r>
      <w:r w:rsidRPr="00CD59CC">
        <w:rPr>
          <w:rFonts w:ascii="Arial" w:hAnsi="Arial" w:cs="Arial"/>
          <w:bCs/>
        </w:rPr>
        <w:t>schemes</w:t>
      </w:r>
      <w:r w:rsidR="007B7640" w:rsidRPr="00CD59CC">
        <w:rPr>
          <w:rFonts w:ascii="Arial" w:hAnsi="Arial" w:cs="Arial"/>
          <w:bCs/>
        </w:rPr>
        <w:t xml:space="preserve"> </w:t>
      </w:r>
      <w:r w:rsidRPr="00CD59CC">
        <w:rPr>
          <w:rFonts w:ascii="Arial" w:hAnsi="Arial" w:cs="Arial"/>
          <w:bCs/>
        </w:rPr>
        <w:t>are</w:t>
      </w:r>
      <w:r w:rsidR="007B7640" w:rsidRPr="00CD59CC">
        <w:rPr>
          <w:rFonts w:ascii="Arial" w:hAnsi="Arial" w:cs="Arial"/>
          <w:bCs/>
        </w:rPr>
        <w:t xml:space="preserve"> </w:t>
      </w:r>
      <w:r w:rsidRPr="00CD59CC">
        <w:rPr>
          <w:rFonts w:ascii="Arial" w:hAnsi="Arial" w:cs="Arial"/>
          <w:bCs/>
        </w:rPr>
        <w:t>governed</w:t>
      </w:r>
      <w:r w:rsidR="007B7640" w:rsidRPr="00CD59CC">
        <w:rPr>
          <w:rFonts w:ascii="Arial" w:hAnsi="Arial" w:cs="Arial"/>
          <w:bCs/>
        </w:rPr>
        <w:t xml:space="preserve"> </w:t>
      </w:r>
      <w:r w:rsidRPr="00CD59CC">
        <w:rPr>
          <w:rFonts w:ascii="Arial" w:hAnsi="Arial" w:cs="Arial"/>
          <w:bCs/>
        </w:rPr>
        <w:t>by</w:t>
      </w:r>
      <w:r w:rsidR="007B7640" w:rsidRPr="00CD59CC">
        <w:rPr>
          <w:rFonts w:ascii="Arial" w:hAnsi="Arial" w:cs="Arial"/>
          <w:bCs/>
        </w:rPr>
        <w:t xml:space="preserve"> </w:t>
      </w:r>
      <w:r w:rsidRPr="00CD59CC">
        <w:rPr>
          <w:rFonts w:ascii="Arial" w:hAnsi="Arial" w:cs="Arial"/>
          <w:bCs/>
        </w:rPr>
        <w:t>Act</w:t>
      </w:r>
      <w:r w:rsidR="007B7640" w:rsidRPr="00CD59CC">
        <w:rPr>
          <w:rFonts w:ascii="Arial" w:hAnsi="Arial" w:cs="Arial"/>
          <w:bCs/>
        </w:rPr>
        <w:t xml:space="preserve"> </w:t>
      </w:r>
      <w:r w:rsidRPr="00CD59CC">
        <w:rPr>
          <w:rFonts w:ascii="Arial" w:hAnsi="Arial" w:cs="Arial"/>
          <w:bCs/>
        </w:rPr>
        <w:t>LXXXII</w:t>
      </w:r>
      <w:r w:rsidR="007B7640" w:rsidRPr="00CD59CC">
        <w:rPr>
          <w:rFonts w:ascii="Arial" w:hAnsi="Arial" w:cs="Arial"/>
          <w:bCs/>
        </w:rPr>
        <w:t xml:space="preserve"> </w:t>
      </w:r>
      <w:r w:rsidRPr="00CD59CC">
        <w:rPr>
          <w:rFonts w:ascii="Arial" w:hAnsi="Arial" w:cs="Arial"/>
          <w:bCs/>
        </w:rPr>
        <w:t>of</w:t>
      </w:r>
      <w:r w:rsidR="007B7640" w:rsidRPr="00CD59CC">
        <w:rPr>
          <w:rFonts w:ascii="Arial" w:hAnsi="Arial" w:cs="Arial"/>
          <w:bCs/>
        </w:rPr>
        <w:t xml:space="preserve"> </w:t>
      </w:r>
      <w:r w:rsidRPr="00CD59CC">
        <w:rPr>
          <w:rFonts w:ascii="Arial" w:hAnsi="Arial" w:cs="Arial"/>
          <w:bCs/>
        </w:rPr>
        <w:t>1997</w:t>
      </w:r>
      <w:r w:rsidR="007B7640" w:rsidRPr="00CD59CC">
        <w:rPr>
          <w:rFonts w:ascii="Arial" w:hAnsi="Arial" w:cs="Arial"/>
          <w:bCs/>
        </w:rPr>
        <w:t xml:space="preserve"> </w:t>
      </w:r>
      <w:r w:rsidRPr="00CD59CC">
        <w:rPr>
          <w:rFonts w:ascii="Arial" w:hAnsi="Arial" w:cs="Arial"/>
          <w:bCs/>
        </w:rPr>
        <w:t>on</w:t>
      </w:r>
      <w:r w:rsidR="007B7640" w:rsidRPr="00CD59CC">
        <w:rPr>
          <w:rFonts w:ascii="Arial" w:hAnsi="Arial" w:cs="Arial"/>
          <w:bCs/>
        </w:rPr>
        <w:t xml:space="preserve"> </w:t>
      </w:r>
      <w:r w:rsidRPr="00CD59CC">
        <w:rPr>
          <w:rFonts w:ascii="Arial" w:hAnsi="Arial" w:cs="Arial"/>
          <w:bCs/>
        </w:rPr>
        <w:t>Private</w:t>
      </w:r>
      <w:r w:rsidR="007B7640" w:rsidRPr="00CD59CC">
        <w:rPr>
          <w:rFonts w:ascii="Arial" w:hAnsi="Arial" w:cs="Arial"/>
          <w:bCs/>
        </w:rPr>
        <w:t xml:space="preserve"> </w:t>
      </w:r>
      <w:r w:rsidRPr="00CD59CC">
        <w:rPr>
          <w:rFonts w:ascii="Arial" w:hAnsi="Arial" w:cs="Arial"/>
          <w:bCs/>
        </w:rPr>
        <w:t>Pension</w:t>
      </w:r>
      <w:r w:rsidR="007B7640" w:rsidRPr="00CD59CC">
        <w:rPr>
          <w:rFonts w:ascii="Arial" w:hAnsi="Arial" w:cs="Arial"/>
          <w:bCs/>
        </w:rPr>
        <w:t xml:space="preserve"> </w:t>
      </w:r>
      <w:r w:rsidRPr="00CD59CC">
        <w:rPr>
          <w:rFonts w:ascii="Arial" w:hAnsi="Arial" w:cs="Arial"/>
          <w:bCs/>
        </w:rPr>
        <w:t>and</w:t>
      </w:r>
      <w:r w:rsidR="007B7640" w:rsidRPr="00CD59CC">
        <w:rPr>
          <w:rFonts w:ascii="Arial" w:hAnsi="Arial" w:cs="Arial"/>
          <w:bCs/>
        </w:rPr>
        <w:t xml:space="preserve"> </w:t>
      </w:r>
      <w:r w:rsidRPr="00CD59CC">
        <w:rPr>
          <w:rFonts w:ascii="Arial" w:hAnsi="Arial" w:cs="Arial"/>
          <w:bCs/>
        </w:rPr>
        <w:t>Private</w:t>
      </w:r>
      <w:r w:rsidR="007B7640" w:rsidRPr="00CD59CC">
        <w:rPr>
          <w:rFonts w:ascii="Arial" w:hAnsi="Arial" w:cs="Arial"/>
          <w:bCs/>
        </w:rPr>
        <w:t xml:space="preserve"> </w:t>
      </w:r>
      <w:r w:rsidRPr="00CD59CC">
        <w:rPr>
          <w:rFonts w:ascii="Arial" w:hAnsi="Arial" w:cs="Arial"/>
          <w:bCs/>
        </w:rPr>
        <w:t>Pension</w:t>
      </w:r>
      <w:r w:rsidR="007B7640" w:rsidRPr="00CD59CC">
        <w:rPr>
          <w:rFonts w:ascii="Arial" w:hAnsi="Arial" w:cs="Arial"/>
          <w:bCs/>
        </w:rPr>
        <w:t xml:space="preserve"> </w:t>
      </w:r>
      <w:r w:rsidRPr="00CD59CC">
        <w:rPr>
          <w:rFonts w:ascii="Arial" w:hAnsi="Arial" w:cs="Arial"/>
          <w:bCs/>
        </w:rPr>
        <w:t>Funds</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Pensions</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5</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prohibited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differentiate</w:t>
      </w:r>
      <w:r w:rsidR="007B7640" w:rsidRPr="00CD59CC">
        <w:rPr>
          <w:rFonts w:ascii="Arial" w:hAnsi="Arial" w:cs="Arial"/>
        </w:rPr>
        <w:t xml:space="preserve"> </w:t>
      </w:r>
      <w:r w:rsidRPr="00CD59CC">
        <w:rPr>
          <w:rFonts w:ascii="Arial" w:hAnsi="Arial" w:cs="Arial"/>
        </w:rPr>
        <w:t>between</w:t>
      </w:r>
      <w:r w:rsidR="007B7640" w:rsidRPr="00CD59CC">
        <w:rPr>
          <w:rFonts w:ascii="Arial" w:hAnsi="Arial" w:cs="Arial"/>
        </w:rPr>
        <w:t xml:space="preserve"> </w:t>
      </w:r>
      <w:r w:rsidRPr="00CD59CC">
        <w:rPr>
          <w:rFonts w:ascii="Arial" w:hAnsi="Arial" w:cs="Arial"/>
        </w:rPr>
        <w:t>fund</w:t>
      </w:r>
      <w:r w:rsidR="007B7640" w:rsidRPr="00CD59CC">
        <w:rPr>
          <w:rFonts w:ascii="Arial" w:hAnsi="Arial" w:cs="Arial"/>
        </w:rPr>
        <w:t xml:space="preserve"> </w:t>
      </w:r>
      <w:r w:rsidRPr="00CD59CC">
        <w:rPr>
          <w:rFonts w:ascii="Arial" w:hAnsi="Arial" w:cs="Arial"/>
        </w:rPr>
        <w:t>members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religion,</w:t>
      </w:r>
      <w:r w:rsidR="007B7640" w:rsidRPr="00CD59CC">
        <w:rPr>
          <w:rFonts w:ascii="Arial" w:hAnsi="Arial" w:cs="Arial"/>
        </w:rPr>
        <w:t xml:space="preserve"> </w:t>
      </w:r>
      <w:r w:rsidRPr="00CD59CC">
        <w:rPr>
          <w:rFonts w:ascii="Arial" w:hAnsi="Arial" w:cs="Arial"/>
        </w:rPr>
        <w:t>racial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ethnic</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political</w:t>
      </w:r>
      <w:r w:rsidR="007B7640" w:rsidRPr="00CD59CC">
        <w:rPr>
          <w:rFonts w:ascii="Arial" w:hAnsi="Arial" w:cs="Arial"/>
        </w:rPr>
        <w:t xml:space="preserve"> </w:t>
      </w:r>
      <w:r w:rsidRPr="00CD59CC">
        <w:rPr>
          <w:rFonts w:ascii="Arial" w:hAnsi="Arial" w:cs="Arial"/>
        </w:rPr>
        <w:t>conviction,</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sex.”</w:t>
      </w:r>
    </w:p>
    <w:p w14:paraId="27790EED" w14:textId="77777777" w:rsidR="006B0141" w:rsidRPr="00CD59CC" w:rsidRDefault="006B0141" w:rsidP="00CD59CC">
      <w:pPr>
        <w:rPr>
          <w:rFonts w:ascii="Arial" w:hAnsi="Arial" w:cs="Arial"/>
        </w:rPr>
      </w:pPr>
    </w:p>
    <w:p w14:paraId="6A3E6181" w14:textId="77777777" w:rsidR="006B0141" w:rsidRPr="00CD59CC" w:rsidRDefault="006B0141" w:rsidP="00CD59CC">
      <w:pPr>
        <w:rPr>
          <w:rFonts w:ascii="Arial" w:hAnsi="Arial" w:cs="Arial"/>
        </w:rPr>
      </w:pPr>
      <w:r w:rsidRPr="00CD59CC">
        <w:rPr>
          <w:rFonts w:ascii="Arial" w:hAnsi="Arial" w:cs="Arial"/>
        </w:rPr>
        <w:t>Although</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amended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unified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previously</w:t>
      </w:r>
      <w:r w:rsidR="007B7640" w:rsidRPr="00CD59CC">
        <w:rPr>
          <w:rFonts w:ascii="Arial" w:hAnsi="Arial" w:cs="Arial"/>
        </w:rPr>
        <w:t xml:space="preserve"> </w:t>
      </w:r>
      <w:r w:rsidRPr="00CD59CC">
        <w:rPr>
          <w:rFonts w:ascii="Arial" w:hAnsi="Arial" w:cs="Arial"/>
        </w:rPr>
        <w:t>very</w:t>
      </w:r>
      <w:r w:rsidR="007B7640" w:rsidRPr="00CD59CC">
        <w:rPr>
          <w:rFonts w:ascii="Arial" w:hAnsi="Arial" w:cs="Arial"/>
        </w:rPr>
        <w:t xml:space="preserve"> </w:t>
      </w:r>
      <w:r w:rsidRPr="00CD59CC">
        <w:rPr>
          <w:rFonts w:ascii="Arial" w:hAnsi="Arial" w:cs="Arial"/>
        </w:rPr>
        <w:t>patchy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inconsistent</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sectoral</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seems</w:t>
      </w:r>
      <w:r w:rsidR="007B7640" w:rsidRPr="00CD59CC">
        <w:rPr>
          <w:rFonts w:ascii="Arial" w:hAnsi="Arial" w:cs="Arial"/>
        </w:rPr>
        <w:t xml:space="preserve"> </w:t>
      </w:r>
      <w:r w:rsidRPr="00CD59CC">
        <w:rPr>
          <w:rFonts w:ascii="Arial" w:hAnsi="Arial" w:cs="Arial"/>
        </w:rPr>
        <w:t>likely</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rather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negligent</w:t>
      </w:r>
      <w:r w:rsidR="007B7640" w:rsidRPr="00CD59CC">
        <w:rPr>
          <w:rFonts w:ascii="Arial" w:hAnsi="Arial" w:cs="Arial"/>
        </w:rPr>
        <w:t xml:space="preserve"> </w:t>
      </w:r>
      <w:r w:rsidRPr="00CD59CC">
        <w:rPr>
          <w:rFonts w:ascii="Arial" w:hAnsi="Arial" w:cs="Arial"/>
        </w:rPr>
        <w:t>omission</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conscious</w:t>
      </w:r>
      <w:r w:rsidR="007B7640" w:rsidRPr="00CD59CC">
        <w:rPr>
          <w:rFonts w:ascii="Arial" w:hAnsi="Arial" w:cs="Arial"/>
        </w:rPr>
        <w:t xml:space="preserve"> </w:t>
      </w:r>
      <w:r w:rsidRPr="00CD59CC">
        <w:rPr>
          <w:rFonts w:ascii="Arial" w:hAnsi="Arial" w:cs="Arial"/>
        </w:rPr>
        <w:t>decision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legislator</w:t>
      </w:r>
      <w:r w:rsidR="007B7640" w:rsidRPr="00CD59CC">
        <w:rPr>
          <w:rFonts w:ascii="Arial" w:hAnsi="Arial" w:cs="Arial"/>
        </w:rPr>
        <w:t xml:space="preserve"> </w:t>
      </w:r>
      <w:r w:rsidRPr="00CD59CC">
        <w:rPr>
          <w:rFonts w:ascii="Arial" w:hAnsi="Arial" w:cs="Arial"/>
        </w:rPr>
        <w:t>“allowing”</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included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seemingly</w:t>
      </w:r>
      <w:r w:rsidR="007B7640" w:rsidRPr="00CD59CC">
        <w:rPr>
          <w:rFonts w:ascii="Arial" w:hAnsi="Arial" w:cs="Arial"/>
        </w:rPr>
        <w:t xml:space="preserve"> </w:t>
      </w:r>
      <w:r w:rsidRPr="00CD59CC">
        <w:rPr>
          <w:rFonts w:ascii="Arial" w:hAnsi="Arial" w:cs="Arial"/>
        </w:rPr>
        <w:t>closed</w:t>
      </w:r>
      <w:r w:rsidR="007B7640" w:rsidRPr="00CD59CC">
        <w:rPr>
          <w:rFonts w:ascii="Arial" w:hAnsi="Arial" w:cs="Arial"/>
        </w:rPr>
        <w:t xml:space="preserve"> </w:t>
      </w:r>
      <w:r w:rsidRPr="00CD59CC">
        <w:rPr>
          <w:rFonts w:ascii="Arial" w:hAnsi="Arial" w:cs="Arial"/>
        </w:rPr>
        <w:t>list</w:t>
      </w:r>
      <w:r w:rsidR="007B7640" w:rsidRPr="00CD59CC">
        <w:rPr>
          <w:rFonts w:ascii="Arial" w:hAnsi="Arial" w:cs="Arial"/>
        </w:rPr>
        <w:t xml:space="preserve"> </w:t>
      </w:r>
      <w:r w:rsidRPr="00CD59CC">
        <w:rPr>
          <w:rFonts w:ascii="Arial" w:hAnsi="Arial" w:cs="Arial"/>
        </w:rPr>
        <w:t>(e.g.</w:t>
      </w:r>
      <w:r w:rsidR="007B7640" w:rsidRPr="00CD59CC">
        <w:rPr>
          <w:rFonts w:ascii="Arial" w:hAnsi="Arial" w:cs="Arial"/>
        </w:rPr>
        <w:t xml:space="preserve"> </w:t>
      </w:r>
      <w:r w:rsidRPr="00CD59CC">
        <w:rPr>
          <w:rFonts w:ascii="Arial" w:hAnsi="Arial" w:cs="Arial"/>
        </w:rPr>
        <w:t>marital</w:t>
      </w:r>
      <w:r w:rsidR="007B7640" w:rsidRPr="00CD59CC">
        <w:rPr>
          <w:rFonts w:ascii="Arial" w:hAnsi="Arial" w:cs="Arial"/>
        </w:rPr>
        <w:t xml:space="preserve"> </w:t>
      </w:r>
      <w:r w:rsidRPr="00CD59CC">
        <w:rPr>
          <w:rFonts w:ascii="Arial" w:hAnsi="Arial" w:cs="Arial"/>
        </w:rPr>
        <w:t>status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c.f.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Maruko</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Civil</w:t>
      </w:r>
      <w:r w:rsidR="007B7640" w:rsidRPr="00CD59CC">
        <w:rPr>
          <w:rFonts w:ascii="Arial" w:hAnsi="Arial" w:cs="Arial"/>
        </w:rPr>
        <w:t xml:space="preserve"> </w:t>
      </w:r>
      <w:r w:rsidRPr="00CD59CC">
        <w:rPr>
          <w:rFonts w:ascii="Arial" w:hAnsi="Arial" w:cs="Arial"/>
        </w:rPr>
        <w:t>Code's</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inherent</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and/or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make</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potential</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occupational</w:t>
      </w:r>
      <w:r w:rsidR="007B7640" w:rsidRPr="00CD59CC">
        <w:rPr>
          <w:rFonts w:ascii="Arial" w:hAnsi="Arial" w:cs="Arial"/>
        </w:rPr>
        <w:t xml:space="preserve"> </w:t>
      </w:r>
      <w:r w:rsidRPr="00CD59CC">
        <w:rPr>
          <w:rFonts w:ascii="Arial" w:hAnsi="Arial" w:cs="Arial"/>
        </w:rPr>
        <w:t>pension</w:t>
      </w:r>
      <w:r w:rsidR="007B7640" w:rsidRPr="00CD59CC">
        <w:rPr>
          <w:rFonts w:ascii="Arial" w:hAnsi="Arial" w:cs="Arial"/>
        </w:rPr>
        <w:t xml:space="preserve"> </w:t>
      </w:r>
      <w:r w:rsidRPr="00CD59CC">
        <w:rPr>
          <w:rFonts w:ascii="Arial" w:hAnsi="Arial" w:cs="Arial"/>
        </w:rPr>
        <w:t>fund</w:t>
      </w:r>
      <w:r w:rsidR="007B7640" w:rsidRPr="00CD59CC">
        <w:rPr>
          <w:rFonts w:ascii="Arial" w:hAnsi="Arial" w:cs="Arial"/>
        </w:rPr>
        <w:t xml:space="preserve"> </w:t>
      </w:r>
      <w:r w:rsidRPr="00CD59CC">
        <w:rPr>
          <w:rFonts w:ascii="Arial" w:hAnsi="Arial" w:cs="Arial"/>
        </w:rPr>
        <w:t>sanctionable.</w:t>
      </w:r>
      <w:r w:rsidR="007B7640" w:rsidRPr="00CD59CC">
        <w:rPr>
          <w:rFonts w:ascii="Arial" w:hAnsi="Arial" w:cs="Arial"/>
        </w:rPr>
        <w:t xml:space="preserve"> </w:t>
      </w:r>
    </w:p>
    <w:p w14:paraId="762F6FAC" w14:textId="77777777" w:rsidR="006B0141" w:rsidRPr="00CD59CC" w:rsidRDefault="006B0141" w:rsidP="00CD59CC">
      <w:pPr>
        <w:rPr>
          <w:rFonts w:ascii="Arial" w:hAnsi="Arial" w:cs="Arial"/>
        </w:rPr>
      </w:pPr>
    </w:p>
    <w:p w14:paraId="14DC0336" w14:textId="77777777" w:rsidR="006B0141" w:rsidRPr="00CD59CC" w:rsidRDefault="006B0141" w:rsidP="00CD59CC">
      <w:pPr>
        <w:rPr>
          <w:rFonts w:ascii="Arial" w:hAnsi="Arial" w:cs="Arial"/>
        </w:rPr>
      </w:pPr>
      <w:r w:rsidRPr="00CD59CC">
        <w:rPr>
          <w:rFonts w:ascii="Arial" w:hAnsi="Arial" w:cs="Arial"/>
        </w:rPr>
        <w:t>As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contractual</w:t>
      </w:r>
      <w:r w:rsidR="007B7640" w:rsidRPr="00CD59CC">
        <w:rPr>
          <w:rFonts w:ascii="Arial" w:hAnsi="Arial" w:cs="Arial"/>
        </w:rPr>
        <w:t xml:space="preserve"> </w:t>
      </w:r>
      <w:r w:rsidRPr="00CD59CC">
        <w:rPr>
          <w:rFonts w:ascii="Arial" w:hAnsi="Arial" w:cs="Arial"/>
        </w:rPr>
        <w:t>relations,</w:t>
      </w:r>
      <w:r w:rsidR="007B7640" w:rsidRPr="00CD59CC">
        <w:rPr>
          <w:rFonts w:ascii="Arial" w:hAnsi="Arial" w:cs="Arial"/>
        </w:rPr>
        <w:t xml:space="preserve"> </w:t>
      </w:r>
      <w:r w:rsidRPr="00CD59CC">
        <w:rPr>
          <w:rFonts w:ascii="Arial" w:hAnsi="Arial" w:cs="Arial"/>
        </w:rPr>
        <w:t>we</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reiterate</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working</w:t>
      </w:r>
      <w:r w:rsidR="007B7640" w:rsidRPr="00CD59CC">
        <w:rPr>
          <w:rFonts w:ascii="Arial" w:hAnsi="Arial" w:cs="Arial"/>
        </w:rPr>
        <w:t xml:space="preserve"> </w:t>
      </w:r>
      <w:r w:rsidRPr="00CD59CC">
        <w:rPr>
          <w:rFonts w:ascii="Arial" w:hAnsi="Arial" w:cs="Arial"/>
        </w:rPr>
        <w:t>conditions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well</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pay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dismissals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covered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wider</w:t>
      </w:r>
      <w:r w:rsidR="007B7640" w:rsidRPr="00CD59CC">
        <w:rPr>
          <w:rFonts w:ascii="Arial" w:hAnsi="Arial" w:cs="Arial"/>
        </w:rPr>
        <w:t xml:space="preserve"> </w:t>
      </w:r>
      <w:r w:rsidRPr="00CD59CC">
        <w:rPr>
          <w:rFonts w:ascii="Arial" w:hAnsi="Arial" w:cs="Arial"/>
        </w:rPr>
        <w:t>sense,</w:t>
      </w:r>
      <w:r w:rsidR="007B7640" w:rsidRPr="00CD59CC">
        <w:rPr>
          <w:rFonts w:ascii="Arial" w:hAnsi="Arial" w:cs="Arial"/>
        </w:rPr>
        <w:t xml:space="preserve"> </w:t>
      </w:r>
      <w:r w:rsidRPr="00CD59CC">
        <w:rPr>
          <w:rFonts w:ascii="Arial" w:hAnsi="Arial" w:cs="Arial"/>
        </w:rPr>
        <w:t>i.e.</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labour</w:t>
      </w:r>
      <w:r w:rsidR="007B7640" w:rsidRPr="00CD59CC">
        <w:rPr>
          <w:rFonts w:ascii="Arial" w:hAnsi="Arial" w:cs="Arial"/>
        </w:rPr>
        <w:t xml:space="preserve"> </w:t>
      </w:r>
      <w:r w:rsidRPr="00CD59CC">
        <w:rPr>
          <w:rFonts w:ascii="Arial" w:hAnsi="Arial" w:cs="Arial"/>
        </w:rPr>
        <w:t>relations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relations</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employment.</w:t>
      </w:r>
    </w:p>
    <w:p w14:paraId="5773ED7B" w14:textId="77777777" w:rsidR="002B5BCD" w:rsidRPr="00CD59CC" w:rsidRDefault="002B5BCD" w:rsidP="00CD59CC">
      <w:pPr>
        <w:rPr>
          <w:rFonts w:ascii="Arial" w:hAnsi="Arial" w:cs="Arial"/>
        </w:rPr>
      </w:pPr>
    </w:p>
    <w:p w14:paraId="156A70BC" w14:textId="77777777" w:rsidR="002B5BCD" w:rsidRPr="00CD59CC" w:rsidRDefault="002B5BCD" w:rsidP="00CD59CC">
      <w:pPr>
        <w:pStyle w:val="Heading3"/>
        <w:rPr>
          <w:rFonts w:cs="Arial"/>
        </w:rPr>
      </w:pPr>
      <w:bookmarkStart w:id="155" w:name="_Toc220221154"/>
      <w:bookmarkStart w:id="156" w:name="_Toc392758725"/>
      <w:bookmarkStart w:id="157" w:name="_Toc329163616"/>
      <w:bookmarkStart w:id="158" w:name="_Toc366846334"/>
      <w:r w:rsidRPr="00CD59CC">
        <w:rPr>
          <w:rFonts w:cs="Arial"/>
        </w:rPr>
        <w:lastRenderedPageBreak/>
        <w:t>Access</w:t>
      </w:r>
      <w:r w:rsidR="007B7640" w:rsidRPr="00CD59CC">
        <w:rPr>
          <w:rFonts w:cs="Arial"/>
        </w:rPr>
        <w:t xml:space="preserve"> </w:t>
      </w:r>
      <w:r w:rsidRPr="00CD59CC">
        <w:rPr>
          <w:rFonts w:cs="Arial"/>
        </w:rPr>
        <w:t>to</w:t>
      </w:r>
      <w:r w:rsidR="007B7640" w:rsidRPr="00CD59CC">
        <w:rPr>
          <w:rFonts w:cs="Arial"/>
        </w:rPr>
        <w:t xml:space="preserve"> </w:t>
      </w:r>
      <w:r w:rsidRPr="00CD59CC">
        <w:rPr>
          <w:rFonts w:cs="Arial"/>
        </w:rPr>
        <w:t>all</w:t>
      </w:r>
      <w:r w:rsidR="007B7640" w:rsidRPr="00CD59CC">
        <w:rPr>
          <w:rFonts w:cs="Arial"/>
        </w:rPr>
        <w:t xml:space="preserve"> </w:t>
      </w:r>
      <w:r w:rsidRPr="00CD59CC">
        <w:rPr>
          <w:rFonts w:cs="Arial"/>
        </w:rPr>
        <w:t>types</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to</w:t>
      </w:r>
      <w:r w:rsidR="007B7640" w:rsidRPr="00CD59CC">
        <w:rPr>
          <w:rFonts w:cs="Arial"/>
        </w:rPr>
        <w:t xml:space="preserve"> </w:t>
      </w:r>
      <w:r w:rsidRPr="00CD59CC">
        <w:rPr>
          <w:rFonts w:cs="Arial"/>
        </w:rPr>
        <w:t>all</w:t>
      </w:r>
      <w:r w:rsidR="007B7640" w:rsidRPr="00CD59CC">
        <w:rPr>
          <w:rFonts w:cs="Arial"/>
        </w:rPr>
        <w:t xml:space="preserve"> </w:t>
      </w:r>
      <w:r w:rsidRPr="00CD59CC">
        <w:rPr>
          <w:rFonts w:cs="Arial"/>
        </w:rPr>
        <w:t>levels</w:t>
      </w:r>
      <w:r w:rsidR="007B7640" w:rsidRPr="00CD59CC">
        <w:rPr>
          <w:rFonts w:cs="Arial"/>
        </w:rPr>
        <w:t xml:space="preserve"> </w:t>
      </w:r>
      <w:r w:rsidRPr="00CD59CC">
        <w:rPr>
          <w:rFonts w:cs="Arial"/>
        </w:rPr>
        <w:t>of</w:t>
      </w:r>
      <w:r w:rsidR="007B7640" w:rsidRPr="00CD59CC">
        <w:rPr>
          <w:rFonts w:cs="Arial"/>
        </w:rPr>
        <w:t xml:space="preserve"> </w:t>
      </w:r>
      <w:r w:rsidRPr="00CD59CC">
        <w:rPr>
          <w:rFonts w:cs="Arial"/>
        </w:rPr>
        <w:t>vocational</w:t>
      </w:r>
      <w:r w:rsidR="007B7640" w:rsidRPr="00CD59CC">
        <w:rPr>
          <w:rFonts w:cs="Arial"/>
        </w:rPr>
        <w:t xml:space="preserve"> </w:t>
      </w:r>
      <w:r w:rsidRPr="00CD59CC">
        <w:rPr>
          <w:rFonts w:cs="Arial"/>
        </w:rPr>
        <w:t>guidance,</w:t>
      </w:r>
      <w:r w:rsidR="007B7640" w:rsidRPr="00CD59CC">
        <w:rPr>
          <w:rFonts w:cs="Arial"/>
        </w:rPr>
        <w:t xml:space="preserve"> </w:t>
      </w:r>
      <w:r w:rsidRPr="00CD59CC">
        <w:rPr>
          <w:rFonts w:cs="Arial"/>
        </w:rPr>
        <w:t>vocational</w:t>
      </w:r>
      <w:r w:rsidR="007B7640" w:rsidRPr="00CD59CC">
        <w:rPr>
          <w:rFonts w:cs="Arial"/>
        </w:rPr>
        <w:t xml:space="preserve"> </w:t>
      </w:r>
      <w:r w:rsidRPr="00CD59CC">
        <w:rPr>
          <w:rFonts w:cs="Arial"/>
        </w:rPr>
        <w:t>training,</w:t>
      </w:r>
      <w:r w:rsidR="007B7640" w:rsidRPr="00CD59CC">
        <w:rPr>
          <w:rFonts w:cs="Arial"/>
        </w:rPr>
        <w:t xml:space="preserve"> </w:t>
      </w:r>
      <w:r w:rsidRPr="00CD59CC">
        <w:rPr>
          <w:rFonts w:cs="Arial"/>
        </w:rPr>
        <w:t>advanced</w:t>
      </w:r>
      <w:r w:rsidR="007B7640" w:rsidRPr="00CD59CC">
        <w:rPr>
          <w:rFonts w:cs="Arial"/>
        </w:rPr>
        <w:t xml:space="preserve"> </w:t>
      </w:r>
      <w:r w:rsidRPr="00CD59CC">
        <w:rPr>
          <w:rFonts w:cs="Arial"/>
        </w:rPr>
        <w:t>vocational</w:t>
      </w:r>
      <w:r w:rsidR="007B7640" w:rsidRPr="00CD59CC">
        <w:rPr>
          <w:rFonts w:cs="Arial"/>
        </w:rPr>
        <w:t xml:space="preserve"> </w:t>
      </w:r>
      <w:r w:rsidRPr="00CD59CC">
        <w:rPr>
          <w:rFonts w:cs="Arial"/>
        </w:rPr>
        <w:t>training</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retraining,</w:t>
      </w:r>
      <w:r w:rsidR="007B7640" w:rsidRPr="00CD59CC">
        <w:rPr>
          <w:rFonts w:cs="Arial"/>
        </w:rPr>
        <w:t xml:space="preserve"> </w:t>
      </w:r>
      <w:r w:rsidRPr="00CD59CC">
        <w:rPr>
          <w:rFonts w:cs="Arial"/>
        </w:rPr>
        <w:t>including</w:t>
      </w:r>
      <w:r w:rsidR="007B7640" w:rsidRPr="00CD59CC">
        <w:rPr>
          <w:rFonts w:cs="Arial"/>
        </w:rPr>
        <w:t xml:space="preserve"> </w:t>
      </w:r>
      <w:r w:rsidRPr="00CD59CC">
        <w:rPr>
          <w:rFonts w:cs="Arial"/>
        </w:rPr>
        <w:t>practical</w:t>
      </w:r>
      <w:r w:rsidR="007B7640" w:rsidRPr="00CD59CC">
        <w:rPr>
          <w:rFonts w:cs="Arial"/>
        </w:rPr>
        <w:t xml:space="preserve"> </w:t>
      </w:r>
      <w:r w:rsidRPr="00CD59CC">
        <w:rPr>
          <w:rFonts w:cs="Arial"/>
        </w:rPr>
        <w:t>work</w:t>
      </w:r>
      <w:r w:rsidR="007B7640" w:rsidRPr="00CD59CC">
        <w:rPr>
          <w:rFonts w:cs="Arial"/>
        </w:rPr>
        <w:t xml:space="preserve"> </w:t>
      </w:r>
      <w:r w:rsidRPr="00CD59CC">
        <w:rPr>
          <w:rFonts w:cs="Arial"/>
        </w:rPr>
        <w:t>experience</w:t>
      </w:r>
      <w:r w:rsidR="007B7640" w:rsidRPr="00CD59CC">
        <w:rPr>
          <w:rFonts w:cs="Arial"/>
        </w:rPr>
        <w:t xml:space="preserve"> </w:t>
      </w:r>
      <w:r w:rsidRPr="00CD59CC">
        <w:rPr>
          <w:rFonts w:cs="Arial"/>
        </w:rPr>
        <w:t>(Article</w:t>
      </w:r>
      <w:r w:rsidR="007B7640" w:rsidRPr="00CD59CC">
        <w:rPr>
          <w:rFonts w:cs="Arial"/>
        </w:rPr>
        <w:t xml:space="preserve"> </w:t>
      </w:r>
      <w:r w:rsidRPr="00CD59CC">
        <w:rPr>
          <w:rFonts w:cs="Arial"/>
        </w:rPr>
        <w:t>3(1)(b))</w:t>
      </w:r>
      <w:bookmarkEnd w:id="155"/>
      <w:bookmarkEnd w:id="156"/>
      <w:bookmarkEnd w:id="157"/>
      <w:bookmarkEnd w:id="158"/>
    </w:p>
    <w:p w14:paraId="2F73A91A" w14:textId="77777777" w:rsidR="002B5BCD" w:rsidRPr="00CD59CC" w:rsidRDefault="002B5BCD" w:rsidP="00CD59CC">
      <w:pPr>
        <w:rPr>
          <w:rFonts w:ascii="Arial" w:hAnsi="Arial" w:cs="Arial"/>
        </w:rPr>
      </w:pPr>
    </w:p>
    <w:p w14:paraId="032B04E5" w14:textId="77777777" w:rsidR="00F070F7" w:rsidRPr="00B97ED3" w:rsidRDefault="00F070F7" w:rsidP="00CD59CC">
      <w:pPr>
        <w:rPr>
          <w:rFonts w:ascii="Arial" w:hAnsi="Arial" w:cs="Arial"/>
          <w:i/>
        </w:rPr>
      </w:pPr>
      <w:r w:rsidRPr="00B97ED3">
        <w:rPr>
          <w:rFonts w:ascii="Arial" w:hAnsi="Arial" w:cs="Arial"/>
          <w:i/>
        </w:rPr>
        <w:t>Does</w:t>
      </w:r>
      <w:r w:rsidR="007B7640" w:rsidRPr="00B97ED3">
        <w:rPr>
          <w:rFonts w:ascii="Arial" w:hAnsi="Arial" w:cs="Arial"/>
          <w:i/>
        </w:rPr>
        <w:t xml:space="preserve"> </w:t>
      </w:r>
      <w:r w:rsidRPr="00B97ED3">
        <w:rPr>
          <w:rFonts w:ascii="Arial" w:hAnsi="Arial" w:cs="Arial"/>
          <w:i/>
        </w:rPr>
        <w:t>national</w:t>
      </w:r>
      <w:r w:rsidR="007B7640" w:rsidRPr="00B97ED3">
        <w:rPr>
          <w:rFonts w:ascii="Arial" w:hAnsi="Arial" w:cs="Arial"/>
          <w:i/>
        </w:rPr>
        <w:t xml:space="preserve"> </w:t>
      </w:r>
      <w:r w:rsidRPr="00B97ED3">
        <w:rPr>
          <w:rFonts w:ascii="Arial" w:hAnsi="Arial" w:cs="Arial"/>
          <w:i/>
        </w:rPr>
        <w:t>law</w:t>
      </w:r>
      <w:r w:rsidR="007B7640" w:rsidRPr="00B97ED3">
        <w:rPr>
          <w:rFonts w:ascii="Arial" w:hAnsi="Arial" w:cs="Arial"/>
          <w:i/>
        </w:rPr>
        <w:t xml:space="preserve"> </w:t>
      </w:r>
      <w:r w:rsidRPr="00B97ED3">
        <w:rPr>
          <w:rFonts w:ascii="Arial" w:hAnsi="Arial" w:cs="Arial"/>
          <w:i/>
        </w:rPr>
        <w:t>on</w:t>
      </w:r>
      <w:r w:rsidR="007B7640" w:rsidRPr="00B97ED3">
        <w:rPr>
          <w:rFonts w:ascii="Arial" w:hAnsi="Arial" w:cs="Arial"/>
          <w:i/>
        </w:rPr>
        <w:t xml:space="preserve"> </w:t>
      </w:r>
      <w:r w:rsidRPr="00B97ED3">
        <w:rPr>
          <w:rFonts w:ascii="Arial" w:hAnsi="Arial" w:cs="Arial"/>
          <w:i/>
        </w:rPr>
        <w:t>discrimination</w:t>
      </w:r>
      <w:r w:rsidR="007B7640" w:rsidRPr="00B97ED3">
        <w:rPr>
          <w:rFonts w:ascii="Arial" w:hAnsi="Arial" w:cs="Arial"/>
          <w:i/>
        </w:rPr>
        <w:t xml:space="preserve"> </w:t>
      </w:r>
      <w:r w:rsidRPr="00B97ED3">
        <w:rPr>
          <w:rFonts w:ascii="Arial" w:hAnsi="Arial" w:cs="Arial"/>
          <w:i/>
        </w:rPr>
        <w:t>include</w:t>
      </w:r>
      <w:r w:rsidR="007B7640" w:rsidRPr="00B97ED3">
        <w:rPr>
          <w:rFonts w:ascii="Arial" w:hAnsi="Arial" w:cs="Arial"/>
          <w:i/>
        </w:rPr>
        <w:t xml:space="preserve"> </w:t>
      </w:r>
      <w:r w:rsidRPr="00B97ED3">
        <w:rPr>
          <w:rFonts w:ascii="Arial" w:hAnsi="Arial" w:cs="Arial"/>
          <w:i/>
        </w:rPr>
        <w:t>access</w:t>
      </w:r>
      <w:r w:rsidR="007B7640" w:rsidRPr="00B97ED3">
        <w:rPr>
          <w:rFonts w:ascii="Arial" w:hAnsi="Arial" w:cs="Arial"/>
          <w:i/>
        </w:rPr>
        <w:t xml:space="preserve"> </w:t>
      </w:r>
      <w:r w:rsidRPr="00B97ED3">
        <w:rPr>
          <w:rFonts w:ascii="Arial" w:hAnsi="Arial" w:cs="Arial"/>
          <w:i/>
        </w:rPr>
        <w:t>to</w:t>
      </w:r>
      <w:r w:rsidR="007B7640" w:rsidRPr="00B97ED3">
        <w:rPr>
          <w:rFonts w:ascii="Arial" w:hAnsi="Arial" w:cs="Arial"/>
          <w:i/>
        </w:rPr>
        <w:t xml:space="preserve"> </w:t>
      </w:r>
      <w:r w:rsidRPr="00B97ED3">
        <w:rPr>
          <w:rFonts w:ascii="Arial" w:hAnsi="Arial" w:cs="Arial"/>
          <w:i/>
        </w:rPr>
        <w:t>guidance</w:t>
      </w:r>
      <w:r w:rsidR="007B7640" w:rsidRPr="00B97ED3">
        <w:rPr>
          <w:rFonts w:ascii="Arial" w:hAnsi="Arial" w:cs="Arial"/>
          <w:i/>
        </w:rPr>
        <w:t xml:space="preserve"> </w:t>
      </w:r>
      <w:r w:rsidRPr="00B97ED3">
        <w:rPr>
          <w:rFonts w:ascii="Arial" w:hAnsi="Arial" w:cs="Arial"/>
          <w:i/>
        </w:rPr>
        <w:t>and</w:t>
      </w:r>
      <w:r w:rsidR="007B7640" w:rsidRPr="00B97ED3">
        <w:rPr>
          <w:rFonts w:ascii="Arial" w:hAnsi="Arial" w:cs="Arial"/>
          <w:i/>
        </w:rPr>
        <w:t xml:space="preserve"> </w:t>
      </w:r>
      <w:r w:rsidRPr="00B97ED3">
        <w:rPr>
          <w:rFonts w:ascii="Arial" w:hAnsi="Arial" w:cs="Arial"/>
          <w:i/>
        </w:rPr>
        <w:t>training</w:t>
      </w:r>
      <w:r w:rsidR="007B7640" w:rsidRPr="00B97ED3">
        <w:rPr>
          <w:rFonts w:ascii="Arial" w:hAnsi="Arial" w:cs="Arial"/>
          <w:i/>
        </w:rPr>
        <w:t xml:space="preserve"> </w:t>
      </w:r>
      <w:r w:rsidRPr="00B97ED3">
        <w:rPr>
          <w:rFonts w:ascii="Arial" w:hAnsi="Arial" w:cs="Arial"/>
          <w:i/>
        </w:rPr>
        <w:t>as</w:t>
      </w:r>
      <w:r w:rsidR="007B7640" w:rsidRPr="00B97ED3">
        <w:rPr>
          <w:rFonts w:ascii="Arial" w:hAnsi="Arial" w:cs="Arial"/>
          <w:i/>
        </w:rPr>
        <w:t xml:space="preserve"> </w:t>
      </w:r>
      <w:r w:rsidRPr="00B97ED3">
        <w:rPr>
          <w:rFonts w:ascii="Arial" w:hAnsi="Arial" w:cs="Arial"/>
          <w:i/>
        </w:rPr>
        <w:t>defined</w:t>
      </w:r>
      <w:r w:rsidR="007B7640" w:rsidRPr="00B97ED3">
        <w:rPr>
          <w:rFonts w:ascii="Arial" w:hAnsi="Arial" w:cs="Arial"/>
          <w:i/>
        </w:rPr>
        <w:t xml:space="preserve"> </w:t>
      </w:r>
      <w:r w:rsidR="00B64848" w:rsidRPr="00B97ED3">
        <w:rPr>
          <w:rFonts w:ascii="Arial" w:hAnsi="Arial" w:cs="Arial"/>
          <w:i/>
        </w:rPr>
        <w:t>and</w:t>
      </w:r>
      <w:r w:rsidR="007B7640" w:rsidRPr="00B97ED3">
        <w:rPr>
          <w:rFonts w:ascii="Arial" w:hAnsi="Arial" w:cs="Arial"/>
          <w:i/>
        </w:rPr>
        <w:t xml:space="preserve"> </w:t>
      </w:r>
      <w:r w:rsidR="00B64848" w:rsidRPr="00B97ED3">
        <w:rPr>
          <w:rFonts w:ascii="Arial" w:hAnsi="Arial" w:cs="Arial"/>
          <w:i/>
        </w:rPr>
        <w:t>formulated</w:t>
      </w:r>
      <w:r w:rsidR="007B7640" w:rsidRPr="00B97ED3">
        <w:rPr>
          <w:rFonts w:ascii="Arial" w:hAnsi="Arial" w:cs="Arial"/>
          <w:i/>
        </w:rPr>
        <w:t xml:space="preserve"> </w:t>
      </w:r>
      <w:r w:rsidRPr="00B97ED3">
        <w:rPr>
          <w:rFonts w:ascii="Arial" w:hAnsi="Arial" w:cs="Arial"/>
          <w:i/>
        </w:rPr>
        <w:t>in</w:t>
      </w:r>
      <w:r w:rsidR="007B7640" w:rsidRPr="00B97ED3">
        <w:rPr>
          <w:rFonts w:ascii="Arial" w:hAnsi="Arial" w:cs="Arial"/>
          <w:i/>
        </w:rPr>
        <w:t xml:space="preserve"> </w:t>
      </w:r>
      <w:r w:rsidRPr="00B97ED3">
        <w:rPr>
          <w:rFonts w:ascii="Arial" w:hAnsi="Arial" w:cs="Arial"/>
          <w:i/>
        </w:rPr>
        <w:t>the</w:t>
      </w:r>
      <w:r w:rsidR="007B7640" w:rsidRPr="00B97ED3">
        <w:rPr>
          <w:rFonts w:ascii="Arial" w:hAnsi="Arial" w:cs="Arial"/>
          <w:i/>
        </w:rPr>
        <w:t xml:space="preserve"> </w:t>
      </w:r>
      <w:r w:rsidRPr="00B97ED3">
        <w:rPr>
          <w:rFonts w:ascii="Arial" w:hAnsi="Arial" w:cs="Arial"/>
          <w:i/>
        </w:rPr>
        <w:t>directives?</w:t>
      </w:r>
      <w:r w:rsidR="007B7640" w:rsidRPr="00B97ED3">
        <w:rPr>
          <w:rFonts w:ascii="Arial" w:hAnsi="Arial" w:cs="Arial"/>
          <w:i/>
        </w:rPr>
        <w:t xml:space="preserve"> </w:t>
      </w:r>
      <w:r w:rsidRPr="00B97ED3">
        <w:rPr>
          <w:rFonts w:ascii="Arial" w:hAnsi="Arial" w:cs="Arial"/>
          <w:i/>
        </w:rPr>
        <w:t>In</w:t>
      </w:r>
      <w:r w:rsidR="007B7640" w:rsidRPr="00B97ED3">
        <w:rPr>
          <w:rFonts w:ascii="Arial" w:hAnsi="Arial" w:cs="Arial"/>
          <w:i/>
        </w:rPr>
        <w:t xml:space="preserve"> </w:t>
      </w:r>
      <w:r w:rsidRPr="00B97ED3">
        <w:rPr>
          <w:rFonts w:ascii="Arial" w:hAnsi="Arial" w:cs="Arial"/>
          <w:i/>
        </w:rPr>
        <w:t>case</w:t>
      </w:r>
      <w:r w:rsidR="007B7640" w:rsidRPr="00B97ED3">
        <w:rPr>
          <w:rFonts w:ascii="Arial" w:hAnsi="Arial" w:cs="Arial"/>
          <w:i/>
        </w:rPr>
        <w:t xml:space="preserve"> </w:t>
      </w:r>
      <w:r w:rsidRPr="00B97ED3">
        <w:rPr>
          <w:rFonts w:ascii="Arial" w:hAnsi="Arial" w:cs="Arial"/>
          <w:i/>
        </w:rPr>
        <w:t>national</w:t>
      </w:r>
      <w:r w:rsidR="007B7640" w:rsidRPr="00B97ED3">
        <w:rPr>
          <w:rFonts w:ascii="Arial" w:hAnsi="Arial" w:cs="Arial"/>
          <w:i/>
        </w:rPr>
        <w:t xml:space="preserve"> </w:t>
      </w:r>
      <w:r w:rsidRPr="00B97ED3">
        <w:rPr>
          <w:rFonts w:ascii="Arial" w:hAnsi="Arial" w:cs="Arial"/>
          <w:i/>
        </w:rPr>
        <w:t>anti-discrimination</w:t>
      </w:r>
      <w:r w:rsidR="007B7640" w:rsidRPr="00B97ED3">
        <w:rPr>
          <w:rFonts w:ascii="Arial" w:hAnsi="Arial" w:cs="Arial"/>
          <w:i/>
        </w:rPr>
        <w:t xml:space="preserve"> </w:t>
      </w:r>
      <w:r w:rsidRPr="00B97ED3">
        <w:rPr>
          <w:rFonts w:ascii="Arial" w:hAnsi="Arial" w:cs="Arial"/>
          <w:i/>
        </w:rPr>
        <w:t>law</w:t>
      </w:r>
      <w:r w:rsidR="007B7640" w:rsidRPr="00B97ED3">
        <w:rPr>
          <w:rFonts w:ascii="Arial" w:hAnsi="Arial" w:cs="Arial"/>
          <w:i/>
        </w:rPr>
        <w:t xml:space="preserve"> </w:t>
      </w:r>
      <w:r w:rsidRPr="00B97ED3">
        <w:rPr>
          <w:rFonts w:ascii="Arial" w:hAnsi="Arial" w:cs="Arial"/>
          <w:i/>
        </w:rPr>
        <w:t>does</w:t>
      </w:r>
      <w:r w:rsidR="007B7640" w:rsidRPr="00B97ED3">
        <w:rPr>
          <w:rFonts w:ascii="Arial" w:hAnsi="Arial" w:cs="Arial"/>
          <w:i/>
        </w:rPr>
        <w:t xml:space="preserve"> </w:t>
      </w:r>
      <w:r w:rsidRPr="00B97ED3">
        <w:rPr>
          <w:rFonts w:ascii="Arial" w:hAnsi="Arial" w:cs="Arial"/>
          <w:i/>
        </w:rPr>
        <w:t>not</w:t>
      </w:r>
      <w:r w:rsidR="007B7640" w:rsidRPr="00B97ED3">
        <w:rPr>
          <w:rFonts w:ascii="Arial" w:hAnsi="Arial" w:cs="Arial"/>
          <w:i/>
        </w:rPr>
        <w:t xml:space="preserve"> </w:t>
      </w:r>
      <w:r w:rsidRPr="00B97ED3">
        <w:rPr>
          <w:rFonts w:ascii="Arial" w:hAnsi="Arial" w:cs="Arial"/>
          <w:i/>
        </w:rPr>
        <w:t>do</w:t>
      </w:r>
      <w:r w:rsidR="007B7640" w:rsidRPr="00B97ED3">
        <w:rPr>
          <w:rFonts w:ascii="Arial" w:hAnsi="Arial" w:cs="Arial"/>
          <w:i/>
        </w:rPr>
        <w:t xml:space="preserve"> </w:t>
      </w:r>
      <w:r w:rsidRPr="00B97ED3">
        <w:rPr>
          <w:rFonts w:ascii="Arial" w:hAnsi="Arial" w:cs="Arial"/>
          <w:i/>
        </w:rPr>
        <w:t>so,</w:t>
      </w:r>
      <w:r w:rsidR="007B7640" w:rsidRPr="00B97ED3">
        <w:rPr>
          <w:rFonts w:ascii="Arial" w:hAnsi="Arial" w:cs="Arial"/>
          <w:i/>
        </w:rPr>
        <w:t xml:space="preserve"> </w:t>
      </w:r>
      <w:r w:rsidRPr="00B97ED3">
        <w:rPr>
          <w:rFonts w:ascii="Arial" w:hAnsi="Arial" w:cs="Arial"/>
          <w:i/>
        </w:rPr>
        <w:t>is</w:t>
      </w:r>
      <w:r w:rsidR="007B7640" w:rsidRPr="00B97ED3">
        <w:rPr>
          <w:rFonts w:ascii="Arial" w:hAnsi="Arial" w:cs="Arial"/>
          <w:i/>
        </w:rPr>
        <w:t xml:space="preserve"> </w:t>
      </w:r>
      <w:r w:rsidRPr="00B97ED3">
        <w:rPr>
          <w:rFonts w:ascii="Arial" w:hAnsi="Arial" w:cs="Arial"/>
          <w:i/>
        </w:rPr>
        <w:t>discrimination</w:t>
      </w:r>
      <w:r w:rsidR="007B7640" w:rsidRPr="00B97ED3">
        <w:rPr>
          <w:rFonts w:ascii="Arial" w:hAnsi="Arial" w:cs="Arial"/>
          <w:i/>
        </w:rPr>
        <w:t xml:space="preserve"> </w:t>
      </w:r>
      <w:r w:rsidRPr="00B97ED3">
        <w:rPr>
          <w:rFonts w:ascii="Arial" w:hAnsi="Arial" w:cs="Arial"/>
          <w:i/>
        </w:rPr>
        <w:t>regarding</w:t>
      </w:r>
      <w:r w:rsidR="007B7640" w:rsidRPr="00B97ED3">
        <w:rPr>
          <w:rFonts w:ascii="Arial" w:hAnsi="Arial" w:cs="Arial"/>
          <w:i/>
        </w:rPr>
        <w:t xml:space="preserve"> </w:t>
      </w:r>
      <w:r w:rsidRPr="00B97ED3">
        <w:rPr>
          <w:rFonts w:ascii="Arial" w:hAnsi="Arial" w:cs="Arial"/>
          <w:i/>
        </w:rPr>
        <w:t>working</w:t>
      </w:r>
      <w:r w:rsidR="007B7640" w:rsidRPr="00B97ED3">
        <w:rPr>
          <w:rFonts w:ascii="Arial" w:hAnsi="Arial" w:cs="Arial"/>
          <w:i/>
        </w:rPr>
        <w:t xml:space="preserve"> </w:t>
      </w:r>
      <w:r w:rsidRPr="00B97ED3">
        <w:rPr>
          <w:rFonts w:ascii="Arial" w:hAnsi="Arial" w:cs="Arial"/>
          <w:i/>
        </w:rPr>
        <w:t>conditions</w:t>
      </w:r>
      <w:r w:rsidR="007B7640" w:rsidRPr="00B97ED3">
        <w:rPr>
          <w:rFonts w:ascii="Arial" w:hAnsi="Arial" w:cs="Arial"/>
          <w:i/>
        </w:rPr>
        <w:t xml:space="preserve"> </w:t>
      </w:r>
      <w:r w:rsidRPr="00B97ED3">
        <w:rPr>
          <w:rFonts w:ascii="Arial" w:hAnsi="Arial" w:cs="Arial"/>
          <w:i/>
        </w:rPr>
        <w:t>dealt</w:t>
      </w:r>
      <w:r w:rsidR="007B7640" w:rsidRPr="00B97ED3">
        <w:rPr>
          <w:rFonts w:ascii="Arial" w:hAnsi="Arial" w:cs="Arial"/>
          <w:i/>
        </w:rPr>
        <w:t xml:space="preserve"> </w:t>
      </w:r>
      <w:r w:rsidRPr="00B97ED3">
        <w:rPr>
          <w:rFonts w:ascii="Arial" w:hAnsi="Arial" w:cs="Arial"/>
          <w:i/>
        </w:rPr>
        <w:t>with</w:t>
      </w:r>
      <w:r w:rsidR="007B7640" w:rsidRPr="00B97ED3">
        <w:rPr>
          <w:rFonts w:ascii="Arial" w:hAnsi="Arial" w:cs="Arial"/>
          <w:i/>
        </w:rPr>
        <w:t xml:space="preserve"> </w:t>
      </w:r>
      <w:r w:rsidRPr="00B97ED3">
        <w:rPr>
          <w:rFonts w:ascii="Arial" w:hAnsi="Arial" w:cs="Arial"/>
          <w:i/>
        </w:rPr>
        <w:t>in</w:t>
      </w:r>
      <w:r w:rsidR="007B7640" w:rsidRPr="00B97ED3">
        <w:rPr>
          <w:rFonts w:ascii="Arial" w:hAnsi="Arial" w:cs="Arial"/>
          <w:i/>
        </w:rPr>
        <w:t xml:space="preserve"> </w:t>
      </w:r>
      <w:r w:rsidRPr="00B97ED3">
        <w:rPr>
          <w:rFonts w:ascii="Arial" w:hAnsi="Arial" w:cs="Arial"/>
          <w:i/>
        </w:rPr>
        <w:t>any</w:t>
      </w:r>
      <w:r w:rsidR="007B7640" w:rsidRPr="00B97ED3">
        <w:rPr>
          <w:rFonts w:ascii="Arial" w:hAnsi="Arial" w:cs="Arial"/>
          <w:i/>
        </w:rPr>
        <w:t xml:space="preserve"> </w:t>
      </w:r>
      <w:r w:rsidRPr="00B97ED3">
        <w:rPr>
          <w:rFonts w:ascii="Arial" w:hAnsi="Arial" w:cs="Arial"/>
          <w:i/>
        </w:rPr>
        <w:t>other</w:t>
      </w:r>
      <w:r w:rsidR="007B7640" w:rsidRPr="00B97ED3">
        <w:rPr>
          <w:rFonts w:ascii="Arial" w:hAnsi="Arial" w:cs="Arial"/>
          <w:i/>
        </w:rPr>
        <w:t xml:space="preserve"> </w:t>
      </w:r>
      <w:r w:rsidRPr="00B97ED3">
        <w:rPr>
          <w:rFonts w:ascii="Arial" w:hAnsi="Arial" w:cs="Arial"/>
          <w:i/>
        </w:rPr>
        <w:t>legislation?</w:t>
      </w:r>
    </w:p>
    <w:p w14:paraId="24676C62" w14:textId="77777777" w:rsidR="00F070F7" w:rsidRPr="00CD59CC" w:rsidRDefault="00F070F7" w:rsidP="00CD59CC">
      <w:pPr>
        <w:rPr>
          <w:rFonts w:ascii="Arial" w:hAnsi="Arial" w:cs="Arial"/>
          <w:i/>
        </w:rPr>
      </w:pPr>
    </w:p>
    <w:p w14:paraId="2EB59F02" w14:textId="64B07514" w:rsidR="002B5BCD" w:rsidRPr="00CD59CC" w:rsidRDefault="002B5BCD" w:rsidP="00CD59CC">
      <w:pPr>
        <w:rPr>
          <w:rFonts w:ascii="Arial" w:hAnsi="Arial" w:cs="Arial"/>
          <w:i/>
        </w:rPr>
      </w:pPr>
      <w:r w:rsidRPr="00CD59CC">
        <w:rPr>
          <w:rFonts w:ascii="Arial" w:hAnsi="Arial" w:cs="Arial"/>
          <w:i/>
        </w:rPr>
        <w:t>Note</w:t>
      </w:r>
      <w:r w:rsidR="007B7640" w:rsidRPr="00CD59CC">
        <w:rPr>
          <w:rFonts w:ascii="Arial" w:hAnsi="Arial" w:cs="Arial"/>
          <w:i/>
        </w:rPr>
        <w:t xml:space="preserve"> </w:t>
      </w:r>
      <w:r w:rsidRPr="00CD59CC">
        <w:rPr>
          <w:rFonts w:ascii="Arial" w:hAnsi="Arial" w:cs="Arial"/>
          <w:i/>
        </w:rPr>
        <w:t>that</w:t>
      </w:r>
      <w:r w:rsidR="007B7640" w:rsidRPr="00CD59CC">
        <w:rPr>
          <w:rFonts w:ascii="Arial" w:hAnsi="Arial" w:cs="Arial"/>
          <w:i/>
        </w:rPr>
        <w:t xml:space="preserve"> </w:t>
      </w:r>
      <w:r w:rsidRPr="00CD59CC">
        <w:rPr>
          <w:rFonts w:ascii="Arial" w:hAnsi="Arial" w:cs="Arial"/>
          <w:i/>
        </w:rPr>
        <w:t>there</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an</w:t>
      </w:r>
      <w:r w:rsidR="007B7640" w:rsidRPr="00CD59CC">
        <w:rPr>
          <w:rFonts w:ascii="Arial" w:hAnsi="Arial" w:cs="Arial"/>
          <w:i/>
        </w:rPr>
        <w:t xml:space="preserve"> </w:t>
      </w:r>
      <w:r w:rsidRPr="00CD59CC">
        <w:rPr>
          <w:rFonts w:ascii="Arial" w:hAnsi="Arial" w:cs="Arial"/>
          <w:i/>
        </w:rPr>
        <w:t>overlap</w:t>
      </w:r>
      <w:r w:rsidR="007B7640" w:rsidRPr="00CD59CC">
        <w:rPr>
          <w:rFonts w:ascii="Arial" w:hAnsi="Arial" w:cs="Arial"/>
          <w:i/>
        </w:rPr>
        <w:t xml:space="preserve"> </w:t>
      </w:r>
      <w:r w:rsidRPr="00CD59CC">
        <w:rPr>
          <w:rFonts w:ascii="Arial" w:hAnsi="Arial" w:cs="Arial"/>
          <w:i/>
        </w:rPr>
        <w:t>between</w:t>
      </w:r>
      <w:r w:rsidR="007B7640" w:rsidRPr="00CD59CC">
        <w:rPr>
          <w:rFonts w:ascii="Arial" w:hAnsi="Arial" w:cs="Arial"/>
          <w:i/>
        </w:rPr>
        <w:t xml:space="preserve"> </w:t>
      </w:r>
      <w:r w:rsidRPr="00CD59CC">
        <w:rPr>
          <w:rFonts w:ascii="Arial" w:hAnsi="Arial" w:cs="Arial"/>
          <w:i/>
        </w:rPr>
        <w:t>‘vocational</w:t>
      </w:r>
      <w:r w:rsidR="007B7640" w:rsidRPr="00CD59CC">
        <w:rPr>
          <w:rFonts w:ascii="Arial" w:hAnsi="Arial" w:cs="Arial"/>
          <w:i/>
        </w:rPr>
        <w:t xml:space="preserve"> </w:t>
      </w:r>
      <w:r w:rsidRPr="00CD59CC">
        <w:rPr>
          <w:rFonts w:ascii="Arial" w:hAnsi="Arial" w:cs="Arial"/>
          <w:i/>
        </w:rPr>
        <w:t>training’</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‘education’.</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example,</w:t>
      </w:r>
      <w:r w:rsidR="007B7640" w:rsidRPr="00CD59CC">
        <w:rPr>
          <w:rFonts w:ascii="Arial" w:hAnsi="Arial" w:cs="Arial"/>
          <w:i/>
        </w:rPr>
        <w:t xml:space="preserve"> </w:t>
      </w:r>
      <w:r w:rsidRPr="00CD59CC">
        <w:rPr>
          <w:rFonts w:ascii="Arial" w:hAnsi="Arial" w:cs="Arial"/>
          <w:i/>
        </w:rPr>
        <w:t>university</w:t>
      </w:r>
      <w:r w:rsidR="007B7640" w:rsidRPr="00CD59CC">
        <w:rPr>
          <w:rFonts w:ascii="Arial" w:hAnsi="Arial" w:cs="Arial"/>
          <w:i/>
        </w:rPr>
        <w:t xml:space="preserve"> </w:t>
      </w:r>
      <w:r w:rsidRPr="00CD59CC">
        <w:rPr>
          <w:rFonts w:ascii="Arial" w:hAnsi="Arial" w:cs="Arial"/>
          <w:i/>
        </w:rPr>
        <w:t>courses</w:t>
      </w:r>
      <w:r w:rsidR="007B7640" w:rsidRPr="00CD59CC">
        <w:rPr>
          <w:rFonts w:ascii="Arial" w:hAnsi="Arial" w:cs="Arial"/>
          <w:i/>
        </w:rPr>
        <w:t xml:space="preserve"> </w:t>
      </w:r>
      <w:r w:rsidRPr="00CD59CC">
        <w:rPr>
          <w:rFonts w:ascii="Arial" w:hAnsi="Arial" w:cs="Arial"/>
          <w:i/>
        </w:rPr>
        <w:t>have</w:t>
      </w:r>
      <w:r w:rsidR="007B7640" w:rsidRPr="00CD59CC">
        <w:rPr>
          <w:rFonts w:ascii="Arial" w:hAnsi="Arial" w:cs="Arial"/>
          <w:i/>
        </w:rPr>
        <w:t xml:space="preserve"> </w:t>
      </w:r>
      <w:r w:rsidRPr="00CD59CC">
        <w:rPr>
          <w:rFonts w:ascii="Arial" w:hAnsi="Arial" w:cs="Arial"/>
          <w:i/>
        </w:rPr>
        <w:t>been</w:t>
      </w:r>
      <w:r w:rsidR="007B7640" w:rsidRPr="00CD59CC">
        <w:rPr>
          <w:rFonts w:ascii="Arial" w:hAnsi="Arial" w:cs="Arial"/>
          <w:i/>
        </w:rPr>
        <w:t xml:space="preserve"> </w:t>
      </w:r>
      <w:r w:rsidRPr="00CD59CC">
        <w:rPr>
          <w:rFonts w:ascii="Arial" w:hAnsi="Arial" w:cs="Arial"/>
          <w:i/>
        </w:rPr>
        <w:t>treated</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vocational</w:t>
      </w:r>
      <w:r w:rsidR="007B7640" w:rsidRPr="00CD59CC">
        <w:rPr>
          <w:rFonts w:ascii="Arial" w:hAnsi="Arial" w:cs="Arial"/>
          <w:i/>
        </w:rPr>
        <w:t xml:space="preserve"> </w:t>
      </w:r>
      <w:r w:rsidRPr="00CD59CC">
        <w:rPr>
          <w:rFonts w:ascii="Arial" w:hAnsi="Arial" w:cs="Arial"/>
          <w:i/>
        </w:rPr>
        <w:t>training</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past</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Court</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Justice.</w:t>
      </w:r>
      <w:r w:rsidR="007B7640" w:rsidRPr="00CD59CC">
        <w:rPr>
          <w:rFonts w:ascii="Arial" w:hAnsi="Arial" w:cs="Arial"/>
          <w:i/>
        </w:rPr>
        <w:t xml:space="preserve"> </w:t>
      </w:r>
      <w:r w:rsidRPr="00CD59CC">
        <w:rPr>
          <w:rFonts w:ascii="Arial" w:hAnsi="Arial" w:cs="Arial"/>
          <w:i/>
        </w:rPr>
        <w:t>Other</w:t>
      </w:r>
      <w:r w:rsidR="007B7640" w:rsidRPr="00CD59CC">
        <w:rPr>
          <w:rFonts w:ascii="Arial" w:hAnsi="Arial" w:cs="Arial"/>
          <w:i/>
        </w:rPr>
        <w:t xml:space="preserve"> </w:t>
      </w:r>
      <w:r w:rsidRPr="00CD59CC">
        <w:rPr>
          <w:rFonts w:ascii="Arial" w:hAnsi="Arial" w:cs="Arial"/>
          <w:i/>
        </w:rPr>
        <w:t>courses,</w:t>
      </w:r>
      <w:r w:rsidR="007B7640" w:rsidRPr="00CD59CC">
        <w:rPr>
          <w:rFonts w:ascii="Arial" w:hAnsi="Arial" w:cs="Arial"/>
          <w:i/>
        </w:rPr>
        <w:t xml:space="preserve"> </w:t>
      </w:r>
      <w:r w:rsidRPr="00CD59CC">
        <w:rPr>
          <w:rFonts w:ascii="Arial" w:hAnsi="Arial" w:cs="Arial"/>
          <w:i/>
        </w:rPr>
        <w:t>especially</w:t>
      </w:r>
      <w:r w:rsidR="007B7640" w:rsidRPr="00CD59CC">
        <w:rPr>
          <w:rFonts w:ascii="Arial" w:hAnsi="Arial" w:cs="Arial"/>
          <w:i/>
        </w:rPr>
        <w:t xml:space="preserve"> </w:t>
      </w:r>
      <w:r w:rsidRPr="00CD59CC">
        <w:rPr>
          <w:rFonts w:ascii="Arial" w:hAnsi="Arial" w:cs="Arial"/>
          <w:i/>
        </w:rPr>
        <w:t>those</w:t>
      </w:r>
      <w:r w:rsidR="007B7640" w:rsidRPr="00CD59CC">
        <w:rPr>
          <w:rFonts w:ascii="Arial" w:hAnsi="Arial" w:cs="Arial"/>
          <w:i/>
        </w:rPr>
        <w:t xml:space="preserve"> </w:t>
      </w:r>
      <w:r w:rsidRPr="00CD59CC">
        <w:rPr>
          <w:rFonts w:ascii="Arial" w:hAnsi="Arial" w:cs="Arial"/>
          <w:i/>
        </w:rPr>
        <w:t>taken</w:t>
      </w:r>
      <w:r w:rsidR="007B7640" w:rsidRPr="00CD59CC">
        <w:rPr>
          <w:rFonts w:ascii="Arial" w:hAnsi="Arial" w:cs="Arial"/>
          <w:i/>
        </w:rPr>
        <w:t xml:space="preserve"> </w:t>
      </w:r>
      <w:r w:rsidRPr="00CD59CC">
        <w:rPr>
          <w:rFonts w:ascii="Arial" w:hAnsi="Arial" w:cs="Arial"/>
          <w:i/>
        </w:rPr>
        <w:t>after</w:t>
      </w:r>
      <w:r w:rsidR="007B7640" w:rsidRPr="00CD59CC">
        <w:rPr>
          <w:rFonts w:ascii="Arial" w:hAnsi="Arial" w:cs="Arial"/>
          <w:i/>
        </w:rPr>
        <w:t xml:space="preserve"> </w:t>
      </w:r>
      <w:r w:rsidRPr="00CD59CC">
        <w:rPr>
          <w:rFonts w:ascii="Arial" w:hAnsi="Arial" w:cs="Arial"/>
          <w:i/>
        </w:rPr>
        <w:t>leaving</w:t>
      </w:r>
      <w:r w:rsidR="007B7640" w:rsidRPr="00CD59CC">
        <w:rPr>
          <w:rFonts w:ascii="Arial" w:hAnsi="Arial" w:cs="Arial"/>
          <w:i/>
        </w:rPr>
        <w:t xml:space="preserve"> </w:t>
      </w:r>
      <w:r w:rsidRPr="00CD59CC">
        <w:rPr>
          <w:rFonts w:ascii="Arial" w:hAnsi="Arial" w:cs="Arial"/>
          <w:i/>
        </w:rPr>
        <w:t>school,</w:t>
      </w:r>
      <w:r w:rsidR="007B7640" w:rsidRPr="00CD59CC">
        <w:rPr>
          <w:rFonts w:ascii="Arial" w:hAnsi="Arial" w:cs="Arial"/>
          <w:i/>
        </w:rPr>
        <w:t xml:space="preserve"> </w:t>
      </w:r>
      <w:r w:rsidRPr="00CD59CC">
        <w:rPr>
          <w:rFonts w:ascii="Arial" w:hAnsi="Arial" w:cs="Arial"/>
          <w:i/>
        </w:rPr>
        <w:t>may</w:t>
      </w:r>
      <w:r w:rsidR="007B7640" w:rsidRPr="00CD59CC">
        <w:rPr>
          <w:rFonts w:ascii="Arial" w:hAnsi="Arial" w:cs="Arial"/>
          <w:i/>
        </w:rPr>
        <w:t xml:space="preserve"> </w:t>
      </w:r>
      <w:r w:rsidRPr="00CD59CC">
        <w:rPr>
          <w:rFonts w:ascii="Arial" w:hAnsi="Arial" w:cs="Arial"/>
          <w:i/>
        </w:rPr>
        <w:t>fall</w:t>
      </w:r>
      <w:r w:rsidR="007B7640" w:rsidRPr="00CD59CC">
        <w:rPr>
          <w:rFonts w:ascii="Arial" w:hAnsi="Arial" w:cs="Arial"/>
          <w:i/>
        </w:rPr>
        <w:t xml:space="preserve"> </w:t>
      </w:r>
      <w:r w:rsidRPr="00CD59CC">
        <w:rPr>
          <w:rFonts w:ascii="Arial" w:hAnsi="Arial" w:cs="Arial"/>
          <w:i/>
        </w:rPr>
        <w:t>into</w:t>
      </w:r>
      <w:r w:rsidR="007B7640" w:rsidRPr="00CD59CC">
        <w:rPr>
          <w:rFonts w:ascii="Arial" w:hAnsi="Arial" w:cs="Arial"/>
          <w:i/>
        </w:rPr>
        <w:t xml:space="preserve"> </w:t>
      </w:r>
      <w:r w:rsidRPr="00CD59CC">
        <w:rPr>
          <w:rFonts w:ascii="Arial" w:hAnsi="Arial" w:cs="Arial"/>
          <w:i/>
        </w:rPr>
        <w:t>this</w:t>
      </w:r>
      <w:r w:rsidR="007B7640" w:rsidRPr="00CD59CC">
        <w:rPr>
          <w:rFonts w:ascii="Arial" w:hAnsi="Arial" w:cs="Arial"/>
          <w:i/>
        </w:rPr>
        <w:t xml:space="preserve"> </w:t>
      </w:r>
      <w:r w:rsidRPr="00CD59CC">
        <w:rPr>
          <w:rFonts w:ascii="Arial" w:hAnsi="Arial" w:cs="Arial"/>
          <w:i/>
        </w:rPr>
        <w:t>category.</w:t>
      </w:r>
      <w:r w:rsidR="007B7640" w:rsidRPr="00CD59CC">
        <w:rPr>
          <w:rFonts w:ascii="Arial" w:hAnsi="Arial" w:cs="Arial"/>
          <w:i/>
        </w:rPr>
        <w:t xml:space="preserve"> </w:t>
      </w: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00F070F7" w:rsidRPr="00CD59CC">
        <w:rPr>
          <w:rFonts w:ascii="Arial" w:hAnsi="Arial" w:cs="Arial"/>
          <w:i/>
        </w:rPr>
        <w:t>law</w:t>
      </w:r>
      <w:r w:rsidR="007B7640" w:rsidRPr="00CD59CC">
        <w:rPr>
          <w:rFonts w:ascii="Arial" w:hAnsi="Arial" w:cs="Arial"/>
          <w:i/>
        </w:rPr>
        <w:t xml:space="preserve"> </w:t>
      </w:r>
      <w:r w:rsidR="00F070F7" w:rsidRPr="00CD59CC">
        <w:rPr>
          <w:rFonts w:ascii="Arial" w:hAnsi="Arial" w:cs="Arial"/>
          <w:i/>
        </w:rPr>
        <w:t>on</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apply</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vocational</w:t>
      </w:r>
      <w:r w:rsidR="007B7640" w:rsidRPr="00CD59CC">
        <w:rPr>
          <w:rFonts w:ascii="Arial" w:hAnsi="Arial" w:cs="Arial"/>
          <w:i/>
        </w:rPr>
        <w:t xml:space="preserve"> </w:t>
      </w:r>
      <w:r w:rsidRPr="00CD59CC">
        <w:rPr>
          <w:rFonts w:ascii="Arial" w:hAnsi="Arial" w:cs="Arial"/>
          <w:i/>
        </w:rPr>
        <w:t>training</w:t>
      </w:r>
      <w:r w:rsidR="007B7640" w:rsidRPr="00CD59CC">
        <w:rPr>
          <w:rFonts w:ascii="Arial" w:hAnsi="Arial" w:cs="Arial"/>
          <w:i/>
        </w:rPr>
        <w:t xml:space="preserve"> </w:t>
      </w:r>
      <w:r w:rsidRPr="00CD59CC">
        <w:rPr>
          <w:rFonts w:ascii="Arial" w:hAnsi="Arial" w:cs="Arial"/>
          <w:i/>
        </w:rPr>
        <w:t>outside</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employment</w:t>
      </w:r>
      <w:r w:rsidR="007B7640" w:rsidRPr="00CD59CC">
        <w:rPr>
          <w:rFonts w:ascii="Arial" w:hAnsi="Arial" w:cs="Arial"/>
          <w:i/>
        </w:rPr>
        <w:t xml:space="preserve"> </w:t>
      </w:r>
      <w:r w:rsidRPr="00CD59CC">
        <w:rPr>
          <w:rFonts w:ascii="Arial" w:hAnsi="Arial" w:cs="Arial"/>
          <w:i/>
        </w:rPr>
        <w:t>relationship,</w:t>
      </w:r>
      <w:r w:rsidR="007B7640" w:rsidRPr="00CD59CC">
        <w:rPr>
          <w:rFonts w:ascii="Arial" w:hAnsi="Arial" w:cs="Arial"/>
          <w:i/>
        </w:rPr>
        <w:t xml:space="preserve"> </w:t>
      </w:r>
      <w:r w:rsidRPr="00CD59CC">
        <w:rPr>
          <w:rFonts w:ascii="Arial" w:hAnsi="Arial" w:cs="Arial"/>
          <w:i/>
        </w:rPr>
        <w:t>such</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that</w:t>
      </w:r>
      <w:r w:rsidR="007B7640" w:rsidRPr="00CD59CC">
        <w:rPr>
          <w:rFonts w:ascii="Arial" w:hAnsi="Arial" w:cs="Arial"/>
          <w:i/>
        </w:rPr>
        <w:t xml:space="preserve"> </w:t>
      </w:r>
      <w:r w:rsidRPr="00CD59CC">
        <w:rPr>
          <w:rFonts w:ascii="Arial" w:hAnsi="Arial" w:cs="Arial"/>
          <w:i/>
        </w:rPr>
        <w:t>provided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technical</w:t>
      </w:r>
      <w:r w:rsidR="007B7640" w:rsidRPr="00CD59CC">
        <w:rPr>
          <w:rFonts w:ascii="Arial" w:hAnsi="Arial" w:cs="Arial"/>
          <w:i/>
        </w:rPr>
        <w:t xml:space="preserve"> </w:t>
      </w:r>
      <w:r w:rsidRPr="00CD59CC">
        <w:rPr>
          <w:rFonts w:ascii="Arial" w:hAnsi="Arial" w:cs="Arial"/>
          <w:i/>
        </w:rPr>
        <w:t>schools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universities,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such</w:t>
      </w:r>
      <w:r w:rsidR="007B7640" w:rsidRPr="00CD59CC">
        <w:rPr>
          <w:rFonts w:ascii="Arial" w:hAnsi="Arial" w:cs="Arial"/>
          <w:i/>
        </w:rPr>
        <w:t xml:space="preserve"> </w:t>
      </w:r>
      <w:r w:rsidRPr="00CD59CC">
        <w:rPr>
          <w:rFonts w:ascii="Arial" w:hAnsi="Arial" w:cs="Arial"/>
          <w:i/>
        </w:rPr>
        <w:t>as</w:t>
      </w:r>
      <w:r w:rsidR="007B7640" w:rsidRPr="00CD59CC">
        <w:rPr>
          <w:rFonts w:ascii="Arial" w:hAnsi="Arial" w:cs="Arial"/>
          <w:i/>
        </w:rPr>
        <w:t xml:space="preserve"> </w:t>
      </w:r>
      <w:r w:rsidRPr="00CD59CC">
        <w:rPr>
          <w:rFonts w:ascii="Arial" w:hAnsi="Arial" w:cs="Arial"/>
          <w:i/>
        </w:rPr>
        <w:t>adult</w:t>
      </w:r>
      <w:r w:rsidR="007B7640" w:rsidRPr="00CD59CC">
        <w:rPr>
          <w:rFonts w:ascii="Arial" w:hAnsi="Arial" w:cs="Arial"/>
          <w:i/>
        </w:rPr>
        <w:t xml:space="preserve"> </w:t>
      </w:r>
      <w:r w:rsidRPr="00CD59CC">
        <w:rPr>
          <w:rFonts w:ascii="Arial" w:hAnsi="Arial" w:cs="Arial"/>
          <w:i/>
        </w:rPr>
        <w:t>lifelong</w:t>
      </w:r>
      <w:r w:rsidR="007B7640" w:rsidRPr="00CD59CC">
        <w:rPr>
          <w:rFonts w:ascii="Arial" w:hAnsi="Arial" w:cs="Arial"/>
          <w:i/>
        </w:rPr>
        <w:t xml:space="preserve"> </w:t>
      </w:r>
      <w:r w:rsidRPr="00CD59CC">
        <w:rPr>
          <w:rFonts w:ascii="Arial" w:hAnsi="Arial" w:cs="Arial"/>
          <w:i/>
        </w:rPr>
        <w:t>learning</w:t>
      </w:r>
      <w:r w:rsidR="007B7640" w:rsidRPr="00CD59CC">
        <w:rPr>
          <w:rFonts w:ascii="Arial" w:hAnsi="Arial" w:cs="Arial"/>
          <w:i/>
        </w:rPr>
        <w:t xml:space="preserve"> </w:t>
      </w:r>
      <w:r w:rsidRPr="00CD59CC">
        <w:rPr>
          <w:rFonts w:ascii="Arial" w:hAnsi="Arial" w:cs="Arial"/>
          <w:i/>
        </w:rPr>
        <w:t>courses?</w:t>
      </w:r>
      <w:r w:rsidR="007B7640" w:rsidRPr="00CD59CC">
        <w:rPr>
          <w:rFonts w:ascii="Arial" w:hAnsi="Arial" w:cs="Arial"/>
          <w:i/>
        </w:rPr>
        <w:t xml:space="preserve"> </w:t>
      </w:r>
      <w:r w:rsidR="00F070F7" w:rsidRPr="00CD59CC">
        <w:rPr>
          <w:rFonts w:ascii="Arial" w:hAnsi="Arial" w:cs="Arial"/>
          <w:i/>
        </w:rPr>
        <w:t>If</w:t>
      </w:r>
      <w:r w:rsidR="007B7640" w:rsidRPr="00CD59CC">
        <w:rPr>
          <w:rFonts w:ascii="Arial" w:hAnsi="Arial" w:cs="Arial"/>
          <w:i/>
        </w:rPr>
        <w:t xml:space="preserve"> </w:t>
      </w:r>
      <w:r w:rsidR="00F070F7" w:rsidRPr="00CD59CC">
        <w:rPr>
          <w:rFonts w:ascii="Arial" w:hAnsi="Arial" w:cs="Arial"/>
          <w:i/>
        </w:rPr>
        <w:t>not</w:t>
      </w:r>
      <w:r w:rsidR="007B7640" w:rsidRPr="00CD59CC">
        <w:rPr>
          <w:rFonts w:ascii="Arial" w:hAnsi="Arial" w:cs="Arial"/>
          <w:i/>
        </w:rPr>
        <w:t xml:space="preserve"> </w:t>
      </w:r>
      <w:r w:rsidR="00F070F7" w:rsidRPr="00CD59CC">
        <w:rPr>
          <w:rFonts w:ascii="Arial" w:hAnsi="Arial" w:cs="Arial"/>
          <w:i/>
        </w:rPr>
        <w:t>does</w:t>
      </w:r>
      <w:r w:rsidR="007B7640" w:rsidRPr="00CD59CC">
        <w:rPr>
          <w:rFonts w:ascii="Arial" w:hAnsi="Arial" w:cs="Arial"/>
          <w:i/>
        </w:rPr>
        <w:t xml:space="preserve"> </w:t>
      </w:r>
      <w:r w:rsidR="00F070F7" w:rsidRPr="00CD59CC">
        <w:rPr>
          <w:rFonts w:ascii="Arial" w:hAnsi="Arial" w:cs="Arial"/>
          <w:i/>
        </w:rPr>
        <w:t>any</w:t>
      </w:r>
      <w:r w:rsidR="007B7640" w:rsidRPr="00CD59CC">
        <w:rPr>
          <w:rFonts w:ascii="Arial" w:hAnsi="Arial" w:cs="Arial"/>
          <w:i/>
        </w:rPr>
        <w:t xml:space="preserve"> </w:t>
      </w:r>
      <w:r w:rsidR="00F070F7" w:rsidRPr="00CD59CC">
        <w:rPr>
          <w:rFonts w:ascii="Arial" w:hAnsi="Arial" w:cs="Arial"/>
          <w:i/>
        </w:rPr>
        <w:t>other</w:t>
      </w:r>
      <w:r w:rsidR="007B7640" w:rsidRPr="00CD59CC">
        <w:rPr>
          <w:rFonts w:ascii="Arial" w:hAnsi="Arial" w:cs="Arial"/>
          <w:i/>
        </w:rPr>
        <w:t xml:space="preserve"> </w:t>
      </w:r>
      <w:r w:rsidR="00F070F7" w:rsidRPr="00CD59CC">
        <w:rPr>
          <w:rFonts w:ascii="Arial" w:hAnsi="Arial" w:cs="Arial"/>
          <w:i/>
        </w:rPr>
        <w:t>legislation</w:t>
      </w:r>
      <w:r w:rsidR="007B7640" w:rsidRPr="00CD59CC">
        <w:rPr>
          <w:rFonts w:ascii="Arial" w:hAnsi="Arial" w:cs="Arial"/>
          <w:i/>
        </w:rPr>
        <w:t xml:space="preserve"> </w:t>
      </w:r>
      <w:r w:rsidR="00F070F7" w:rsidRPr="00CD59CC">
        <w:rPr>
          <w:rFonts w:ascii="Arial" w:hAnsi="Arial" w:cs="Arial"/>
          <w:i/>
        </w:rPr>
        <w:t>do</w:t>
      </w:r>
      <w:r w:rsidR="007B7640" w:rsidRPr="00CD59CC">
        <w:rPr>
          <w:rFonts w:ascii="Arial" w:hAnsi="Arial" w:cs="Arial"/>
          <w:i/>
        </w:rPr>
        <w:t xml:space="preserve"> </w:t>
      </w:r>
      <w:r w:rsidR="00F070F7" w:rsidRPr="00CD59CC">
        <w:rPr>
          <w:rFonts w:ascii="Arial" w:hAnsi="Arial" w:cs="Arial"/>
          <w:i/>
        </w:rPr>
        <w:t>so?</w:t>
      </w:r>
    </w:p>
    <w:p w14:paraId="08A1CB13" w14:textId="77777777" w:rsidR="002B5BCD" w:rsidRPr="00CD59CC" w:rsidRDefault="002B5BCD" w:rsidP="00CD59CC">
      <w:pPr>
        <w:rPr>
          <w:rFonts w:ascii="Arial" w:hAnsi="Arial" w:cs="Arial"/>
        </w:rPr>
      </w:pPr>
    </w:p>
    <w:p w14:paraId="41F845FC" w14:textId="7231F019" w:rsidR="00444E6B" w:rsidRPr="00CD59CC" w:rsidRDefault="00BA727E"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21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00061637" w:rsidRPr="00CD59CC">
        <w:rPr>
          <w:rFonts w:ascii="Arial" w:hAnsi="Arial" w:cs="Arial"/>
        </w:rPr>
        <w:t>provides</w:t>
      </w:r>
      <w:r w:rsidR="007B7640" w:rsidRPr="00CD59CC">
        <w:rPr>
          <w:rFonts w:ascii="Arial" w:hAnsi="Arial" w:cs="Arial"/>
        </w:rPr>
        <w:t xml:space="preserve"> </w:t>
      </w:r>
      <w:r w:rsidR="00444E6B" w:rsidRPr="00CD59CC">
        <w:rPr>
          <w:rFonts w:ascii="Arial" w:hAnsi="Arial" w:cs="Arial"/>
        </w:rPr>
        <w:t>that</w:t>
      </w:r>
      <w:r w:rsidR="007B7640" w:rsidRPr="00CD59CC">
        <w:rPr>
          <w:rFonts w:ascii="Arial" w:hAnsi="Arial" w:cs="Arial"/>
        </w:rPr>
        <w:t xml:space="preserve"> </w:t>
      </w:r>
      <w:r w:rsidR="00444E6B" w:rsidRPr="00CD59CC">
        <w:rPr>
          <w:rFonts w:ascii="Arial" w:hAnsi="Arial" w:cs="Arial"/>
        </w:rPr>
        <w:t>the</w:t>
      </w:r>
      <w:r w:rsidR="007B7640" w:rsidRPr="00CD59CC">
        <w:rPr>
          <w:rFonts w:ascii="Arial" w:hAnsi="Arial" w:cs="Arial"/>
        </w:rPr>
        <w:t xml:space="preserve"> </w:t>
      </w:r>
      <w:r w:rsidR="00444E6B" w:rsidRPr="00CD59CC">
        <w:rPr>
          <w:rFonts w:ascii="Arial" w:hAnsi="Arial" w:cs="Arial"/>
        </w:rPr>
        <w:t>principle</w:t>
      </w:r>
      <w:r w:rsidR="007B7640" w:rsidRPr="00CD59CC">
        <w:rPr>
          <w:rFonts w:ascii="Arial" w:hAnsi="Arial" w:cs="Arial"/>
        </w:rPr>
        <w:t xml:space="preserve"> </w:t>
      </w:r>
      <w:r w:rsidR="00444E6B" w:rsidRPr="00CD59CC">
        <w:rPr>
          <w:rFonts w:ascii="Arial" w:hAnsi="Arial" w:cs="Arial"/>
        </w:rPr>
        <w:t>of</w:t>
      </w:r>
      <w:r w:rsidR="007B7640" w:rsidRPr="00CD59CC">
        <w:rPr>
          <w:rFonts w:ascii="Arial" w:hAnsi="Arial" w:cs="Arial"/>
        </w:rPr>
        <w:t xml:space="preserve"> </w:t>
      </w:r>
      <w:r w:rsidR="00444E6B" w:rsidRPr="00CD59CC">
        <w:rPr>
          <w:rFonts w:ascii="Arial" w:hAnsi="Arial" w:cs="Arial"/>
        </w:rPr>
        <w:t>equal</w:t>
      </w:r>
      <w:r w:rsidR="007B7640" w:rsidRPr="00CD59CC">
        <w:rPr>
          <w:rFonts w:ascii="Arial" w:hAnsi="Arial" w:cs="Arial"/>
        </w:rPr>
        <w:t xml:space="preserve"> </w:t>
      </w:r>
      <w:r w:rsidR="00444E6B" w:rsidRPr="00CD59CC">
        <w:rPr>
          <w:rFonts w:ascii="Arial" w:hAnsi="Arial" w:cs="Arial"/>
        </w:rPr>
        <w:t>treatment</w:t>
      </w:r>
      <w:r w:rsidR="007B7640" w:rsidRPr="00CD59CC">
        <w:rPr>
          <w:rFonts w:ascii="Arial" w:hAnsi="Arial" w:cs="Arial"/>
        </w:rPr>
        <w:t xml:space="preserve"> </w:t>
      </w:r>
      <w:r w:rsidR="00444E6B" w:rsidRPr="00CD59CC">
        <w:rPr>
          <w:rFonts w:ascii="Arial" w:hAnsi="Arial" w:cs="Arial"/>
        </w:rPr>
        <w:t>shall</w:t>
      </w:r>
      <w:r w:rsidR="007B7640" w:rsidRPr="00CD59CC">
        <w:rPr>
          <w:rFonts w:ascii="Arial" w:hAnsi="Arial" w:cs="Arial"/>
        </w:rPr>
        <w:t xml:space="preserve"> </w:t>
      </w:r>
      <w:r w:rsidR="00444E6B" w:rsidRPr="00CD59CC">
        <w:rPr>
          <w:rFonts w:ascii="Arial" w:hAnsi="Arial" w:cs="Arial"/>
        </w:rPr>
        <w:t>be</w:t>
      </w:r>
      <w:r w:rsidR="007B7640" w:rsidRPr="00CD59CC">
        <w:rPr>
          <w:rFonts w:ascii="Arial" w:hAnsi="Arial" w:cs="Arial"/>
        </w:rPr>
        <w:t xml:space="preserve"> </w:t>
      </w:r>
      <w:r w:rsidR="00444E6B" w:rsidRPr="00CD59CC">
        <w:rPr>
          <w:rFonts w:ascii="Arial" w:hAnsi="Arial" w:cs="Arial"/>
        </w:rPr>
        <w:t>respected</w:t>
      </w:r>
      <w:r w:rsidR="007B7640" w:rsidRPr="00CD59CC">
        <w:rPr>
          <w:rFonts w:ascii="Arial" w:hAnsi="Arial" w:cs="Arial"/>
        </w:rPr>
        <w:t xml:space="preserve"> </w:t>
      </w:r>
      <w:r w:rsidR="00444E6B" w:rsidRPr="00CD59CC">
        <w:rPr>
          <w:rFonts w:ascii="Arial" w:hAnsi="Arial" w:cs="Arial"/>
        </w:rPr>
        <w:t>in</w:t>
      </w:r>
      <w:r w:rsidR="007B7640" w:rsidRPr="00CD59CC">
        <w:rPr>
          <w:rFonts w:ascii="Arial" w:hAnsi="Arial" w:cs="Arial"/>
        </w:rPr>
        <w:t xml:space="preserve"> </w:t>
      </w:r>
      <w:r w:rsidR="00444E6B" w:rsidRPr="00CD59CC">
        <w:rPr>
          <w:rFonts w:ascii="Arial" w:hAnsi="Arial" w:cs="Arial"/>
        </w:rPr>
        <w:t>relation</w:t>
      </w:r>
      <w:r w:rsidR="007B7640" w:rsidRPr="00CD59CC">
        <w:rPr>
          <w:rFonts w:ascii="Arial" w:hAnsi="Arial" w:cs="Arial"/>
        </w:rPr>
        <w:t xml:space="preserve"> </w:t>
      </w:r>
      <w:r w:rsidR="00444E6B" w:rsidRPr="00CD59CC">
        <w:rPr>
          <w:rFonts w:ascii="Arial" w:hAnsi="Arial" w:cs="Arial"/>
        </w:rPr>
        <w:t>to</w:t>
      </w:r>
      <w:r w:rsidR="007B7640" w:rsidRPr="00CD59CC">
        <w:rPr>
          <w:rFonts w:ascii="Arial" w:hAnsi="Arial" w:cs="Arial"/>
        </w:rPr>
        <w:t xml:space="preserve"> </w:t>
      </w:r>
      <w:r w:rsidR="00444E6B" w:rsidRPr="00CD59CC">
        <w:rPr>
          <w:rFonts w:ascii="Arial" w:hAnsi="Arial" w:cs="Arial"/>
        </w:rPr>
        <w:t>any</w:t>
      </w:r>
      <w:r w:rsidR="007B7640" w:rsidRPr="00CD59CC">
        <w:rPr>
          <w:rFonts w:ascii="Arial" w:hAnsi="Arial" w:cs="Arial"/>
        </w:rPr>
        <w:t xml:space="preserve"> </w:t>
      </w:r>
      <w:r w:rsidR="00444E6B" w:rsidRPr="00CD59CC">
        <w:rPr>
          <w:rFonts w:ascii="Arial" w:hAnsi="Arial" w:cs="Arial"/>
        </w:rPr>
        <w:t>training</w:t>
      </w:r>
      <w:r w:rsidR="007B7640" w:rsidRPr="00CD59CC">
        <w:rPr>
          <w:rFonts w:ascii="Arial" w:hAnsi="Arial" w:cs="Arial"/>
        </w:rPr>
        <w:t xml:space="preserve"> </w:t>
      </w:r>
      <w:r w:rsidR="00444E6B" w:rsidRPr="00CD59CC">
        <w:rPr>
          <w:rFonts w:ascii="Arial" w:hAnsi="Arial" w:cs="Arial"/>
        </w:rPr>
        <w:t>preceding</w:t>
      </w:r>
      <w:r w:rsidR="007B7640" w:rsidRPr="00CD59CC">
        <w:rPr>
          <w:rFonts w:ascii="Arial" w:hAnsi="Arial" w:cs="Arial"/>
        </w:rPr>
        <w:t xml:space="preserve"> </w:t>
      </w:r>
      <w:r w:rsidR="00444E6B" w:rsidRPr="00CD59CC">
        <w:rPr>
          <w:rFonts w:ascii="Arial" w:hAnsi="Arial" w:cs="Arial"/>
        </w:rPr>
        <w:t>or</w:t>
      </w:r>
      <w:r w:rsidR="007B7640" w:rsidRPr="00CD59CC">
        <w:rPr>
          <w:rFonts w:ascii="Arial" w:hAnsi="Arial" w:cs="Arial"/>
        </w:rPr>
        <w:t xml:space="preserve"> </w:t>
      </w:r>
      <w:r w:rsidR="00444E6B" w:rsidRPr="00CD59CC">
        <w:rPr>
          <w:rFonts w:ascii="Arial" w:hAnsi="Arial" w:cs="Arial"/>
        </w:rPr>
        <w:t>carried</w:t>
      </w:r>
      <w:r w:rsidR="007B7640" w:rsidRPr="00CD59CC">
        <w:rPr>
          <w:rFonts w:ascii="Arial" w:hAnsi="Arial" w:cs="Arial"/>
        </w:rPr>
        <w:t xml:space="preserve"> </w:t>
      </w:r>
      <w:r w:rsidR="00444E6B" w:rsidRPr="00CD59CC">
        <w:rPr>
          <w:rFonts w:ascii="Arial" w:hAnsi="Arial" w:cs="Arial"/>
        </w:rPr>
        <w:t>out</w:t>
      </w:r>
      <w:r w:rsidR="007B7640" w:rsidRPr="00CD59CC">
        <w:rPr>
          <w:rFonts w:ascii="Arial" w:hAnsi="Arial" w:cs="Arial"/>
        </w:rPr>
        <w:t xml:space="preserve"> </w:t>
      </w:r>
      <w:r w:rsidR="00444E6B" w:rsidRPr="00CD59CC">
        <w:rPr>
          <w:rFonts w:ascii="Arial" w:hAnsi="Arial" w:cs="Arial"/>
        </w:rPr>
        <w:t>during</w:t>
      </w:r>
      <w:r w:rsidR="007B7640" w:rsidRPr="00CD59CC">
        <w:rPr>
          <w:rFonts w:ascii="Arial" w:hAnsi="Arial" w:cs="Arial"/>
        </w:rPr>
        <w:t xml:space="preserve"> </w:t>
      </w:r>
      <w:r w:rsidR="00444E6B" w:rsidRPr="00CD59CC">
        <w:rPr>
          <w:rFonts w:ascii="Arial" w:hAnsi="Arial" w:cs="Arial"/>
        </w:rPr>
        <w:t>employment</w:t>
      </w:r>
      <w:r w:rsidR="007B7640" w:rsidRPr="00CD59CC">
        <w:rPr>
          <w:rFonts w:ascii="Arial" w:hAnsi="Arial" w:cs="Arial"/>
        </w:rPr>
        <w:t xml:space="preserve"> </w:t>
      </w:r>
      <w:r w:rsidR="00444E6B" w:rsidRPr="00CD59CC">
        <w:rPr>
          <w:rFonts w:ascii="Arial" w:hAnsi="Arial" w:cs="Arial"/>
        </w:rPr>
        <w:t>(in</w:t>
      </w:r>
      <w:r w:rsidR="007B7640" w:rsidRPr="00CD59CC">
        <w:rPr>
          <w:rFonts w:ascii="Arial" w:hAnsi="Arial" w:cs="Arial"/>
        </w:rPr>
        <w:t xml:space="preserve"> </w:t>
      </w:r>
      <w:r w:rsidR="00444E6B" w:rsidRPr="00CD59CC">
        <w:rPr>
          <w:rFonts w:ascii="Arial" w:hAnsi="Arial" w:cs="Arial"/>
        </w:rPr>
        <w:t>the</w:t>
      </w:r>
      <w:r w:rsidR="007B7640" w:rsidRPr="00CD59CC">
        <w:rPr>
          <w:rFonts w:ascii="Arial" w:hAnsi="Arial" w:cs="Arial"/>
        </w:rPr>
        <w:t xml:space="preserve"> </w:t>
      </w:r>
      <w:r w:rsidR="00444E6B" w:rsidRPr="00CD59CC">
        <w:rPr>
          <w:rFonts w:ascii="Arial" w:hAnsi="Arial" w:cs="Arial"/>
        </w:rPr>
        <w:t>widest</w:t>
      </w:r>
      <w:r w:rsidR="007B7640" w:rsidRPr="00CD59CC">
        <w:rPr>
          <w:rFonts w:ascii="Arial" w:hAnsi="Arial" w:cs="Arial"/>
        </w:rPr>
        <w:t xml:space="preserve"> </w:t>
      </w:r>
      <w:r w:rsidR="00444E6B" w:rsidRPr="00CD59CC">
        <w:rPr>
          <w:rFonts w:ascii="Arial" w:hAnsi="Arial" w:cs="Arial"/>
        </w:rPr>
        <w:t>sense),</w:t>
      </w:r>
      <w:r w:rsidR="007B7640" w:rsidRPr="00CD59CC">
        <w:rPr>
          <w:rFonts w:ascii="Arial" w:hAnsi="Arial" w:cs="Arial"/>
        </w:rPr>
        <w:t xml:space="preserve"> </w:t>
      </w:r>
      <w:r w:rsidR="00444E6B" w:rsidRPr="00CD59CC">
        <w:rPr>
          <w:rFonts w:ascii="Arial" w:hAnsi="Arial" w:cs="Arial"/>
        </w:rPr>
        <w:t>so</w:t>
      </w:r>
      <w:r w:rsidR="007B7640" w:rsidRPr="00CD59CC">
        <w:rPr>
          <w:rFonts w:ascii="Arial" w:hAnsi="Arial" w:cs="Arial"/>
        </w:rPr>
        <w:t xml:space="preserve"> </w:t>
      </w:r>
      <w:r w:rsidR="00444E6B" w:rsidRPr="00CD59CC">
        <w:rPr>
          <w:rFonts w:ascii="Arial" w:hAnsi="Arial" w:cs="Arial"/>
        </w:rPr>
        <w:t>all</w:t>
      </w:r>
      <w:r w:rsidR="007B7640" w:rsidRPr="00CD59CC">
        <w:rPr>
          <w:rFonts w:ascii="Arial" w:hAnsi="Arial" w:cs="Arial"/>
        </w:rPr>
        <w:t xml:space="preserve"> </w:t>
      </w:r>
      <w:r w:rsidR="00444E6B" w:rsidRPr="00CD59CC">
        <w:rPr>
          <w:rFonts w:ascii="Arial" w:hAnsi="Arial" w:cs="Arial"/>
        </w:rPr>
        <w:t>types</w:t>
      </w:r>
      <w:r w:rsidR="007B7640" w:rsidRPr="00CD59CC">
        <w:rPr>
          <w:rFonts w:ascii="Arial" w:hAnsi="Arial" w:cs="Arial"/>
        </w:rPr>
        <w:t xml:space="preserve"> </w:t>
      </w:r>
      <w:r w:rsidR="00444E6B" w:rsidRPr="00CD59CC">
        <w:rPr>
          <w:rFonts w:ascii="Arial" w:hAnsi="Arial" w:cs="Arial"/>
        </w:rPr>
        <w:t>and</w:t>
      </w:r>
      <w:r w:rsidR="007B7640" w:rsidRPr="00CD59CC">
        <w:rPr>
          <w:rFonts w:ascii="Arial" w:hAnsi="Arial" w:cs="Arial"/>
        </w:rPr>
        <w:t xml:space="preserve"> </w:t>
      </w:r>
      <w:r w:rsidR="00444E6B" w:rsidRPr="00CD59CC">
        <w:rPr>
          <w:rFonts w:ascii="Arial" w:hAnsi="Arial" w:cs="Arial"/>
        </w:rPr>
        <w:t>levels</w:t>
      </w:r>
      <w:r w:rsidR="007B7640" w:rsidRPr="00CD59CC">
        <w:rPr>
          <w:rFonts w:ascii="Arial" w:hAnsi="Arial" w:cs="Arial"/>
        </w:rPr>
        <w:t xml:space="preserve"> </w:t>
      </w:r>
      <w:r w:rsidR="00444E6B" w:rsidRPr="00CD59CC">
        <w:rPr>
          <w:rFonts w:ascii="Arial" w:hAnsi="Arial" w:cs="Arial"/>
        </w:rPr>
        <w:t>of</w:t>
      </w:r>
      <w:r w:rsidR="007B7640" w:rsidRPr="00CD59CC">
        <w:rPr>
          <w:rFonts w:ascii="Arial" w:hAnsi="Arial" w:cs="Arial"/>
        </w:rPr>
        <w:t xml:space="preserve"> </w:t>
      </w:r>
      <w:r w:rsidR="00444E6B" w:rsidRPr="00CD59CC">
        <w:rPr>
          <w:rFonts w:ascii="Arial" w:hAnsi="Arial" w:cs="Arial"/>
        </w:rPr>
        <w:t>vocational</w:t>
      </w:r>
      <w:r w:rsidR="007B7640" w:rsidRPr="00CD59CC">
        <w:rPr>
          <w:rFonts w:ascii="Arial" w:hAnsi="Arial" w:cs="Arial"/>
        </w:rPr>
        <w:t xml:space="preserve"> </w:t>
      </w:r>
      <w:r w:rsidR="00444E6B" w:rsidRPr="00CD59CC">
        <w:rPr>
          <w:rFonts w:ascii="Arial" w:hAnsi="Arial" w:cs="Arial"/>
        </w:rPr>
        <w:t>guidance,</w:t>
      </w:r>
      <w:r w:rsidR="007B7640" w:rsidRPr="00CD59CC">
        <w:rPr>
          <w:rFonts w:ascii="Arial" w:hAnsi="Arial" w:cs="Arial"/>
        </w:rPr>
        <w:t xml:space="preserve"> </w:t>
      </w:r>
      <w:r w:rsidR="00444E6B" w:rsidRPr="00CD59CC">
        <w:rPr>
          <w:rFonts w:ascii="Arial" w:hAnsi="Arial" w:cs="Arial"/>
        </w:rPr>
        <w:t>vocational</w:t>
      </w:r>
      <w:r w:rsidR="007B7640" w:rsidRPr="00CD59CC">
        <w:rPr>
          <w:rFonts w:ascii="Arial" w:hAnsi="Arial" w:cs="Arial"/>
        </w:rPr>
        <w:t xml:space="preserve"> </w:t>
      </w:r>
      <w:r w:rsidR="00444E6B" w:rsidRPr="00CD59CC">
        <w:rPr>
          <w:rFonts w:ascii="Arial" w:hAnsi="Arial" w:cs="Arial"/>
        </w:rPr>
        <w:t>training,</w:t>
      </w:r>
      <w:r w:rsidR="007B7640" w:rsidRPr="00CD59CC">
        <w:rPr>
          <w:rFonts w:ascii="Arial" w:hAnsi="Arial" w:cs="Arial"/>
        </w:rPr>
        <w:t xml:space="preserve"> </w:t>
      </w:r>
      <w:r w:rsidR="00444E6B" w:rsidRPr="00CD59CC">
        <w:rPr>
          <w:rFonts w:ascii="Arial" w:hAnsi="Arial" w:cs="Arial"/>
        </w:rPr>
        <w:t>advanced</w:t>
      </w:r>
      <w:r w:rsidR="007B7640" w:rsidRPr="00CD59CC">
        <w:rPr>
          <w:rFonts w:ascii="Arial" w:hAnsi="Arial" w:cs="Arial"/>
        </w:rPr>
        <w:t xml:space="preserve"> </w:t>
      </w:r>
      <w:r w:rsidR="00444E6B" w:rsidRPr="00CD59CC">
        <w:rPr>
          <w:rFonts w:ascii="Arial" w:hAnsi="Arial" w:cs="Arial"/>
        </w:rPr>
        <w:t>vocational</w:t>
      </w:r>
      <w:r w:rsidR="007B7640" w:rsidRPr="00CD59CC">
        <w:rPr>
          <w:rFonts w:ascii="Arial" w:hAnsi="Arial" w:cs="Arial"/>
        </w:rPr>
        <w:t xml:space="preserve"> </w:t>
      </w:r>
      <w:r w:rsidR="00444E6B" w:rsidRPr="00CD59CC">
        <w:rPr>
          <w:rFonts w:ascii="Arial" w:hAnsi="Arial" w:cs="Arial"/>
        </w:rPr>
        <w:t>training</w:t>
      </w:r>
      <w:r w:rsidR="007B7640" w:rsidRPr="00CD59CC">
        <w:rPr>
          <w:rFonts w:ascii="Arial" w:hAnsi="Arial" w:cs="Arial"/>
        </w:rPr>
        <w:t xml:space="preserve"> </w:t>
      </w:r>
      <w:r w:rsidR="00444E6B" w:rsidRPr="00CD59CC">
        <w:rPr>
          <w:rFonts w:ascii="Arial" w:hAnsi="Arial" w:cs="Arial"/>
        </w:rPr>
        <w:t>and</w:t>
      </w:r>
      <w:r w:rsidR="007B7640" w:rsidRPr="00CD59CC">
        <w:rPr>
          <w:rFonts w:ascii="Arial" w:hAnsi="Arial" w:cs="Arial"/>
        </w:rPr>
        <w:t xml:space="preserve"> </w:t>
      </w:r>
      <w:r w:rsidR="00444E6B" w:rsidRPr="00CD59CC">
        <w:rPr>
          <w:rFonts w:ascii="Arial" w:hAnsi="Arial" w:cs="Arial"/>
        </w:rPr>
        <w:t>retraining,</w:t>
      </w:r>
      <w:r w:rsidR="007B7640" w:rsidRPr="00CD59CC">
        <w:rPr>
          <w:rFonts w:ascii="Arial" w:hAnsi="Arial" w:cs="Arial"/>
        </w:rPr>
        <w:t xml:space="preserve"> </w:t>
      </w:r>
      <w:r w:rsidR="00444E6B" w:rsidRPr="00CD59CC">
        <w:rPr>
          <w:rFonts w:ascii="Arial" w:hAnsi="Arial" w:cs="Arial"/>
        </w:rPr>
        <w:t>including</w:t>
      </w:r>
      <w:r w:rsidR="007B7640" w:rsidRPr="00CD59CC">
        <w:rPr>
          <w:rFonts w:ascii="Arial" w:hAnsi="Arial" w:cs="Arial"/>
        </w:rPr>
        <w:t xml:space="preserve"> </w:t>
      </w:r>
      <w:r w:rsidR="00444E6B" w:rsidRPr="00CD59CC">
        <w:rPr>
          <w:rFonts w:ascii="Arial" w:hAnsi="Arial" w:cs="Arial"/>
        </w:rPr>
        <w:t>practical</w:t>
      </w:r>
      <w:r w:rsidR="007B7640" w:rsidRPr="00CD59CC">
        <w:rPr>
          <w:rFonts w:ascii="Arial" w:hAnsi="Arial" w:cs="Arial"/>
        </w:rPr>
        <w:t xml:space="preserve"> </w:t>
      </w:r>
      <w:r w:rsidR="00444E6B" w:rsidRPr="00CD59CC">
        <w:rPr>
          <w:rFonts w:ascii="Arial" w:hAnsi="Arial" w:cs="Arial"/>
        </w:rPr>
        <w:t>work</w:t>
      </w:r>
      <w:r w:rsidR="007B7640" w:rsidRPr="00CD59CC">
        <w:rPr>
          <w:rFonts w:ascii="Arial" w:hAnsi="Arial" w:cs="Arial"/>
        </w:rPr>
        <w:t xml:space="preserve"> </w:t>
      </w:r>
      <w:r w:rsidR="00444E6B" w:rsidRPr="00CD59CC">
        <w:rPr>
          <w:rFonts w:ascii="Arial" w:hAnsi="Arial" w:cs="Arial"/>
        </w:rPr>
        <w:t>experience</w:t>
      </w:r>
      <w:r w:rsidR="007B7640" w:rsidRPr="00CD59CC">
        <w:rPr>
          <w:rFonts w:ascii="Arial" w:hAnsi="Arial" w:cs="Arial"/>
        </w:rPr>
        <w:t xml:space="preserve"> </w:t>
      </w:r>
      <w:r w:rsidR="00444E6B" w:rsidRPr="00CD59CC">
        <w:rPr>
          <w:rFonts w:ascii="Arial" w:hAnsi="Arial" w:cs="Arial"/>
        </w:rPr>
        <w:t>can</w:t>
      </w:r>
      <w:r w:rsidR="007B7640" w:rsidRPr="00CD59CC">
        <w:rPr>
          <w:rFonts w:ascii="Arial" w:hAnsi="Arial" w:cs="Arial"/>
        </w:rPr>
        <w:t xml:space="preserve"> </w:t>
      </w:r>
      <w:r w:rsidR="00444E6B" w:rsidRPr="00CD59CC">
        <w:rPr>
          <w:rFonts w:ascii="Arial" w:hAnsi="Arial" w:cs="Arial"/>
        </w:rPr>
        <w:t>be</w:t>
      </w:r>
      <w:r w:rsidR="007B7640" w:rsidRPr="00CD59CC">
        <w:rPr>
          <w:rFonts w:ascii="Arial" w:hAnsi="Arial" w:cs="Arial"/>
        </w:rPr>
        <w:t xml:space="preserve"> </w:t>
      </w:r>
      <w:r w:rsidR="00444E6B" w:rsidRPr="00CD59CC">
        <w:rPr>
          <w:rFonts w:ascii="Arial" w:hAnsi="Arial" w:cs="Arial"/>
        </w:rPr>
        <w:t>regarded</w:t>
      </w:r>
      <w:r w:rsidR="007B7640" w:rsidRPr="00CD59CC">
        <w:rPr>
          <w:rFonts w:ascii="Arial" w:hAnsi="Arial" w:cs="Arial"/>
        </w:rPr>
        <w:t xml:space="preserve"> </w:t>
      </w:r>
      <w:r w:rsidR="00444E6B" w:rsidRPr="00CD59CC">
        <w:rPr>
          <w:rFonts w:ascii="Arial" w:hAnsi="Arial" w:cs="Arial"/>
        </w:rPr>
        <w:t>to</w:t>
      </w:r>
      <w:r w:rsidR="007B7640" w:rsidRPr="00CD59CC">
        <w:rPr>
          <w:rFonts w:ascii="Arial" w:hAnsi="Arial" w:cs="Arial"/>
        </w:rPr>
        <w:t xml:space="preserve"> </w:t>
      </w:r>
      <w:r w:rsidR="00444E6B" w:rsidRPr="00CD59CC">
        <w:rPr>
          <w:rFonts w:ascii="Arial" w:hAnsi="Arial" w:cs="Arial"/>
        </w:rPr>
        <w:t>be</w:t>
      </w:r>
      <w:r w:rsidR="007B7640" w:rsidRPr="00CD59CC">
        <w:rPr>
          <w:rFonts w:ascii="Arial" w:hAnsi="Arial" w:cs="Arial"/>
        </w:rPr>
        <w:t xml:space="preserve"> </w:t>
      </w:r>
      <w:r w:rsidR="00444E6B" w:rsidRPr="00CD59CC">
        <w:rPr>
          <w:rFonts w:ascii="Arial" w:hAnsi="Arial" w:cs="Arial"/>
        </w:rPr>
        <w:t>covered.</w:t>
      </w:r>
    </w:p>
    <w:p w14:paraId="6CA1A338" w14:textId="77777777" w:rsidR="00444E6B" w:rsidRPr="00CD59CC" w:rsidRDefault="00444E6B" w:rsidP="00CD59CC">
      <w:pPr>
        <w:rPr>
          <w:rFonts w:ascii="Arial" w:hAnsi="Arial" w:cs="Arial"/>
        </w:rPr>
      </w:pPr>
    </w:p>
    <w:p w14:paraId="0FFF90E9" w14:textId="00D4E121" w:rsidR="00BA727E" w:rsidRPr="00CD59CC" w:rsidRDefault="00444E6B"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addition,</w:t>
      </w:r>
      <w:r w:rsidR="007B7640" w:rsidRPr="00CD59CC">
        <w:rPr>
          <w:rFonts w:ascii="Arial" w:hAnsi="Arial" w:cs="Arial"/>
        </w:rPr>
        <w:t xml:space="preserve"> </w:t>
      </w:r>
      <w:r w:rsidR="00BA727E" w:rsidRPr="00CD59CC">
        <w:rPr>
          <w:rFonts w:ascii="Arial" w:hAnsi="Arial" w:cs="Arial"/>
        </w:rPr>
        <w:t>Article</w:t>
      </w:r>
      <w:r w:rsidR="007B7640" w:rsidRPr="00CD59CC">
        <w:rPr>
          <w:rFonts w:ascii="Arial" w:hAnsi="Arial" w:cs="Arial"/>
        </w:rPr>
        <w:t xml:space="preserve"> </w:t>
      </w:r>
      <w:r w:rsidR="00BA727E" w:rsidRPr="00CD59CC">
        <w:rPr>
          <w:rFonts w:ascii="Arial" w:hAnsi="Arial" w:cs="Arial"/>
        </w:rPr>
        <w:t>27</w:t>
      </w:r>
      <w:r w:rsidR="007B7640" w:rsidRPr="00CD59CC">
        <w:rPr>
          <w:rFonts w:ascii="Arial" w:hAnsi="Arial" w:cs="Arial"/>
        </w:rPr>
        <w:t xml:space="preserve"> </w:t>
      </w:r>
      <w:r w:rsidR="00BA727E" w:rsidRPr="00CD59CC">
        <w:rPr>
          <w:rFonts w:ascii="Arial" w:hAnsi="Arial" w:cs="Arial"/>
        </w:rPr>
        <w:t>of</w:t>
      </w:r>
      <w:r w:rsidR="007B7640" w:rsidRPr="00CD59CC">
        <w:rPr>
          <w:rFonts w:ascii="Arial" w:hAnsi="Arial" w:cs="Arial"/>
        </w:rPr>
        <w:t xml:space="preserve"> </w:t>
      </w:r>
      <w:r w:rsidR="00BA727E" w:rsidRPr="00CD59CC">
        <w:rPr>
          <w:rFonts w:ascii="Arial" w:hAnsi="Arial" w:cs="Arial"/>
        </w:rPr>
        <w:t>the</w:t>
      </w:r>
      <w:r w:rsidR="007B7640" w:rsidRPr="00CD59CC">
        <w:rPr>
          <w:rFonts w:ascii="Arial" w:hAnsi="Arial" w:cs="Arial"/>
        </w:rPr>
        <w:t xml:space="preserve"> </w:t>
      </w:r>
      <w:r w:rsidR="00BA727E" w:rsidRPr="00CD59CC">
        <w:rPr>
          <w:rFonts w:ascii="Arial" w:hAnsi="Arial" w:cs="Arial"/>
        </w:rPr>
        <w:t>ETA</w:t>
      </w:r>
      <w:r w:rsidR="007B7640" w:rsidRPr="00CD59CC">
        <w:rPr>
          <w:rFonts w:ascii="Arial" w:hAnsi="Arial" w:cs="Arial"/>
        </w:rPr>
        <w:t xml:space="preserve"> </w:t>
      </w:r>
      <w:r w:rsidR="00BA727E" w:rsidRPr="00CD59CC">
        <w:rPr>
          <w:rFonts w:ascii="Arial" w:hAnsi="Arial" w:cs="Arial"/>
        </w:rPr>
        <w:t>(defining</w:t>
      </w:r>
      <w:r w:rsidR="007B7640" w:rsidRPr="00CD59CC">
        <w:rPr>
          <w:rFonts w:ascii="Arial" w:hAnsi="Arial" w:cs="Arial"/>
        </w:rPr>
        <w:t xml:space="preserve"> </w:t>
      </w:r>
      <w:r w:rsidR="00BA727E" w:rsidRPr="00CD59CC">
        <w:rPr>
          <w:rFonts w:ascii="Arial" w:hAnsi="Arial" w:cs="Arial"/>
        </w:rPr>
        <w:t>forms</w:t>
      </w:r>
      <w:r w:rsidR="007B7640" w:rsidRPr="00CD59CC">
        <w:rPr>
          <w:rFonts w:ascii="Arial" w:hAnsi="Arial" w:cs="Arial"/>
        </w:rPr>
        <w:t xml:space="preserve"> </w:t>
      </w:r>
      <w:r w:rsidR="00BA727E" w:rsidRPr="00CD59CC">
        <w:rPr>
          <w:rFonts w:ascii="Arial" w:hAnsi="Arial" w:cs="Arial"/>
        </w:rPr>
        <w:t>of</w:t>
      </w:r>
      <w:r w:rsidR="007B7640" w:rsidRPr="00CD59CC">
        <w:rPr>
          <w:rFonts w:ascii="Arial" w:hAnsi="Arial" w:cs="Arial"/>
        </w:rPr>
        <w:t xml:space="preserve"> </w:t>
      </w:r>
      <w:r w:rsidR="00BA727E" w:rsidRPr="00CD59CC">
        <w:rPr>
          <w:rFonts w:ascii="Arial" w:hAnsi="Arial" w:cs="Arial"/>
        </w:rPr>
        <w:t>education</w:t>
      </w:r>
      <w:r w:rsidR="007B7640" w:rsidRPr="00CD59CC">
        <w:rPr>
          <w:rFonts w:ascii="Arial" w:hAnsi="Arial" w:cs="Arial"/>
        </w:rPr>
        <w:t xml:space="preserve"> </w:t>
      </w:r>
      <w:r w:rsidR="00BA727E" w:rsidRPr="00CD59CC">
        <w:rPr>
          <w:rFonts w:ascii="Arial" w:hAnsi="Arial" w:cs="Arial"/>
        </w:rPr>
        <w:t>falling</w:t>
      </w:r>
      <w:r w:rsidR="007B7640" w:rsidRPr="00CD59CC">
        <w:rPr>
          <w:rFonts w:ascii="Arial" w:hAnsi="Arial" w:cs="Arial"/>
        </w:rPr>
        <w:t xml:space="preserve"> </w:t>
      </w:r>
      <w:r w:rsidR="00BA727E" w:rsidRPr="00CD59CC">
        <w:rPr>
          <w:rFonts w:ascii="Arial" w:hAnsi="Arial" w:cs="Arial"/>
        </w:rPr>
        <w:t>under</w:t>
      </w:r>
      <w:r w:rsidR="007B7640" w:rsidRPr="00CD59CC">
        <w:rPr>
          <w:rFonts w:ascii="Arial" w:hAnsi="Arial" w:cs="Arial"/>
        </w:rPr>
        <w:t xml:space="preserve"> </w:t>
      </w:r>
      <w:r w:rsidR="00BA727E" w:rsidRPr="00CD59CC">
        <w:rPr>
          <w:rFonts w:ascii="Arial" w:hAnsi="Arial" w:cs="Arial"/>
        </w:rPr>
        <w:t>the</w:t>
      </w:r>
      <w:r w:rsidR="007B7640" w:rsidRPr="00CD59CC">
        <w:rPr>
          <w:rFonts w:ascii="Arial" w:hAnsi="Arial" w:cs="Arial"/>
        </w:rPr>
        <w:t xml:space="preserve"> </w:t>
      </w:r>
      <w:r w:rsidR="00BA727E" w:rsidRPr="00CD59CC">
        <w:rPr>
          <w:rFonts w:ascii="Arial" w:hAnsi="Arial" w:cs="Arial"/>
        </w:rPr>
        <w:t>law’s</w:t>
      </w:r>
      <w:r w:rsidR="007B7640" w:rsidRPr="00CD59CC">
        <w:rPr>
          <w:rFonts w:ascii="Arial" w:hAnsi="Arial" w:cs="Arial"/>
        </w:rPr>
        <w:t xml:space="preserve"> </w:t>
      </w:r>
      <w:r w:rsidR="00BA727E" w:rsidRPr="00CD59CC">
        <w:rPr>
          <w:rFonts w:ascii="Arial" w:hAnsi="Arial" w:cs="Arial"/>
        </w:rPr>
        <w:t>scope)</w:t>
      </w:r>
      <w:r w:rsidR="007B7640" w:rsidRPr="00CD59CC">
        <w:rPr>
          <w:rFonts w:ascii="Arial" w:hAnsi="Arial" w:cs="Arial"/>
        </w:rPr>
        <w:t xml:space="preserve"> </w:t>
      </w:r>
      <w:r w:rsidR="00BA727E" w:rsidRPr="00CD59CC">
        <w:rPr>
          <w:rFonts w:ascii="Arial" w:hAnsi="Arial" w:cs="Arial"/>
        </w:rPr>
        <w:t>is</w:t>
      </w:r>
      <w:r w:rsidR="007B7640" w:rsidRPr="00CD59CC">
        <w:rPr>
          <w:rFonts w:ascii="Arial" w:hAnsi="Arial" w:cs="Arial"/>
        </w:rPr>
        <w:t xml:space="preserve"> </w:t>
      </w:r>
      <w:r w:rsidR="00BA727E" w:rsidRPr="00CD59CC">
        <w:rPr>
          <w:rFonts w:ascii="Arial" w:hAnsi="Arial" w:cs="Arial"/>
        </w:rPr>
        <w:t>so</w:t>
      </w:r>
      <w:r w:rsidR="007B7640" w:rsidRPr="00CD59CC">
        <w:rPr>
          <w:rFonts w:ascii="Arial" w:hAnsi="Arial" w:cs="Arial"/>
        </w:rPr>
        <w:t xml:space="preserve"> </w:t>
      </w:r>
      <w:r w:rsidR="00BA727E" w:rsidRPr="00CD59CC">
        <w:rPr>
          <w:rFonts w:ascii="Arial" w:hAnsi="Arial" w:cs="Arial"/>
        </w:rPr>
        <w:t>wide</w:t>
      </w:r>
      <w:r w:rsidR="007B7640" w:rsidRPr="00CD59CC">
        <w:rPr>
          <w:rFonts w:ascii="Arial" w:hAnsi="Arial" w:cs="Arial"/>
        </w:rPr>
        <w:t xml:space="preserve"> </w:t>
      </w:r>
      <w:r w:rsidR="00BA727E" w:rsidRPr="00CD59CC">
        <w:rPr>
          <w:rFonts w:ascii="Arial" w:hAnsi="Arial" w:cs="Arial"/>
        </w:rPr>
        <w:t>that</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forms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vocational</w:t>
      </w:r>
      <w:r w:rsidR="007B7640" w:rsidRPr="00CD59CC">
        <w:rPr>
          <w:rFonts w:ascii="Arial" w:hAnsi="Arial" w:cs="Arial"/>
        </w:rPr>
        <w:t xml:space="preserve"> </w:t>
      </w:r>
      <w:r w:rsidRPr="00CD59CC">
        <w:rPr>
          <w:rFonts w:ascii="Arial" w:hAnsi="Arial" w:cs="Arial"/>
        </w:rPr>
        <w:t>training</w:t>
      </w:r>
      <w:r w:rsidR="007B7640" w:rsidRPr="00CD59CC">
        <w:rPr>
          <w:rFonts w:ascii="Arial" w:hAnsi="Arial" w:cs="Arial"/>
        </w:rPr>
        <w:t xml:space="preserve"> </w:t>
      </w:r>
      <w:r w:rsidR="00BA727E" w:rsidRPr="00CD59CC">
        <w:rPr>
          <w:rFonts w:ascii="Arial" w:hAnsi="Arial" w:cs="Arial"/>
        </w:rPr>
        <w:t>will</w:t>
      </w:r>
      <w:r w:rsidR="007B7640" w:rsidRPr="00CD59CC">
        <w:rPr>
          <w:rFonts w:ascii="Arial" w:hAnsi="Arial" w:cs="Arial"/>
        </w:rPr>
        <w:t xml:space="preserve"> </w:t>
      </w:r>
      <w:r w:rsidR="00BA727E" w:rsidRPr="00CD59CC">
        <w:rPr>
          <w:rFonts w:ascii="Arial" w:hAnsi="Arial" w:cs="Arial"/>
        </w:rPr>
        <w:t>definitely</w:t>
      </w:r>
      <w:r w:rsidR="007B7640" w:rsidRPr="00CD59CC">
        <w:rPr>
          <w:rFonts w:ascii="Arial" w:hAnsi="Arial" w:cs="Arial"/>
        </w:rPr>
        <w:t xml:space="preserve"> </w:t>
      </w:r>
      <w:r w:rsidR="00BA727E" w:rsidRPr="00CD59CC">
        <w:rPr>
          <w:rFonts w:ascii="Arial" w:hAnsi="Arial" w:cs="Arial"/>
        </w:rPr>
        <w:t>fall</w:t>
      </w:r>
      <w:r w:rsidR="007B7640" w:rsidRPr="00CD59CC">
        <w:rPr>
          <w:rFonts w:ascii="Arial" w:hAnsi="Arial" w:cs="Arial"/>
        </w:rPr>
        <w:t xml:space="preserve"> </w:t>
      </w:r>
      <w:r w:rsidR="00BA727E" w:rsidRPr="00CD59CC">
        <w:rPr>
          <w:rFonts w:ascii="Arial" w:hAnsi="Arial" w:cs="Arial"/>
        </w:rPr>
        <w:t>under</w:t>
      </w:r>
      <w:r w:rsidR="007B7640" w:rsidRPr="00CD59CC">
        <w:rPr>
          <w:rFonts w:ascii="Arial" w:hAnsi="Arial" w:cs="Arial"/>
        </w:rPr>
        <w:t xml:space="preserve"> </w:t>
      </w:r>
      <w:r w:rsidR="00BA727E" w:rsidRPr="00CD59CC">
        <w:rPr>
          <w:rFonts w:ascii="Arial" w:hAnsi="Arial" w:cs="Arial"/>
        </w:rPr>
        <w:t>the</w:t>
      </w:r>
      <w:r w:rsidR="007B7640" w:rsidRPr="00CD59CC">
        <w:rPr>
          <w:rFonts w:ascii="Arial" w:hAnsi="Arial" w:cs="Arial"/>
        </w:rPr>
        <w:t xml:space="preserve"> </w:t>
      </w:r>
      <w:r w:rsidR="00BA727E" w:rsidRPr="00CD59CC">
        <w:rPr>
          <w:rFonts w:ascii="Arial" w:hAnsi="Arial" w:cs="Arial"/>
        </w:rPr>
        <w:t>law’s</w:t>
      </w:r>
      <w:r w:rsidR="007B7640" w:rsidRPr="00CD59CC">
        <w:rPr>
          <w:rFonts w:ascii="Arial" w:hAnsi="Arial" w:cs="Arial"/>
        </w:rPr>
        <w:t xml:space="preserve"> </w:t>
      </w:r>
      <w:r w:rsidR="00BA727E" w:rsidRPr="00CD59CC">
        <w:rPr>
          <w:rFonts w:ascii="Arial" w:hAnsi="Arial" w:cs="Arial"/>
        </w:rPr>
        <w:t>definition</w:t>
      </w:r>
      <w:r w:rsidR="007B7640" w:rsidRPr="00CD59CC">
        <w:rPr>
          <w:rFonts w:ascii="Arial" w:hAnsi="Arial" w:cs="Arial"/>
        </w:rPr>
        <w:t xml:space="preserve"> </w:t>
      </w:r>
      <w:r w:rsidR="00BA727E" w:rsidRPr="00CD59CC">
        <w:rPr>
          <w:rFonts w:ascii="Arial" w:hAnsi="Arial" w:cs="Arial"/>
        </w:rPr>
        <w:t>of</w:t>
      </w:r>
      <w:r w:rsidR="007B7640" w:rsidRPr="00CD59CC">
        <w:rPr>
          <w:rFonts w:ascii="Arial" w:hAnsi="Arial" w:cs="Arial"/>
        </w:rPr>
        <w:t xml:space="preserve"> </w:t>
      </w:r>
      <w:r w:rsidR="00BA727E" w:rsidRPr="00CD59CC">
        <w:rPr>
          <w:rFonts w:ascii="Arial" w:hAnsi="Arial" w:cs="Arial"/>
        </w:rPr>
        <w:t>education.</w:t>
      </w:r>
      <w:r w:rsidR="007B7640" w:rsidRPr="00CD59CC">
        <w:rPr>
          <w:rFonts w:ascii="Arial" w:hAnsi="Arial" w:cs="Arial"/>
        </w:rPr>
        <w:t xml:space="preserve"> </w:t>
      </w:r>
      <w:r w:rsidR="00BA727E" w:rsidRPr="00CD59CC">
        <w:rPr>
          <w:rFonts w:ascii="Arial" w:hAnsi="Arial" w:cs="Arial"/>
        </w:rPr>
        <w:t>In</w:t>
      </w:r>
      <w:r w:rsidR="007B7640" w:rsidRPr="00CD59CC">
        <w:rPr>
          <w:rFonts w:ascii="Arial" w:hAnsi="Arial" w:cs="Arial"/>
        </w:rPr>
        <w:t xml:space="preserve"> </w:t>
      </w:r>
      <w:r w:rsidR="00BA727E" w:rsidRPr="00CD59CC">
        <w:rPr>
          <w:rFonts w:ascii="Arial" w:hAnsi="Arial" w:cs="Arial"/>
        </w:rPr>
        <w:t>terms</w:t>
      </w:r>
      <w:r w:rsidR="007B7640" w:rsidRPr="00CD59CC">
        <w:rPr>
          <w:rFonts w:ascii="Arial" w:hAnsi="Arial" w:cs="Arial"/>
        </w:rPr>
        <w:t xml:space="preserve"> </w:t>
      </w:r>
      <w:r w:rsidR="00BA727E" w:rsidRPr="00CD59CC">
        <w:rPr>
          <w:rFonts w:ascii="Arial" w:hAnsi="Arial" w:cs="Arial"/>
        </w:rPr>
        <w:t>of</w:t>
      </w:r>
      <w:r w:rsidR="007B7640" w:rsidRPr="00CD59CC">
        <w:rPr>
          <w:rFonts w:ascii="Arial" w:hAnsi="Arial" w:cs="Arial"/>
        </w:rPr>
        <w:t xml:space="preserve"> </w:t>
      </w:r>
      <w:r w:rsidR="00BA727E" w:rsidRPr="00CD59CC">
        <w:rPr>
          <w:rFonts w:ascii="Arial" w:hAnsi="Arial" w:cs="Arial"/>
        </w:rPr>
        <w:t>Article</w:t>
      </w:r>
      <w:r w:rsidR="007B7640" w:rsidRPr="00CD59CC">
        <w:rPr>
          <w:rFonts w:ascii="Arial" w:hAnsi="Arial" w:cs="Arial"/>
        </w:rPr>
        <w:t xml:space="preserve"> </w:t>
      </w:r>
      <w:r w:rsidR="00BA727E" w:rsidRPr="00CD59CC">
        <w:rPr>
          <w:rFonts w:ascii="Arial" w:hAnsi="Arial" w:cs="Arial"/>
        </w:rPr>
        <w:t>27,</w:t>
      </w:r>
      <w:r w:rsidR="007B7640" w:rsidRPr="00CD59CC">
        <w:rPr>
          <w:rFonts w:ascii="Arial" w:hAnsi="Arial" w:cs="Arial"/>
        </w:rPr>
        <w:t xml:space="preserve"> </w:t>
      </w:r>
      <w:r w:rsidR="00BA727E" w:rsidRPr="00CD59CC">
        <w:rPr>
          <w:rFonts w:ascii="Arial" w:hAnsi="Arial" w:cs="Arial"/>
        </w:rPr>
        <w:t>“the</w:t>
      </w:r>
      <w:r w:rsidR="007B7640" w:rsidRPr="00CD59CC">
        <w:rPr>
          <w:rFonts w:ascii="Arial" w:hAnsi="Arial" w:cs="Arial"/>
        </w:rPr>
        <w:t xml:space="preserve"> </w:t>
      </w:r>
      <w:r w:rsidR="00BA727E" w:rsidRPr="00CD59CC">
        <w:rPr>
          <w:rFonts w:ascii="Arial" w:hAnsi="Arial" w:cs="Arial"/>
        </w:rPr>
        <w:t>principle</w:t>
      </w:r>
      <w:r w:rsidR="007B7640" w:rsidRPr="00CD59CC">
        <w:rPr>
          <w:rFonts w:ascii="Arial" w:hAnsi="Arial" w:cs="Arial"/>
        </w:rPr>
        <w:t xml:space="preserve"> </w:t>
      </w:r>
      <w:r w:rsidR="00BA727E" w:rsidRPr="00CD59CC">
        <w:rPr>
          <w:rFonts w:ascii="Arial" w:hAnsi="Arial" w:cs="Arial"/>
        </w:rPr>
        <w:t>of</w:t>
      </w:r>
      <w:r w:rsidR="007B7640" w:rsidRPr="00CD59CC">
        <w:rPr>
          <w:rFonts w:ascii="Arial" w:hAnsi="Arial" w:cs="Arial"/>
        </w:rPr>
        <w:t xml:space="preserve"> </w:t>
      </w:r>
      <w:r w:rsidR="00BA727E" w:rsidRPr="00CD59CC">
        <w:rPr>
          <w:rFonts w:ascii="Arial" w:hAnsi="Arial" w:cs="Arial"/>
        </w:rPr>
        <w:t>equal</w:t>
      </w:r>
      <w:r w:rsidR="007B7640" w:rsidRPr="00CD59CC">
        <w:rPr>
          <w:rFonts w:ascii="Arial" w:hAnsi="Arial" w:cs="Arial"/>
        </w:rPr>
        <w:t xml:space="preserve"> </w:t>
      </w:r>
      <w:r w:rsidR="00BA727E" w:rsidRPr="00CD59CC">
        <w:rPr>
          <w:rFonts w:ascii="Arial" w:hAnsi="Arial" w:cs="Arial"/>
        </w:rPr>
        <w:t>treatment</w:t>
      </w:r>
      <w:r w:rsidR="007B7640" w:rsidRPr="00CD59CC">
        <w:rPr>
          <w:rFonts w:ascii="Arial" w:hAnsi="Arial" w:cs="Arial"/>
        </w:rPr>
        <w:t xml:space="preserve"> </w:t>
      </w:r>
      <w:r w:rsidR="00BA727E" w:rsidRPr="00CD59CC">
        <w:rPr>
          <w:rFonts w:ascii="Arial" w:hAnsi="Arial" w:cs="Arial"/>
        </w:rPr>
        <w:t>extends</w:t>
      </w:r>
      <w:r w:rsidR="007B7640" w:rsidRPr="00CD59CC">
        <w:rPr>
          <w:rFonts w:ascii="Arial" w:hAnsi="Arial" w:cs="Arial"/>
        </w:rPr>
        <w:t xml:space="preserve"> </w:t>
      </w:r>
      <w:r w:rsidR="00BA727E" w:rsidRPr="00CD59CC">
        <w:rPr>
          <w:rFonts w:ascii="Arial" w:hAnsi="Arial" w:cs="Arial"/>
        </w:rPr>
        <w:t>to</w:t>
      </w:r>
      <w:r w:rsidR="007B7640" w:rsidRPr="00CD59CC">
        <w:rPr>
          <w:rFonts w:ascii="Arial" w:hAnsi="Arial" w:cs="Arial"/>
        </w:rPr>
        <w:t xml:space="preserve"> </w:t>
      </w:r>
      <w:r w:rsidR="00BA727E" w:rsidRPr="00CD59CC">
        <w:rPr>
          <w:rFonts w:ascii="Arial" w:hAnsi="Arial" w:cs="Arial"/>
        </w:rPr>
        <w:t>any</w:t>
      </w:r>
      <w:r w:rsidR="007B7640" w:rsidRPr="00CD59CC">
        <w:rPr>
          <w:rFonts w:ascii="Arial" w:hAnsi="Arial" w:cs="Arial"/>
        </w:rPr>
        <w:t xml:space="preserve"> </w:t>
      </w:r>
      <w:r w:rsidR="00BA727E" w:rsidRPr="00CD59CC">
        <w:rPr>
          <w:rFonts w:ascii="Arial" w:hAnsi="Arial" w:cs="Arial"/>
        </w:rPr>
        <w:t>form</w:t>
      </w:r>
      <w:r w:rsidR="007B7640" w:rsidRPr="00CD59CC">
        <w:rPr>
          <w:rFonts w:ascii="Arial" w:hAnsi="Arial" w:cs="Arial"/>
        </w:rPr>
        <w:t xml:space="preserve"> </w:t>
      </w:r>
      <w:r w:rsidR="00BA727E" w:rsidRPr="00CD59CC">
        <w:rPr>
          <w:rFonts w:ascii="Arial" w:hAnsi="Arial" w:cs="Arial"/>
        </w:rPr>
        <w:t>of</w:t>
      </w:r>
      <w:r w:rsidR="007B7640" w:rsidRPr="00CD59CC">
        <w:rPr>
          <w:rFonts w:ascii="Arial" w:hAnsi="Arial" w:cs="Arial"/>
        </w:rPr>
        <w:t xml:space="preserve"> </w:t>
      </w:r>
      <w:r w:rsidR="00BA727E" w:rsidRPr="00CD59CC">
        <w:rPr>
          <w:rFonts w:ascii="Arial" w:hAnsi="Arial" w:cs="Arial"/>
        </w:rPr>
        <w:t>care,</w:t>
      </w:r>
      <w:r w:rsidR="007B7640" w:rsidRPr="00CD59CC">
        <w:rPr>
          <w:rFonts w:ascii="Arial" w:hAnsi="Arial" w:cs="Arial"/>
        </w:rPr>
        <w:t xml:space="preserve"> </w:t>
      </w:r>
      <w:r w:rsidR="00BA727E" w:rsidRPr="00CD59CC">
        <w:rPr>
          <w:rFonts w:ascii="Arial" w:hAnsi="Arial" w:cs="Arial"/>
        </w:rPr>
        <w:t>education</w:t>
      </w:r>
      <w:r w:rsidR="007B7640" w:rsidRPr="00CD59CC">
        <w:rPr>
          <w:rFonts w:ascii="Arial" w:hAnsi="Arial" w:cs="Arial"/>
        </w:rPr>
        <w:t xml:space="preserve"> </w:t>
      </w:r>
      <w:r w:rsidR="00BA727E" w:rsidRPr="00CD59CC">
        <w:rPr>
          <w:rFonts w:ascii="Arial" w:hAnsi="Arial" w:cs="Arial"/>
        </w:rPr>
        <w:t>or</w:t>
      </w:r>
      <w:r w:rsidR="007B7640" w:rsidRPr="00CD59CC">
        <w:rPr>
          <w:rFonts w:ascii="Arial" w:hAnsi="Arial" w:cs="Arial"/>
        </w:rPr>
        <w:t xml:space="preserve"> </w:t>
      </w:r>
      <w:r w:rsidR="00BA727E" w:rsidRPr="00CD59CC">
        <w:rPr>
          <w:rFonts w:ascii="Arial" w:hAnsi="Arial" w:cs="Arial"/>
        </w:rPr>
        <w:t>training,</w:t>
      </w:r>
      <w:r w:rsidR="007B7640" w:rsidRPr="00CD59CC">
        <w:rPr>
          <w:rFonts w:ascii="Arial" w:hAnsi="Arial" w:cs="Arial"/>
        </w:rPr>
        <w:t xml:space="preserve"> </w:t>
      </w:r>
      <w:r w:rsidR="00BA727E" w:rsidRPr="00CD59CC">
        <w:rPr>
          <w:rFonts w:ascii="Arial" w:hAnsi="Arial" w:cs="Arial"/>
        </w:rPr>
        <w:t>which</w:t>
      </w:r>
      <w:r w:rsidR="007B7640" w:rsidRPr="00CD59CC">
        <w:rPr>
          <w:rFonts w:ascii="Arial" w:hAnsi="Arial" w:cs="Arial"/>
        </w:rPr>
        <w:t xml:space="preserve"> </w:t>
      </w:r>
      <w:r w:rsidR="00BA727E" w:rsidRPr="00CD59CC">
        <w:rPr>
          <w:rFonts w:ascii="Arial" w:hAnsi="Arial" w:cs="Arial"/>
        </w:rPr>
        <w:t>a)</w:t>
      </w:r>
      <w:r w:rsidR="007B7640" w:rsidRPr="00CD59CC">
        <w:rPr>
          <w:rFonts w:ascii="Arial" w:hAnsi="Arial" w:cs="Arial"/>
        </w:rPr>
        <w:t xml:space="preserve"> </w:t>
      </w:r>
      <w:r w:rsidR="00BA727E" w:rsidRPr="00CD59CC">
        <w:rPr>
          <w:rFonts w:ascii="Arial" w:hAnsi="Arial" w:cs="Arial"/>
        </w:rPr>
        <w:t>is</w:t>
      </w:r>
      <w:r w:rsidR="007B7640" w:rsidRPr="00CD59CC">
        <w:rPr>
          <w:rFonts w:ascii="Arial" w:hAnsi="Arial" w:cs="Arial"/>
        </w:rPr>
        <w:t xml:space="preserve"> </w:t>
      </w:r>
      <w:r w:rsidR="00BA727E" w:rsidRPr="00CD59CC">
        <w:rPr>
          <w:rFonts w:ascii="Arial" w:hAnsi="Arial" w:cs="Arial"/>
        </w:rPr>
        <w:t>carried</w:t>
      </w:r>
      <w:r w:rsidR="007B7640" w:rsidRPr="00CD59CC">
        <w:rPr>
          <w:rFonts w:ascii="Arial" w:hAnsi="Arial" w:cs="Arial"/>
        </w:rPr>
        <w:t xml:space="preserve"> </w:t>
      </w:r>
      <w:r w:rsidR="00BA727E" w:rsidRPr="00CD59CC">
        <w:rPr>
          <w:rFonts w:ascii="Arial" w:hAnsi="Arial" w:cs="Arial"/>
        </w:rPr>
        <w:t>out</w:t>
      </w:r>
      <w:r w:rsidR="007B7640" w:rsidRPr="00CD59CC">
        <w:rPr>
          <w:rFonts w:ascii="Arial" w:hAnsi="Arial" w:cs="Arial"/>
        </w:rPr>
        <w:t xml:space="preserve"> </w:t>
      </w:r>
      <w:r w:rsidR="00BA727E" w:rsidRPr="00CD59CC">
        <w:rPr>
          <w:rFonts w:ascii="Arial" w:hAnsi="Arial" w:cs="Arial"/>
        </w:rPr>
        <w:t>in</w:t>
      </w:r>
      <w:r w:rsidR="007B7640" w:rsidRPr="00CD59CC">
        <w:rPr>
          <w:rFonts w:ascii="Arial" w:hAnsi="Arial" w:cs="Arial"/>
        </w:rPr>
        <w:t xml:space="preserve"> </w:t>
      </w:r>
      <w:r w:rsidR="00BA727E" w:rsidRPr="00CD59CC">
        <w:rPr>
          <w:rFonts w:ascii="Arial" w:hAnsi="Arial" w:cs="Arial"/>
        </w:rPr>
        <w:t>accordance</w:t>
      </w:r>
      <w:r w:rsidR="007B7640" w:rsidRPr="00CD59CC">
        <w:rPr>
          <w:rFonts w:ascii="Arial" w:hAnsi="Arial" w:cs="Arial"/>
        </w:rPr>
        <w:t xml:space="preserve"> </w:t>
      </w:r>
      <w:r w:rsidR="00BA727E" w:rsidRPr="00CD59CC">
        <w:rPr>
          <w:rFonts w:ascii="Arial" w:hAnsi="Arial" w:cs="Arial"/>
        </w:rPr>
        <w:t>with</w:t>
      </w:r>
      <w:r w:rsidR="007B7640" w:rsidRPr="00CD59CC">
        <w:rPr>
          <w:rFonts w:ascii="Arial" w:hAnsi="Arial" w:cs="Arial"/>
        </w:rPr>
        <w:t xml:space="preserve"> </w:t>
      </w:r>
      <w:r w:rsidR="00BA727E" w:rsidRPr="00CD59CC">
        <w:rPr>
          <w:rFonts w:ascii="Arial" w:hAnsi="Arial" w:cs="Arial"/>
        </w:rPr>
        <w:t>requirements</w:t>
      </w:r>
      <w:r w:rsidR="007B7640" w:rsidRPr="00CD59CC">
        <w:rPr>
          <w:rFonts w:ascii="Arial" w:hAnsi="Arial" w:cs="Arial"/>
        </w:rPr>
        <w:t xml:space="preserve"> </w:t>
      </w:r>
      <w:r w:rsidR="00BA727E" w:rsidRPr="00CD59CC">
        <w:rPr>
          <w:rFonts w:ascii="Arial" w:hAnsi="Arial" w:cs="Arial"/>
        </w:rPr>
        <w:t>approved</w:t>
      </w:r>
      <w:r w:rsidR="007B7640" w:rsidRPr="00CD59CC">
        <w:rPr>
          <w:rFonts w:ascii="Arial" w:hAnsi="Arial" w:cs="Arial"/>
        </w:rPr>
        <w:t xml:space="preserve"> </w:t>
      </w:r>
      <w:r w:rsidR="00BA727E" w:rsidRPr="00CD59CC">
        <w:rPr>
          <w:rFonts w:ascii="Arial" w:hAnsi="Arial" w:cs="Arial"/>
        </w:rPr>
        <w:t>or</w:t>
      </w:r>
      <w:r w:rsidR="007B7640" w:rsidRPr="00CD59CC">
        <w:rPr>
          <w:rFonts w:ascii="Arial" w:hAnsi="Arial" w:cs="Arial"/>
        </w:rPr>
        <w:t xml:space="preserve"> </w:t>
      </w:r>
      <w:r w:rsidR="00BA727E" w:rsidRPr="00CD59CC">
        <w:rPr>
          <w:rFonts w:ascii="Arial" w:hAnsi="Arial" w:cs="Arial"/>
        </w:rPr>
        <w:t>prescribed</w:t>
      </w:r>
      <w:r w:rsidR="007B7640" w:rsidRPr="00CD59CC">
        <w:rPr>
          <w:rFonts w:ascii="Arial" w:hAnsi="Arial" w:cs="Arial"/>
        </w:rPr>
        <w:t xml:space="preserve"> </w:t>
      </w:r>
      <w:r w:rsidR="00BA727E" w:rsidRPr="00CD59CC">
        <w:rPr>
          <w:rFonts w:ascii="Arial" w:hAnsi="Arial" w:cs="Arial"/>
        </w:rPr>
        <w:t>by</w:t>
      </w:r>
      <w:r w:rsidR="007B7640" w:rsidRPr="00CD59CC">
        <w:rPr>
          <w:rFonts w:ascii="Arial" w:hAnsi="Arial" w:cs="Arial"/>
        </w:rPr>
        <w:t xml:space="preserve"> </w:t>
      </w:r>
      <w:r w:rsidR="00BA727E" w:rsidRPr="00CD59CC">
        <w:rPr>
          <w:rFonts w:ascii="Arial" w:hAnsi="Arial" w:cs="Arial"/>
        </w:rPr>
        <w:t>the</w:t>
      </w:r>
      <w:r w:rsidR="007B7640" w:rsidRPr="00CD59CC">
        <w:rPr>
          <w:rFonts w:ascii="Arial" w:hAnsi="Arial" w:cs="Arial"/>
        </w:rPr>
        <w:t xml:space="preserve"> </w:t>
      </w:r>
      <w:r w:rsidR="00BA727E" w:rsidRPr="00CD59CC">
        <w:rPr>
          <w:rFonts w:ascii="Arial" w:hAnsi="Arial" w:cs="Arial"/>
        </w:rPr>
        <w:t>State,</w:t>
      </w:r>
      <w:r w:rsidR="007B7640" w:rsidRPr="00CD59CC">
        <w:rPr>
          <w:rFonts w:ascii="Arial" w:hAnsi="Arial" w:cs="Arial"/>
        </w:rPr>
        <w:t xml:space="preserve"> </w:t>
      </w:r>
      <w:r w:rsidR="00BA727E" w:rsidRPr="00CD59CC">
        <w:rPr>
          <w:rFonts w:ascii="Arial" w:hAnsi="Arial" w:cs="Arial"/>
        </w:rPr>
        <w:t>or</w:t>
      </w:r>
      <w:r w:rsidR="007B7640" w:rsidRPr="00CD59CC">
        <w:rPr>
          <w:rFonts w:ascii="Arial" w:hAnsi="Arial" w:cs="Arial"/>
        </w:rPr>
        <w:t xml:space="preserve"> </w:t>
      </w:r>
      <w:r w:rsidR="00BA727E" w:rsidRPr="00CD59CC">
        <w:rPr>
          <w:rFonts w:ascii="Arial" w:hAnsi="Arial" w:cs="Arial"/>
        </w:rPr>
        <w:t>b)</w:t>
      </w:r>
      <w:r w:rsidR="007B7640" w:rsidRPr="00CD59CC">
        <w:rPr>
          <w:rFonts w:ascii="Arial" w:hAnsi="Arial" w:cs="Arial"/>
        </w:rPr>
        <w:t xml:space="preserve"> </w:t>
      </w:r>
      <w:r w:rsidR="00BA727E" w:rsidRPr="00CD59CC">
        <w:rPr>
          <w:rFonts w:ascii="Arial" w:hAnsi="Arial" w:cs="Arial"/>
        </w:rPr>
        <w:t>is</w:t>
      </w:r>
      <w:r w:rsidR="007B7640" w:rsidRPr="00CD59CC">
        <w:rPr>
          <w:rFonts w:ascii="Arial" w:hAnsi="Arial" w:cs="Arial"/>
        </w:rPr>
        <w:t xml:space="preserve"> </w:t>
      </w:r>
      <w:r w:rsidR="00BA727E" w:rsidRPr="00CD59CC">
        <w:rPr>
          <w:rFonts w:ascii="Arial" w:hAnsi="Arial" w:cs="Arial"/>
        </w:rPr>
        <w:t>supported</w:t>
      </w:r>
      <w:r w:rsidR="007B7640" w:rsidRPr="00CD59CC">
        <w:rPr>
          <w:rFonts w:ascii="Arial" w:hAnsi="Arial" w:cs="Arial"/>
        </w:rPr>
        <w:t xml:space="preserve"> </w:t>
      </w:r>
      <w:r w:rsidR="00BA727E" w:rsidRPr="00CD59CC">
        <w:rPr>
          <w:rFonts w:ascii="Arial" w:hAnsi="Arial" w:cs="Arial"/>
        </w:rPr>
        <w:t>by</w:t>
      </w:r>
      <w:r w:rsidR="007B7640" w:rsidRPr="00CD59CC">
        <w:rPr>
          <w:rFonts w:ascii="Arial" w:hAnsi="Arial" w:cs="Arial"/>
        </w:rPr>
        <w:t xml:space="preserve"> </w:t>
      </w:r>
      <w:r w:rsidR="00BA727E" w:rsidRPr="00CD59CC">
        <w:rPr>
          <w:rFonts w:ascii="Arial" w:hAnsi="Arial" w:cs="Arial"/>
        </w:rPr>
        <w:t>the</w:t>
      </w:r>
      <w:r w:rsidR="007B7640" w:rsidRPr="00CD59CC">
        <w:rPr>
          <w:rFonts w:ascii="Arial" w:hAnsi="Arial" w:cs="Arial"/>
        </w:rPr>
        <w:t xml:space="preserve"> </w:t>
      </w:r>
      <w:r w:rsidR="00BA727E" w:rsidRPr="00CD59CC">
        <w:rPr>
          <w:rFonts w:ascii="Arial" w:hAnsi="Arial" w:cs="Arial"/>
        </w:rPr>
        <w:t>State</w:t>
      </w:r>
      <w:r w:rsidR="007B7640" w:rsidRPr="00CD59CC">
        <w:rPr>
          <w:rFonts w:ascii="Arial" w:hAnsi="Arial" w:cs="Arial"/>
        </w:rPr>
        <w:t xml:space="preserve"> </w:t>
      </w:r>
      <w:r w:rsidR="00BA727E" w:rsidRPr="00CD59CC">
        <w:rPr>
          <w:rFonts w:ascii="Arial" w:hAnsi="Arial" w:cs="Arial"/>
        </w:rPr>
        <w:t>ba)</w:t>
      </w:r>
      <w:r w:rsidR="007B7640" w:rsidRPr="00CD59CC">
        <w:rPr>
          <w:rFonts w:ascii="Arial" w:hAnsi="Arial" w:cs="Arial"/>
        </w:rPr>
        <w:t xml:space="preserve"> </w:t>
      </w:r>
      <w:r w:rsidR="00BA727E" w:rsidRPr="00CD59CC">
        <w:rPr>
          <w:rFonts w:ascii="Arial" w:hAnsi="Arial" w:cs="Arial"/>
        </w:rPr>
        <w:t>by</w:t>
      </w:r>
      <w:r w:rsidR="007B7640" w:rsidRPr="00CD59CC">
        <w:rPr>
          <w:rFonts w:ascii="Arial" w:hAnsi="Arial" w:cs="Arial"/>
        </w:rPr>
        <w:t xml:space="preserve"> </w:t>
      </w:r>
      <w:r w:rsidR="00BA727E" w:rsidRPr="00CD59CC">
        <w:rPr>
          <w:rFonts w:ascii="Arial" w:hAnsi="Arial" w:cs="Arial"/>
        </w:rPr>
        <w:t>direct</w:t>
      </w:r>
      <w:r w:rsidR="007B7640" w:rsidRPr="00CD59CC">
        <w:rPr>
          <w:rFonts w:ascii="Arial" w:hAnsi="Arial" w:cs="Arial"/>
        </w:rPr>
        <w:t xml:space="preserve"> </w:t>
      </w:r>
      <w:r w:rsidR="00BA727E" w:rsidRPr="00CD59CC">
        <w:rPr>
          <w:rFonts w:ascii="Arial" w:hAnsi="Arial" w:cs="Arial"/>
        </w:rPr>
        <w:t>normative</w:t>
      </w:r>
      <w:r w:rsidR="007B7640" w:rsidRPr="00CD59CC">
        <w:rPr>
          <w:rFonts w:ascii="Arial" w:hAnsi="Arial" w:cs="Arial"/>
        </w:rPr>
        <w:t xml:space="preserve"> </w:t>
      </w:r>
      <w:r w:rsidR="00BA727E" w:rsidRPr="00CD59CC">
        <w:rPr>
          <w:rFonts w:ascii="Arial" w:hAnsi="Arial" w:cs="Arial"/>
        </w:rPr>
        <w:t>budgetary</w:t>
      </w:r>
      <w:r w:rsidR="007B7640" w:rsidRPr="00CD59CC">
        <w:rPr>
          <w:rFonts w:ascii="Arial" w:hAnsi="Arial" w:cs="Arial"/>
        </w:rPr>
        <w:t xml:space="preserve"> </w:t>
      </w:r>
      <w:r w:rsidR="00BA727E" w:rsidRPr="00CD59CC">
        <w:rPr>
          <w:rFonts w:ascii="Arial" w:hAnsi="Arial" w:cs="Arial"/>
        </w:rPr>
        <w:t>subsidy,</w:t>
      </w:r>
      <w:r w:rsidR="007B7640" w:rsidRPr="00CD59CC">
        <w:rPr>
          <w:rFonts w:ascii="Arial" w:hAnsi="Arial" w:cs="Arial"/>
        </w:rPr>
        <w:t xml:space="preserve"> </w:t>
      </w:r>
      <w:r w:rsidR="00BA727E" w:rsidRPr="00CD59CC">
        <w:rPr>
          <w:rFonts w:ascii="Arial" w:hAnsi="Arial" w:cs="Arial"/>
        </w:rPr>
        <w:t>or</w:t>
      </w:r>
      <w:r w:rsidR="007B7640" w:rsidRPr="00CD59CC">
        <w:rPr>
          <w:rFonts w:ascii="Arial" w:hAnsi="Arial" w:cs="Arial"/>
        </w:rPr>
        <w:t xml:space="preserve"> </w:t>
      </w:r>
      <w:r w:rsidR="00BA727E" w:rsidRPr="00CD59CC">
        <w:rPr>
          <w:rFonts w:ascii="Arial" w:hAnsi="Arial" w:cs="Arial"/>
        </w:rPr>
        <w:t>bb)</w:t>
      </w:r>
      <w:r w:rsidR="007B7640" w:rsidRPr="00CD59CC">
        <w:rPr>
          <w:rFonts w:ascii="Arial" w:hAnsi="Arial" w:cs="Arial"/>
        </w:rPr>
        <w:t xml:space="preserve"> </w:t>
      </w:r>
      <w:r w:rsidR="00BA727E" w:rsidRPr="00CD59CC">
        <w:rPr>
          <w:rFonts w:ascii="Arial" w:hAnsi="Arial" w:cs="Arial"/>
        </w:rPr>
        <w:t>indirectly,</w:t>
      </w:r>
      <w:r w:rsidR="007B7640" w:rsidRPr="00CD59CC">
        <w:rPr>
          <w:rFonts w:ascii="Arial" w:hAnsi="Arial" w:cs="Arial"/>
        </w:rPr>
        <w:t xml:space="preserve"> </w:t>
      </w:r>
      <w:r w:rsidR="00BA727E" w:rsidRPr="00CD59CC">
        <w:rPr>
          <w:rFonts w:ascii="Arial" w:hAnsi="Arial" w:cs="Arial"/>
        </w:rPr>
        <w:t>especially</w:t>
      </w:r>
      <w:r w:rsidR="007B7640" w:rsidRPr="00CD59CC">
        <w:rPr>
          <w:rFonts w:ascii="Arial" w:hAnsi="Arial" w:cs="Arial"/>
        </w:rPr>
        <w:t xml:space="preserve"> </w:t>
      </w:r>
      <w:r w:rsidR="00BA727E" w:rsidRPr="00CD59CC">
        <w:rPr>
          <w:rFonts w:ascii="Arial" w:hAnsi="Arial" w:cs="Arial"/>
        </w:rPr>
        <w:t>through</w:t>
      </w:r>
      <w:r w:rsidR="007B7640" w:rsidRPr="00CD59CC">
        <w:rPr>
          <w:rFonts w:ascii="Arial" w:hAnsi="Arial" w:cs="Arial"/>
        </w:rPr>
        <w:t xml:space="preserve"> </w:t>
      </w:r>
      <w:r w:rsidR="00BA727E" w:rsidRPr="00CD59CC">
        <w:rPr>
          <w:rFonts w:ascii="Arial" w:hAnsi="Arial" w:cs="Arial"/>
        </w:rPr>
        <w:t>tax</w:t>
      </w:r>
      <w:r w:rsidR="007B7640" w:rsidRPr="00CD59CC">
        <w:rPr>
          <w:rFonts w:ascii="Arial" w:hAnsi="Arial" w:cs="Arial"/>
        </w:rPr>
        <w:t xml:space="preserve"> </w:t>
      </w:r>
      <w:r w:rsidR="00BA727E" w:rsidRPr="00CD59CC">
        <w:rPr>
          <w:rFonts w:ascii="Arial" w:hAnsi="Arial" w:cs="Arial"/>
        </w:rPr>
        <w:t>benefits</w:t>
      </w:r>
      <w:r w:rsidR="007B7640" w:rsidRPr="00CD59CC">
        <w:rPr>
          <w:rFonts w:ascii="Arial" w:hAnsi="Arial" w:cs="Arial"/>
        </w:rPr>
        <w:t xml:space="preserve"> </w:t>
      </w:r>
      <w:r w:rsidR="00BA727E" w:rsidRPr="00CD59CC">
        <w:rPr>
          <w:rFonts w:ascii="Arial" w:hAnsi="Arial" w:cs="Arial"/>
        </w:rPr>
        <w:t>(hereinafter</w:t>
      </w:r>
      <w:r w:rsidR="007B7640" w:rsidRPr="00CD59CC">
        <w:rPr>
          <w:rFonts w:ascii="Arial" w:hAnsi="Arial" w:cs="Arial"/>
        </w:rPr>
        <w:t xml:space="preserve"> </w:t>
      </w:r>
      <w:r w:rsidR="00BA727E" w:rsidRPr="00CD59CC">
        <w:rPr>
          <w:rFonts w:ascii="Arial" w:hAnsi="Arial" w:cs="Arial"/>
        </w:rPr>
        <w:t>collectively:</w:t>
      </w:r>
      <w:r w:rsidR="007B7640" w:rsidRPr="00CD59CC">
        <w:rPr>
          <w:rFonts w:ascii="Arial" w:hAnsi="Arial" w:cs="Arial"/>
        </w:rPr>
        <w:t xml:space="preserve"> </w:t>
      </w:r>
      <w:r w:rsidR="00BA727E" w:rsidRPr="00CD59CC">
        <w:rPr>
          <w:rFonts w:ascii="Arial" w:hAnsi="Arial" w:cs="Arial"/>
        </w:rPr>
        <w:t>education)”.</w:t>
      </w:r>
      <w:r w:rsidR="007B7640" w:rsidRPr="00CD59CC">
        <w:rPr>
          <w:rFonts w:ascii="Arial" w:hAnsi="Arial" w:cs="Arial"/>
        </w:rPr>
        <w:t xml:space="preserve"> </w:t>
      </w:r>
    </w:p>
    <w:p w14:paraId="5A66EDF8" w14:textId="77777777" w:rsidR="00BA727E" w:rsidRPr="00CD59CC" w:rsidRDefault="00BA727E" w:rsidP="00CD59CC">
      <w:pPr>
        <w:rPr>
          <w:rFonts w:ascii="Arial" w:hAnsi="Arial" w:cs="Arial"/>
        </w:rPr>
      </w:pPr>
    </w:p>
    <w:p w14:paraId="39C42D31" w14:textId="77777777" w:rsidR="00BA727E" w:rsidRPr="00CD59CC" w:rsidRDefault="00BA727E" w:rsidP="00CD59CC">
      <w:pPr>
        <w:rPr>
          <w:rFonts w:ascii="Arial" w:hAnsi="Arial" w:cs="Arial"/>
        </w:rPr>
      </w:pPr>
      <w:r w:rsidRPr="00CD59CC">
        <w:rPr>
          <w:rFonts w:ascii="Arial" w:hAnsi="Arial" w:cs="Arial"/>
        </w:rPr>
        <w:t>Furthermore,</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if</w:t>
      </w:r>
      <w:r w:rsidR="007B7640" w:rsidRPr="00CD59CC">
        <w:rPr>
          <w:rFonts w:ascii="Arial" w:hAnsi="Arial" w:cs="Arial"/>
        </w:rPr>
        <w:t xml:space="preserve"> </w:t>
      </w:r>
      <w:r w:rsidRPr="00CD59CC">
        <w:rPr>
          <w:rFonts w:ascii="Arial" w:hAnsi="Arial" w:cs="Arial"/>
        </w:rPr>
        <w:t>non-accredited</w:t>
      </w:r>
      <w:r w:rsidR="007B7640" w:rsidRPr="00CD59CC">
        <w:rPr>
          <w:rFonts w:ascii="Arial" w:hAnsi="Arial" w:cs="Arial"/>
        </w:rPr>
        <w:t xml:space="preserve"> </w:t>
      </w:r>
      <w:r w:rsidRPr="00CD59CC">
        <w:rPr>
          <w:rFonts w:ascii="Arial" w:hAnsi="Arial" w:cs="Arial"/>
        </w:rPr>
        <w:t>adult</w:t>
      </w:r>
      <w:r w:rsidR="007B7640" w:rsidRPr="00CD59CC">
        <w:rPr>
          <w:rFonts w:ascii="Arial" w:hAnsi="Arial" w:cs="Arial"/>
        </w:rPr>
        <w:t xml:space="preserve"> </w:t>
      </w:r>
      <w:r w:rsidRPr="00CD59CC">
        <w:rPr>
          <w:rFonts w:ascii="Arial" w:hAnsi="Arial" w:cs="Arial"/>
        </w:rPr>
        <w:t>lifelong</w:t>
      </w:r>
      <w:r w:rsidR="007B7640" w:rsidRPr="00CD59CC">
        <w:rPr>
          <w:rFonts w:ascii="Arial" w:hAnsi="Arial" w:cs="Arial"/>
        </w:rPr>
        <w:t xml:space="preserve"> </w:t>
      </w:r>
      <w:r w:rsidRPr="00CD59CC">
        <w:rPr>
          <w:rFonts w:ascii="Arial" w:hAnsi="Arial" w:cs="Arial"/>
        </w:rPr>
        <w:t>learning</w:t>
      </w:r>
      <w:r w:rsidR="007B7640" w:rsidRPr="00CD59CC">
        <w:rPr>
          <w:rFonts w:ascii="Arial" w:hAnsi="Arial" w:cs="Arial"/>
        </w:rPr>
        <w:t xml:space="preserve"> </w:t>
      </w:r>
      <w:r w:rsidRPr="00CD59CC">
        <w:rPr>
          <w:rFonts w:ascii="Arial" w:hAnsi="Arial" w:cs="Arial"/>
        </w:rPr>
        <w:t>courses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fall</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term</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sense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will</w:t>
      </w:r>
      <w:r w:rsidR="007B7640" w:rsidRPr="00CD59CC">
        <w:rPr>
          <w:rFonts w:ascii="Arial" w:hAnsi="Arial" w:cs="Arial"/>
        </w:rPr>
        <w:t xml:space="preserve"> </w:t>
      </w:r>
      <w:r w:rsidRPr="00CD59CC">
        <w:rPr>
          <w:rFonts w:ascii="Arial" w:hAnsi="Arial" w:cs="Arial"/>
        </w:rPr>
        <w:t>still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covered</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type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service</w:t>
      </w:r>
      <w:r w:rsidR="007B7640" w:rsidRPr="00CD59CC">
        <w:rPr>
          <w:rFonts w:ascii="Arial" w:hAnsi="Arial" w:cs="Arial"/>
        </w:rPr>
        <w:t xml:space="preserve"> </w:t>
      </w:r>
      <w:r w:rsidRPr="00CD59CC">
        <w:rPr>
          <w:rFonts w:ascii="Arial" w:hAnsi="Arial" w:cs="Arial"/>
        </w:rPr>
        <w:t>accessible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5</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private</w:t>
      </w:r>
      <w:r w:rsidR="007B7640" w:rsidRPr="00CD59CC">
        <w:rPr>
          <w:rFonts w:ascii="Arial" w:hAnsi="Arial" w:cs="Arial"/>
        </w:rPr>
        <w:t xml:space="preserve"> </w:t>
      </w:r>
      <w:r w:rsidRPr="00CD59CC">
        <w:rPr>
          <w:rFonts w:ascii="Arial" w:hAnsi="Arial" w:cs="Arial"/>
        </w:rPr>
        <w:t>actors</w:t>
      </w:r>
      <w:r w:rsidR="007B7640" w:rsidRPr="00CD59CC">
        <w:rPr>
          <w:rFonts w:ascii="Arial" w:hAnsi="Arial" w:cs="Arial"/>
        </w:rPr>
        <w:t xml:space="preserve"> </w:t>
      </w:r>
      <w:r w:rsidRPr="00CD59CC">
        <w:rPr>
          <w:rFonts w:ascii="Arial" w:hAnsi="Arial" w:cs="Arial"/>
        </w:rPr>
        <w:t>falling</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p>
    <w:p w14:paraId="3606926F" w14:textId="77777777" w:rsidR="00BA727E" w:rsidRPr="00CD59CC" w:rsidRDefault="00BA727E" w:rsidP="00CD59CC">
      <w:pPr>
        <w:rPr>
          <w:rFonts w:ascii="Arial" w:hAnsi="Arial" w:cs="Arial"/>
          <w:i/>
        </w:rPr>
      </w:pPr>
    </w:p>
    <w:p w14:paraId="352C79CD" w14:textId="01CD4DCA" w:rsidR="00BA727E" w:rsidRPr="00CD59CC" w:rsidRDefault="00BA727E"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14</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IV</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1991</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Promotion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enumerates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financial</w:t>
      </w:r>
      <w:r w:rsidR="007B7640" w:rsidRPr="00CD59CC">
        <w:rPr>
          <w:rFonts w:ascii="Arial" w:hAnsi="Arial" w:cs="Arial"/>
        </w:rPr>
        <w:t xml:space="preserve"> </w:t>
      </w:r>
      <w:r w:rsidRPr="00CD59CC">
        <w:rPr>
          <w:rFonts w:ascii="Arial" w:hAnsi="Arial" w:cs="Arial"/>
        </w:rPr>
        <w:t>support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may</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who</w:t>
      </w:r>
      <w:r w:rsidR="007B7640" w:rsidRPr="00CD59CC">
        <w:rPr>
          <w:rFonts w:ascii="Arial" w:hAnsi="Arial" w:cs="Arial"/>
        </w:rPr>
        <w:t xml:space="preserve"> </w:t>
      </w:r>
      <w:r w:rsidRPr="00CD59CC">
        <w:rPr>
          <w:rFonts w:ascii="Arial" w:hAnsi="Arial" w:cs="Arial"/>
        </w:rPr>
        <w:t>participate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training</w:t>
      </w:r>
      <w:r w:rsidR="007B7640" w:rsidRPr="00CD59CC">
        <w:rPr>
          <w:rFonts w:ascii="Arial" w:hAnsi="Arial" w:cs="Arial"/>
        </w:rPr>
        <w:t xml:space="preserve"> </w:t>
      </w:r>
      <w:r w:rsidRPr="00CD59CC">
        <w:rPr>
          <w:rFonts w:ascii="Arial" w:hAnsi="Arial" w:cs="Arial"/>
        </w:rPr>
        <w:t>program</w:t>
      </w:r>
      <w:r w:rsidR="007B7640" w:rsidRPr="00CD59CC">
        <w:rPr>
          <w:rFonts w:ascii="Arial" w:hAnsi="Arial" w:cs="Arial"/>
        </w:rPr>
        <w:t>me</w:t>
      </w:r>
      <w:r w:rsidRPr="00CD59CC">
        <w:rPr>
          <w:rFonts w:ascii="Arial" w:hAnsi="Arial" w:cs="Arial"/>
        </w:rPr>
        <w:t>s</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promoting</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Promotion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contains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clause</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prescribes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abided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p>
    <w:p w14:paraId="06498046" w14:textId="77777777" w:rsidR="00BA727E" w:rsidRPr="00CD59CC" w:rsidRDefault="00BA727E" w:rsidP="00CD59CC">
      <w:pPr>
        <w:rPr>
          <w:rFonts w:ascii="Arial" w:hAnsi="Arial" w:cs="Arial"/>
        </w:rPr>
      </w:pPr>
    </w:p>
    <w:p w14:paraId="4CCAA5E4" w14:textId="77777777" w:rsidR="002803A1" w:rsidRDefault="00BA727E" w:rsidP="002803A1">
      <w:pPr>
        <w:rPr>
          <w:rFonts w:ascii="Arial" w:hAnsi="Arial" w:cs="Arial"/>
        </w:rPr>
      </w:pPr>
      <w:r w:rsidRPr="00CD59CC">
        <w:rPr>
          <w:rFonts w:ascii="Arial" w:hAnsi="Arial" w:cs="Arial"/>
        </w:rPr>
        <w:t>Since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applies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forms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vocational</w:t>
      </w:r>
      <w:r w:rsidR="007B7640" w:rsidRPr="00CD59CC">
        <w:rPr>
          <w:rFonts w:ascii="Arial" w:hAnsi="Arial" w:cs="Arial"/>
        </w:rPr>
        <w:t xml:space="preserve"> </w:t>
      </w:r>
      <w:r w:rsidRPr="00CD59CC">
        <w:rPr>
          <w:rFonts w:ascii="Arial" w:hAnsi="Arial" w:cs="Arial"/>
        </w:rPr>
        <w:t>training</w:t>
      </w:r>
      <w:r w:rsidR="007B7640" w:rsidRPr="00CD59CC">
        <w:rPr>
          <w:rFonts w:ascii="Arial" w:hAnsi="Arial" w:cs="Arial"/>
        </w:rPr>
        <w:t xml:space="preserve"> </w:t>
      </w:r>
      <w:r w:rsidRPr="00CD59CC">
        <w:rPr>
          <w:rFonts w:ascii="Arial" w:hAnsi="Arial" w:cs="Arial"/>
        </w:rPr>
        <w:t>outside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employment</w:t>
      </w:r>
      <w:r w:rsidR="007B7640" w:rsidRPr="00CD59CC">
        <w:rPr>
          <w:rFonts w:ascii="Arial" w:hAnsi="Arial" w:cs="Arial"/>
        </w:rPr>
        <w:t xml:space="preserve"> </w:t>
      </w:r>
      <w:r w:rsidRPr="00CD59CC">
        <w:rPr>
          <w:rFonts w:ascii="Arial" w:hAnsi="Arial" w:cs="Arial"/>
        </w:rPr>
        <w:t>relationship</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technical</w:t>
      </w:r>
      <w:r w:rsidR="007B7640" w:rsidRPr="00CD59CC">
        <w:rPr>
          <w:rFonts w:ascii="Arial" w:hAnsi="Arial" w:cs="Arial"/>
        </w:rPr>
        <w:t xml:space="preserve"> </w:t>
      </w:r>
      <w:r w:rsidRPr="00CD59CC">
        <w:rPr>
          <w:rFonts w:ascii="Arial" w:hAnsi="Arial" w:cs="Arial"/>
        </w:rPr>
        <w:t>schools,</w:t>
      </w:r>
      <w:r w:rsidR="007B7640" w:rsidRPr="00CD59CC">
        <w:rPr>
          <w:rFonts w:ascii="Arial" w:hAnsi="Arial" w:cs="Arial"/>
        </w:rPr>
        <w:t xml:space="preserve"> </w:t>
      </w:r>
      <w:r w:rsidRPr="00CD59CC">
        <w:rPr>
          <w:rFonts w:ascii="Arial" w:hAnsi="Arial" w:cs="Arial"/>
        </w:rPr>
        <w:t>universities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educational</w:t>
      </w:r>
      <w:r w:rsidR="007B7640" w:rsidRPr="00CD59CC">
        <w:rPr>
          <w:rFonts w:ascii="Arial" w:hAnsi="Arial" w:cs="Arial"/>
        </w:rPr>
        <w:t xml:space="preserve"> </w:t>
      </w:r>
      <w:r w:rsidRPr="00CD59CC">
        <w:rPr>
          <w:rFonts w:ascii="Arial" w:hAnsi="Arial" w:cs="Arial"/>
        </w:rPr>
        <w:t>institution)</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falls</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legislation.</w:t>
      </w:r>
      <w:bookmarkStart w:id="159" w:name="_Toc220221155"/>
    </w:p>
    <w:p w14:paraId="783DED19" w14:textId="77777777" w:rsidR="002B5BCD" w:rsidRPr="00E34CF1" w:rsidRDefault="002B5BCD" w:rsidP="00BB4E9F">
      <w:bookmarkStart w:id="160" w:name="_Toc329163617"/>
      <w:bookmarkStart w:id="161" w:name="_Toc366846335"/>
      <w:r w:rsidRPr="00CD59CC">
        <w:rPr>
          <w:rFonts w:ascii="Arial" w:hAnsi="Arial"/>
        </w:rPr>
        <w:lastRenderedPageBreak/>
        <w:t>Membership</w:t>
      </w:r>
      <w:r w:rsidR="007B7640" w:rsidRPr="00CD59CC">
        <w:rPr>
          <w:rFonts w:ascii="Arial" w:hAnsi="Arial"/>
        </w:rPr>
        <w:t xml:space="preserve"> </w:t>
      </w:r>
      <w:r w:rsidRPr="00CD59CC">
        <w:rPr>
          <w:rFonts w:ascii="Arial" w:hAnsi="Arial"/>
        </w:rPr>
        <w:t>of,</w:t>
      </w:r>
      <w:r w:rsidR="007B7640" w:rsidRPr="00CD59CC">
        <w:rPr>
          <w:rFonts w:ascii="Arial" w:hAnsi="Arial"/>
        </w:rPr>
        <w:t xml:space="preserve"> </w:t>
      </w:r>
      <w:r w:rsidRPr="00CD59CC">
        <w:rPr>
          <w:rFonts w:ascii="Arial" w:hAnsi="Arial"/>
        </w:rPr>
        <w:t>and</w:t>
      </w:r>
      <w:r w:rsidR="007B7640" w:rsidRPr="00CD59CC">
        <w:rPr>
          <w:rFonts w:ascii="Arial" w:hAnsi="Arial"/>
        </w:rPr>
        <w:t xml:space="preserve"> </w:t>
      </w:r>
      <w:r w:rsidRPr="00CD59CC">
        <w:rPr>
          <w:rFonts w:ascii="Arial" w:hAnsi="Arial"/>
        </w:rPr>
        <w:t>involvement</w:t>
      </w:r>
      <w:r w:rsidR="007B7640" w:rsidRPr="00CD59CC">
        <w:rPr>
          <w:rFonts w:ascii="Arial" w:hAnsi="Arial"/>
        </w:rPr>
        <w:t xml:space="preserve"> </w:t>
      </w:r>
      <w:r w:rsidRPr="00CD59CC">
        <w:rPr>
          <w:rFonts w:ascii="Arial" w:hAnsi="Arial"/>
        </w:rPr>
        <w:t>in,</w:t>
      </w:r>
      <w:r w:rsidR="007B7640" w:rsidRPr="00CD59CC">
        <w:rPr>
          <w:rFonts w:ascii="Arial" w:hAnsi="Arial"/>
        </w:rPr>
        <w:t xml:space="preserve"> </w:t>
      </w:r>
      <w:r w:rsidRPr="00CD59CC">
        <w:rPr>
          <w:rFonts w:ascii="Arial" w:hAnsi="Arial"/>
        </w:rPr>
        <w:t>an</w:t>
      </w:r>
      <w:r w:rsidR="007B7640" w:rsidRPr="00CD59CC">
        <w:rPr>
          <w:rFonts w:ascii="Arial" w:hAnsi="Arial"/>
        </w:rPr>
        <w:t xml:space="preserve"> </w:t>
      </w:r>
      <w:r w:rsidRPr="00CD59CC">
        <w:rPr>
          <w:rFonts w:ascii="Arial" w:hAnsi="Arial"/>
        </w:rPr>
        <w:t>organisation</w:t>
      </w:r>
      <w:r w:rsidR="007B7640" w:rsidRPr="00CD59CC">
        <w:rPr>
          <w:rFonts w:ascii="Arial" w:hAnsi="Arial"/>
        </w:rPr>
        <w:t xml:space="preserve"> </w:t>
      </w:r>
      <w:r w:rsidRPr="00CD59CC">
        <w:rPr>
          <w:rFonts w:ascii="Arial" w:hAnsi="Arial"/>
        </w:rPr>
        <w:t>of</w:t>
      </w:r>
      <w:r w:rsidR="007B7640" w:rsidRPr="00CD59CC">
        <w:rPr>
          <w:rFonts w:ascii="Arial" w:hAnsi="Arial"/>
        </w:rPr>
        <w:t xml:space="preserve"> </w:t>
      </w:r>
      <w:r w:rsidRPr="00CD59CC">
        <w:rPr>
          <w:rFonts w:ascii="Arial" w:hAnsi="Arial"/>
        </w:rPr>
        <w:t>workers</w:t>
      </w:r>
      <w:r w:rsidR="007B7640" w:rsidRPr="00CD59CC">
        <w:rPr>
          <w:rFonts w:ascii="Arial" w:hAnsi="Arial"/>
        </w:rPr>
        <w:t xml:space="preserve"> </w:t>
      </w:r>
      <w:r w:rsidRPr="00CD59CC">
        <w:rPr>
          <w:rFonts w:ascii="Arial" w:hAnsi="Arial"/>
        </w:rPr>
        <w:t>or</w:t>
      </w:r>
      <w:r w:rsidR="007B7640" w:rsidRPr="00CD59CC">
        <w:rPr>
          <w:rFonts w:ascii="Arial" w:hAnsi="Arial"/>
        </w:rPr>
        <w:t xml:space="preserve"> </w:t>
      </w:r>
      <w:r w:rsidRPr="00CD59CC">
        <w:rPr>
          <w:rFonts w:ascii="Arial" w:hAnsi="Arial"/>
        </w:rPr>
        <w:t>employers,</w:t>
      </w:r>
      <w:r w:rsidR="007B7640" w:rsidRPr="00CD59CC">
        <w:rPr>
          <w:rFonts w:ascii="Arial" w:hAnsi="Arial"/>
        </w:rPr>
        <w:t xml:space="preserve"> </w:t>
      </w:r>
      <w:r w:rsidRPr="00CD59CC">
        <w:rPr>
          <w:rFonts w:ascii="Arial" w:hAnsi="Arial"/>
        </w:rPr>
        <w:t>or</w:t>
      </w:r>
      <w:r w:rsidR="007B7640" w:rsidRPr="00CD59CC">
        <w:rPr>
          <w:rFonts w:ascii="Arial" w:hAnsi="Arial"/>
        </w:rPr>
        <w:t xml:space="preserve"> </w:t>
      </w:r>
      <w:r w:rsidRPr="00CD59CC">
        <w:rPr>
          <w:rFonts w:ascii="Arial" w:hAnsi="Arial"/>
        </w:rPr>
        <w:t>any</w:t>
      </w:r>
      <w:r w:rsidR="007B7640" w:rsidRPr="00CD59CC">
        <w:rPr>
          <w:rFonts w:ascii="Arial" w:hAnsi="Arial"/>
        </w:rPr>
        <w:t xml:space="preserve"> </w:t>
      </w:r>
      <w:r w:rsidRPr="00CD59CC">
        <w:rPr>
          <w:rFonts w:ascii="Arial" w:hAnsi="Arial"/>
        </w:rPr>
        <w:t>organisation</w:t>
      </w:r>
      <w:r w:rsidR="007B7640" w:rsidRPr="00CD59CC">
        <w:rPr>
          <w:rFonts w:ascii="Arial" w:hAnsi="Arial"/>
        </w:rPr>
        <w:t xml:space="preserve"> </w:t>
      </w:r>
      <w:r w:rsidRPr="00CD59CC">
        <w:rPr>
          <w:rFonts w:ascii="Arial" w:hAnsi="Arial"/>
        </w:rPr>
        <w:t>whose</w:t>
      </w:r>
      <w:r w:rsidR="007B7640" w:rsidRPr="00CD59CC">
        <w:rPr>
          <w:rFonts w:ascii="Arial" w:hAnsi="Arial"/>
        </w:rPr>
        <w:t xml:space="preserve"> </w:t>
      </w:r>
      <w:r w:rsidRPr="00CD59CC">
        <w:rPr>
          <w:rFonts w:ascii="Arial" w:hAnsi="Arial"/>
        </w:rPr>
        <w:t>members</w:t>
      </w:r>
      <w:r w:rsidR="007B7640" w:rsidRPr="00CD59CC">
        <w:rPr>
          <w:rFonts w:ascii="Arial" w:hAnsi="Arial"/>
        </w:rPr>
        <w:t xml:space="preserve"> </w:t>
      </w:r>
      <w:r w:rsidRPr="00CD59CC">
        <w:rPr>
          <w:rFonts w:ascii="Arial" w:hAnsi="Arial"/>
        </w:rPr>
        <w:t>carry</w:t>
      </w:r>
      <w:r w:rsidR="007B7640" w:rsidRPr="00CD59CC">
        <w:rPr>
          <w:rFonts w:ascii="Arial" w:hAnsi="Arial"/>
        </w:rPr>
        <w:t xml:space="preserve"> </w:t>
      </w:r>
      <w:r w:rsidRPr="00CD59CC">
        <w:rPr>
          <w:rFonts w:ascii="Arial" w:hAnsi="Arial"/>
        </w:rPr>
        <w:t>on</w:t>
      </w:r>
      <w:r w:rsidR="007B7640" w:rsidRPr="00CD59CC">
        <w:rPr>
          <w:rFonts w:ascii="Arial" w:hAnsi="Arial"/>
        </w:rPr>
        <w:t xml:space="preserve"> </w:t>
      </w:r>
      <w:r w:rsidRPr="00CD59CC">
        <w:rPr>
          <w:rFonts w:ascii="Arial" w:hAnsi="Arial"/>
        </w:rPr>
        <w:t>a</w:t>
      </w:r>
      <w:r w:rsidR="007B7640" w:rsidRPr="00CD59CC">
        <w:rPr>
          <w:rFonts w:ascii="Arial" w:hAnsi="Arial"/>
        </w:rPr>
        <w:t xml:space="preserve"> </w:t>
      </w:r>
      <w:r w:rsidRPr="00CD59CC">
        <w:rPr>
          <w:rFonts w:ascii="Arial" w:hAnsi="Arial"/>
        </w:rPr>
        <w:t>particular</w:t>
      </w:r>
      <w:r w:rsidR="007B7640" w:rsidRPr="00CD59CC">
        <w:rPr>
          <w:rFonts w:ascii="Arial" w:hAnsi="Arial"/>
        </w:rPr>
        <w:t xml:space="preserve"> </w:t>
      </w:r>
      <w:r w:rsidRPr="00CD59CC">
        <w:rPr>
          <w:rFonts w:ascii="Arial" w:hAnsi="Arial"/>
        </w:rPr>
        <w:t>profession,</w:t>
      </w:r>
      <w:r w:rsidR="007B7640" w:rsidRPr="00CD59CC">
        <w:rPr>
          <w:rFonts w:ascii="Arial" w:hAnsi="Arial"/>
        </w:rPr>
        <w:t xml:space="preserve"> </w:t>
      </w:r>
      <w:r w:rsidRPr="00CD59CC">
        <w:rPr>
          <w:rFonts w:ascii="Arial" w:hAnsi="Arial"/>
        </w:rPr>
        <w:t>including</w:t>
      </w:r>
      <w:r w:rsidR="007B7640" w:rsidRPr="00CD59CC">
        <w:rPr>
          <w:rFonts w:ascii="Arial" w:hAnsi="Arial"/>
        </w:rPr>
        <w:t xml:space="preserve"> </w:t>
      </w:r>
      <w:r w:rsidRPr="00CD59CC">
        <w:rPr>
          <w:rFonts w:ascii="Arial" w:hAnsi="Arial"/>
        </w:rPr>
        <w:t>the</w:t>
      </w:r>
      <w:r w:rsidR="007B7640" w:rsidRPr="00CD59CC">
        <w:rPr>
          <w:rFonts w:ascii="Arial" w:hAnsi="Arial"/>
        </w:rPr>
        <w:t xml:space="preserve"> </w:t>
      </w:r>
      <w:r w:rsidRPr="00CD59CC">
        <w:rPr>
          <w:rFonts w:ascii="Arial" w:hAnsi="Arial"/>
        </w:rPr>
        <w:t>benefits</w:t>
      </w:r>
      <w:r w:rsidR="007B7640" w:rsidRPr="00CD59CC">
        <w:rPr>
          <w:rFonts w:ascii="Arial" w:hAnsi="Arial"/>
        </w:rPr>
        <w:t xml:space="preserve"> </w:t>
      </w:r>
      <w:r w:rsidRPr="00CD59CC">
        <w:rPr>
          <w:rFonts w:ascii="Arial" w:hAnsi="Arial"/>
        </w:rPr>
        <w:t>provided</w:t>
      </w:r>
      <w:r w:rsidR="007B7640" w:rsidRPr="00CD59CC">
        <w:rPr>
          <w:rFonts w:ascii="Arial" w:hAnsi="Arial"/>
        </w:rPr>
        <w:t xml:space="preserve"> </w:t>
      </w:r>
      <w:r w:rsidRPr="00CD59CC">
        <w:rPr>
          <w:rFonts w:ascii="Arial" w:hAnsi="Arial"/>
        </w:rPr>
        <w:t>for</w:t>
      </w:r>
      <w:r w:rsidR="007B7640" w:rsidRPr="00CD59CC">
        <w:rPr>
          <w:rFonts w:ascii="Arial" w:hAnsi="Arial"/>
        </w:rPr>
        <w:t xml:space="preserve"> </w:t>
      </w:r>
      <w:r w:rsidRPr="00CD59CC">
        <w:rPr>
          <w:rFonts w:ascii="Arial" w:hAnsi="Arial"/>
        </w:rPr>
        <w:t>by</w:t>
      </w:r>
      <w:r w:rsidR="007B7640" w:rsidRPr="00CD59CC">
        <w:rPr>
          <w:rFonts w:ascii="Arial" w:hAnsi="Arial"/>
        </w:rPr>
        <w:t xml:space="preserve"> </w:t>
      </w:r>
      <w:r w:rsidRPr="00CD59CC">
        <w:rPr>
          <w:rFonts w:ascii="Arial" w:hAnsi="Arial"/>
        </w:rPr>
        <w:t>such</w:t>
      </w:r>
      <w:r w:rsidR="007B7640" w:rsidRPr="00CD59CC">
        <w:rPr>
          <w:rFonts w:ascii="Arial" w:hAnsi="Arial"/>
        </w:rPr>
        <w:t xml:space="preserve"> </w:t>
      </w:r>
      <w:r w:rsidRPr="00CD59CC">
        <w:rPr>
          <w:rFonts w:ascii="Arial" w:hAnsi="Arial"/>
        </w:rPr>
        <w:t>organisations</w:t>
      </w:r>
      <w:r w:rsidR="007B7640" w:rsidRPr="00CD59CC">
        <w:rPr>
          <w:rFonts w:ascii="Arial" w:hAnsi="Arial"/>
        </w:rPr>
        <w:t xml:space="preserve"> </w:t>
      </w:r>
      <w:r w:rsidRPr="00CD59CC">
        <w:rPr>
          <w:rFonts w:ascii="Arial" w:hAnsi="Arial"/>
        </w:rPr>
        <w:t>(Article</w:t>
      </w:r>
      <w:r w:rsidR="007B7640" w:rsidRPr="00CD59CC">
        <w:rPr>
          <w:rFonts w:ascii="Arial" w:hAnsi="Arial"/>
        </w:rPr>
        <w:t xml:space="preserve"> </w:t>
      </w:r>
      <w:r w:rsidRPr="00CD59CC">
        <w:rPr>
          <w:rFonts w:ascii="Arial" w:hAnsi="Arial"/>
        </w:rPr>
        <w:t>3(1)(d))</w:t>
      </w:r>
      <w:bookmarkEnd w:id="159"/>
      <w:bookmarkEnd w:id="160"/>
      <w:bookmarkEnd w:id="161"/>
    </w:p>
    <w:p w14:paraId="7ABDE252" w14:textId="77777777" w:rsidR="002B5BCD" w:rsidRPr="00CD59CC" w:rsidRDefault="002B5BCD" w:rsidP="00CD59CC">
      <w:pPr>
        <w:rPr>
          <w:rFonts w:ascii="Arial" w:hAnsi="Arial" w:cs="Arial"/>
        </w:rPr>
      </w:pPr>
    </w:p>
    <w:p w14:paraId="61A068EF" w14:textId="77777777" w:rsidR="00071225" w:rsidRPr="00CD59CC" w:rsidRDefault="00071225" w:rsidP="00CD59CC">
      <w:pPr>
        <w:rPr>
          <w:rFonts w:ascii="Arial" w:hAnsi="Arial" w:cs="Arial"/>
        </w:rPr>
      </w:pPr>
      <w:r w:rsidRPr="00CD59CC">
        <w:rPr>
          <w:rFonts w:ascii="Arial" w:hAnsi="Arial" w:cs="Arial"/>
        </w:rPr>
        <w:t>Does</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include</w:t>
      </w:r>
      <w:r w:rsidR="007B7640" w:rsidRPr="00CD59CC">
        <w:rPr>
          <w:rFonts w:ascii="Arial" w:hAnsi="Arial" w:cs="Arial"/>
        </w:rPr>
        <w:t xml:space="preserve"> </w:t>
      </w:r>
      <w:r w:rsidRPr="00CD59CC">
        <w:rPr>
          <w:rFonts w:ascii="Arial" w:hAnsi="Arial" w:cs="Arial"/>
        </w:rPr>
        <w:t>membership</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involvement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workers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organisations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formulated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dealt</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legislation?</w:t>
      </w:r>
    </w:p>
    <w:p w14:paraId="61E6907C" w14:textId="77777777" w:rsidR="00071225" w:rsidRPr="00CD59CC" w:rsidRDefault="00071225" w:rsidP="00CD59CC">
      <w:pPr>
        <w:rPr>
          <w:rFonts w:ascii="Arial" w:hAnsi="Arial" w:cs="Arial"/>
        </w:rPr>
      </w:pPr>
    </w:p>
    <w:p w14:paraId="6404F99F" w14:textId="77777777" w:rsidR="00723A44" w:rsidRPr="00CD59CC" w:rsidRDefault="00723A44"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regulation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force</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October</w:t>
      </w:r>
      <w:r w:rsidR="007B7640" w:rsidRPr="00CD59CC">
        <w:rPr>
          <w:rFonts w:ascii="Arial" w:hAnsi="Arial" w:cs="Arial"/>
        </w:rPr>
        <w:t xml:space="preserve"> </w:t>
      </w:r>
      <w:r w:rsidRPr="00CD59CC">
        <w:rPr>
          <w:rFonts w:ascii="Arial" w:hAnsi="Arial" w:cs="Arial"/>
        </w:rPr>
        <w:t>2009,</w:t>
      </w:r>
      <w:r w:rsidR="007B7640" w:rsidRPr="00CD59CC">
        <w:rPr>
          <w:rFonts w:ascii="Arial" w:hAnsi="Arial" w:cs="Arial"/>
        </w:rPr>
        <w:t xml:space="preserve"> </w:t>
      </w:r>
      <w:r w:rsidRPr="00CD59CC">
        <w:rPr>
          <w:rFonts w:ascii="Arial" w:hAnsi="Arial" w:cs="Arial"/>
        </w:rPr>
        <w:t>organisations</w:t>
      </w:r>
      <w:r w:rsidR="007B7640" w:rsidRPr="00CD59CC">
        <w:rPr>
          <w:rFonts w:ascii="Arial" w:hAnsi="Arial" w:cs="Arial"/>
        </w:rPr>
        <w:t xml:space="preserve"> </w:t>
      </w:r>
      <w:r w:rsidRPr="00CD59CC">
        <w:rPr>
          <w:rFonts w:ascii="Arial" w:hAnsi="Arial" w:cs="Arial"/>
        </w:rPr>
        <w:t>representing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interests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workers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expressly</w:t>
      </w:r>
      <w:r w:rsidR="007B7640" w:rsidRPr="00CD59CC">
        <w:rPr>
          <w:rFonts w:ascii="Arial" w:hAnsi="Arial" w:cs="Arial"/>
        </w:rPr>
        <w:t xml:space="preserve"> </w:t>
      </w:r>
      <w:r w:rsidRPr="00CD59CC">
        <w:rPr>
          <w:rFonts w:ascii="Arial" w:hAnsi="Arial" w:cs="Arial"/>
        </w:rPr>
        <w:t>listed</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4</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defining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so</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obliged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abide</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actions,</w:t>
      </w:r>
      <w:r w:rsidR="007B7640" w:rsidRPr="00CD59CC">
        <w:rPr>
          <w:rFonts w:ascii="Arial" w:hAnsi="Arial" w:cs="Arial"/>
        </w:rPr>
        <w:t xml:space="preserve"> </w:t>
      </w:r>
      <w:r w:rsidRPr="00CD59CC">
        <w:rPr>
          <w:rFonts w:ascii="Arial" w:hAnsi="Arial" w:cs="Arial"/>
        </w:rPr>
        <w:t>practices,</w:t>
      </w:r>
      <w:r w:rsidR="007B7640" w:rsidRPr="00CD59CC">
        <w:rPr>
          <w:rFonts w:ascii="Arial" w:hAnsi="Arial" w:cs="Arial"/>
        </w:rPr>
        <w:t xml:space="preserve"> </w:t>
      </w:r>
      <w:r w:rsidRPr="00CD59CC">
        <w:rPr>
          <w:rFonts w:ascii="Arial" w:hAnsi="Arial" w:cs="Arial"/>
        </w:rPr>
        <w:t>polices,</w:t>
      </w:r>
      <w:r w:rsidR="007B7640" w:rsidRPr="00CD59CC">
        <w:rPr>
          <w:rFonts w:ascii="Arial" w:hAnsi="Arial" w:cs="Arial"/>
        </w:rPr>
        <w:t xml:space="preserve"> </w:t>
      </w:r>
      <w:r w:rsidRPr="00CD59CC">
        <w:rPr>
          <w:rFonts w:ascii="Arial" w:hAnsi="Arial" w:cs="Arial"/>
        </w:rPr>
        <w:t>measures,</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course</w:t>
      </w:r>
      <w:r w:rsidR="007B7640" w:rsidRPr="00CD59CC">
        <w:rPr>
          <w:rFonts w:ascii="Arial" w:hAnsi="Arial" w:cs="Arial"/>
        </w:rPr>
        <w:t xml:space="preserve"> </w:t>
      </w:r>
      <w:r w:rsidRPr="00CD59CC">
        <w:rPr>
          <w:rFonts w:ascii="Arial" w:hAnsi="Arial" w:cs="Arial"/>
        </w:rPr>
        <w:t>includes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benefits</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provide</w:t>
      </w:r>
      <w:r w:rsidR="007B7640" w:rsidRPr="00CD59CC">
        <w:rPr>
          <w:rFonts w:ascii="Arial" w:hAnsi="Arial" w:cs="Arial"/>
        </w:rPr>
        <w:t xml:space="preserve"> </w:t>
      </w:r>
      <w:r w:rsidRPr="00CD59CC">
        <w:rPr>
          <w:rFonts w:ascii="Arial" w:hAnsi="Arial" w:cs="Arial"/>
        </w:rPr>
        <w:t>too.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amendment</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makes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clear</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only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external</w:t>
      </w:r>
      <w:r w:rsidR="007B7640" w:rsidRPr="00CD59CC">
        <w:rPr>
          <w:rFonts w:ascii="Arial" w:hAnsi="Arial" w:cs="Arial"/>
        </w:rPr>
        <w:t xml:space="preserve"> </w:t>
      </w:r>
      <w:r w:rsidRPr="00CD59CC">
        <w:rPr>
          <w:rFonts w:ascii="Arial" w:hAnsi="Arial" w:cs="Arial"/>
        </w:rPr>
        <w:t>relations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interest</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employers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employees,</w:t>
      </w:r>
      <w:r w:rsidR="007B7640" w:rsidRPr="00CD59CC">
        <w:rPr>
          <w:rFonts w:ascii="Arial" w:hAnsi="Arial" w:cs="Arial"/>
        </w:rPr>
        <w:t xml:space="preserve"> </w:t>
      </w:r>
      <w:r w:rsidRPr="00CD59CC">
        <w:rPr>
          <w:rFonts w:ascii="Arial" w:hAnsi="Arial" w:cs="Arial"/>
        </w:rPr>
        <w:t>but</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exercise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members’</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participatory</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organisations</w:t>
      </w:r>
      <w:r w:rsidR="007B7640" w:rsidRPr="00CD59CC">
        <w:rPr>
          <w:rFonts w:ascii="Arial" w:hAnsi="Arial" w:cs="Arial"/>
        </w:rPr>
        <w:t xml:space="preserve"> </w:t>
      </w:r>
      <w:r w:rsidRPr="00CD59CC">
        <w:rPr>
          <w:rFonts w:ascii="Arial" w:hAnsi="Arial" w:cs="Arial"/>
        </w:rPr>
        <w:t>fall</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p>
    <w:p w14:paraId="2DE92659" w14:textId="77777777" w:rsidR="00723A44" w:rsidRPr="00CD59CC" w:rsidRDefault="00723A44" w:rsidP="00CD59CC">
      <w:pPr>
        <w:rPr>
          <w:rFonts w:ascii="Arial" w:hAnsi="Arial" w:cs="Arial"/>
        </w:rPr>
      </w:pPr>
    </w:p>
    <w:p w14:paraId="6470F926" w14:textId="77777777" w:rsidR="00723A44" w:rsidRPr="00CD59CC" w:rsidRDefault="00723A44" w:rsidP="00CD59CC">
      <w:pPr>
        <w:rPr>
          <w:rFonts w:ascii="Arial" w:hAnsi="Arial" w:cs="Arial"/>
        </w:rPr>
      </w:pPr>
      <w:r w:rsidRPr="00CD59CC">
        <w:rPr>
          <w:rFonts w:ascii="Arial" w:hAnsi="Arial" w:cs="Arial"/>
        </w:rPr>
        <w:t>So</w:t>
      </w:r>
      <w:r w:rsidR="007B7640" w:rsidRPr="00CD59CC">
        <w:rPr>
          <w:rFonts w:ascii="Arial" w:hAnsi="Arial" w:cs="Arial"/>
        </w:rPr>
        <w:t xml:space="preserve"> </w:t>
      </w:r>
      <w:r w:rsidRPr="00CD59CC">
        <w:rPr>
          <w:rFonts w:ascii="Arial" w:hAnsi="Arial" w:cs="Arial"/>
        </w:rPr>
        <w:t>called</w:t>
      </w:r>
      <w:r w:rsidR="007B7640" w:rsidRPr="00CD59CC">
        <w:rPr>
          <w:rFonts w:ascii="Arial" w:hAnsi="Arial" w:cs="Arial"/>
        </w:rPr>
        <w:t xml:space="preserve"> </w:t>
      </w:r>
      <w:r w:rsidRPr="00CD59CC">
        <w:rPr>
          <w:rFonts w:ascii="Arial" w:hAnsi="Arial" w:cs="Arial"/>
        </w:rPr>
        <w:t>public</w:t>
      </w:r>
      <w:r w:rsidR="007B7640" w:rsidRPr="00CD59CC">
        <w:rPr>
          <w:rFonts w:ascii="Arial" w:hAnsi="Arial" w:cs="Arial"/>
        </w:rPr>
        <w:t xml:space="preserve"> </w:t>
      </w:r>
      <w:r w:rsidRPr="00CD59CC">
        <w:rPr>
          <w:rFonts w:ascii="Arial" w:hAnsi="Arial" w:cs="Arial"/>
        </w:rPr>
        <w:t>associations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bar</w:t>
      </w:r>
      <w:r w:rsidR="007B7640" w:rsidRPr="00CD59CC">
        <w:rPr>
          <w:rFonts w:ascii="Arial" w:hAnsi="Arial" w:cs="Arial"/>
        </w:rPr>
        <w:t xml:space="preserve"> </w:t>
      </w:r>
      <w:r w:rsidRPr="00CD59CC">
        <w:rPr>
          <w:rFonts w:ascii="Arial" w:hAnsi="Arial" w:cs="Arial"/>
        </w:rPr>
        <w:t>associations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professional</w:t>
      </w:r>
      <w:r w:rsidR="007B7640" w:rsidRPr="00CD59CC">
        <w:rPr>
          <w:rFonts w:ascii="Arial" w:hAnsi="Arial" w:cs="Arial"/>
        </w:rPr>
        <w:t xml:space="preserve"> </w:t>
      </w:r>
      <w:r w:rsidRPr="00CD59CC">
        <w:rPr>
          <w:rFonts w:ascii="Arial" w:hAnsi="Arial" w:cs="Arial"/>
        </w:rPr>
        <w:t>chambers)</w:t>
      </w:r>
      <w:r w:rsidR="007B7640" w:rsidRPr="00CD59CC">
        <w:rPr>
          <w:rFonts w:ascii="Arial" w:hAnsi="Arial" w:cs="Arial"/>
        </w:rPr>
        <w:t xml:space="preserve"> </w:t>
      </w:r>
      <w:r w:rsidRPr="00CD59CC">
        <w:rPr>
          <w:rFonts w:ascii="Arial" w:hAnsi="Arial" w:cs="Arial"/>
        </w:rPr>
        <w:t>do</w:t>
      </w:r>
      <w:r w:rsidR="007B7640" w:rsidRPr="00CD59CC">
        <w:rPr>
          <w:rFonts w:ascii="Arial" w:hAnsi="Arial" w:cs="Arial"/>
        </w:rPr>
        <w:t xml:space="preserve"> </w:t>
      </w:r>
      <w:r w:rsidRPr="00CD59CC">
        <w:rPr>
          <w:rFonts w:ascii="Arial" w:hAnsi="Arial" w:cs="Arial"/>
        </w:rPr>
        <w:t>fall</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(see</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3.1.2).</w:t>
      </w:r>
      <w:r w:rsidR="007B7640" w:rsidRPr="00CD59CC">
        <w:rPr>
          <w:rFonts w:ascii="Arial" w:hAnsi="Arial" w:cs="Arial"/>
        </w:rPr>
        <w:t xml:space="preserve"> </w:t>
      </w:r>
    </w:p>
    <w:p w14:paraId="5D131852" w14:textId="77777777" w:rsidR="002B5BCD" w:rsidRPr="00CD59CC" w:rsidRDefault="002B5BCD" w:rsidP="00BB4E9F">
      <w:pPr>
        <w:spacing w:line="276" w:lineRule="auto"/>
        <w:rPr>
          <w:rFonts w:ascii="Arial" w:hAnsi="Arial" w:cs="Arial"/>
        </w:rPr>
      </w:pPr>
      <w:bookmarkStart w:id="162" w:name="_Toc220221156"/>
    </w:p>
    <w:p w14:paraId="4098E2BF" w14:textId="77777777" w:rsidR="00723A44" w:rsidRDefault="00723A44" w:rsidP="00CD59CC">
      <w:pPr>
        <w:rPr>
          <w:rFonts w:ascii="Arial" w:hAnsi="Arial" w:cs="Arial"/>
          <w:i/>
        </w:rPr>
      </w:pPr>
      <w:r w:rsidRPr="00CD59CC">
        <w:rPr>
          <w:rFonts w:ascii="Arial" w:hAnsi="Arial" w:cs="Arial"/>
          <w:i/>
        </w:rPr>
        <w:t>In</w:t>
      </w:r>
      <w:r w:rsidR="007B7640" w:rsidRPr="00CD59CC">
        <w:rPr>
          <w:rFonts w:ascii="Arial" w:hAnsi="Arial" w:cs="Arial"/>
          <w:i/>
        </w:rPr>
        <w:t xml:space="preserve"> </w:t>
      </w:r>
      <w:r w:rsidRPr="00CD59CC">
        <w:rPr>
          <w:rFonts w:ascii="Arial" w:hAnsi="Arial" w:cs="Arial"/>
          <w:i/>
        </w:rPr>
        <w:t>relation</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paragraphs</w:t>
      </w:r>
      <w:r w:rsidR="007B7640" w:rsidRPr="00CD59CC">
        <w:rPr>
          <w:rFonts w:ascii="Arial" w:hAnsi="Arial" w:cs="Arial"/>
          <w:i/>
        </w:rPr>
        <w:t xml:space="preserve"> </w:t>
      </w:r>
      <w:r w:rsidRPr="00CD59CC">
        <w:rPr>
          <w:rFonts w:ascii="Arial" w:hAnsi="Arial" w:cs="Arial"/>
          <w:i/>
        </w:rPr>
        <w:t>3.2.6</w:t>
      </w:r>
      <w:r w:rsidR="007B7640" w:rsidRPr="00CD59CC">
        <w:rPr>
          <w:rFonts w:ascii="Arial" w:hAnsi="Arial" w:cs="Arial"/>
          <w:i/>
        </w:rPr>
        <w:t xml:space="preserve"> </w:t>
      </w:r>
      <w:r w:rsidRPr="00CD59CC">
        <w:rPr>
          <w:rFonts w:ascii="Arial" w:hAnsi="Arial" w:cs="Arial"/>
          <w:i/>
        </w:rPr>
        <w:t>–</w:t>
      </w:r>
      <w:r w:rsidR="007B7640" w:rsidRPr="00CD59CC">
        <w:rPr>
          <w:rFonts w:ascii="Arial" w:hAnsi="Arial" w:cs="Arial"/>
          <w:i/>
        </w:rPr>
        <w:t xml:space="preserve"> </w:t>
      </w:r>
      <w:r w:rsidRPr="00CD59CC">
        <w:rPr>
          <w:rFonts w:ascii="Arial" w:hAnsi="Arial" w:cs="Arial"/>
          <w:i/>
        </w:rPr>
        <w:t>3.2.10</w:t>
      </w:r>
      <w:r w:rsidR="007B7640" w:rsidRPr="00CD59CC">
        <w:rPr>
          <w:rFonts w:ascii="Arial" w:hAnsi="Arial" w:cs="Arial"/>
          <w:i/>
        </w:rPr>
        <w:t xml:space="preserve"> </w:t>
      </w:r>
      <w:r w:rsidRPr="00CD59CC">
        <w:rPr>
          <w:rFonts w:ascii="Arial" w:hAnsi="Arial" w:cs="Arial"/>
          <w:i/>
        </w:rPr>
        <w:t>you</w:t>
      </w:r>
      <w:r w:rsidR="007B7640" w:rsidRPr="00CD59CC">
        <w:rPr>
          <w:rFonts w:ascii="Arial" w:hAnsi="Arial" w:cs="Arial"/>
          <w:i/>
        </w:rPr>
        <w:t xml:space="preserve"> </w:t>
      </w:r>
      <w:r w:rsidRPr="00CD59CC">
        <w:rPr>
          <w:rFonts w:ascii="Arial" w:hAnsi="Arial" w:cs="Arial"/>
          <w:i/>
        </w:rPr>
        <w:t>should</w:t>
      </w:r>
      <w:r w:rsidR="007B7640" w:rsidRPr="00CD59CC">
        <w:rPr>
          <w:rFonts w:ascii="Arial" w:hAnsi="Arial" w:cs="Arial"/>
          <w:i/>
        </w:rPr>
        <w:t xml:space="preserve"> </w:t>
      </w:r>
      <w:r w:rsidRPr="00CD59CC">
        <w:rPr>
          <w:rFonts w:ascii="Arial" w:hAnsi="Arial" w:cs="Arial"/>
          <w:i/>
        </w:rPr>
        <w:t>focus</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how</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based</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racial</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ethnic</w:t>
      </w:r>
      <w:r w:rsidR="007B7640" w:rsidRPr="00CD59CC">
        <w:rPr>
          <w:rFonts w:ascii="Arial" w:hAnsi="Arial" w:cs="Arial"/>
          <w:i/>
        </w:rPr>
        <w:t xml:space="preserve"> </w:t>
      </w:r>
      <w:r w:rsidRPr="00CD59CC">
        <w:rPr>
          <w:rFonts w:ascii="Arial" w:hAnsi="Arial" w:cs="Arial"/>
          <w:i/>
        </w:rPr>
        <w:t>origin</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covered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but</w:t>
      </w:r>
      <w:r w:rsidR="007B7640" w:rsidRPr="00CD59CC">
        <w:rPr>
          <w:rFonts w:ascii="Arial" w:hAnsi="Arial" w:cs="Arial"/>
          <w:i/>
        </w:rPr>
        <w:t xml:space="preserve"> </w:t>
      </w:r>
      <w:r w:rsidRPr="00CD59CC">
        <w:rPr>
          <w:rFonts w:ascii="Arial" w:hAnsi="Arial" w:cs="Arial"/>
          <w:i/>
        </w:rPr>
        <w:t>you</w:t>
      </w:r>
      <w:r w:rsidR="007B7640" w:rsidRPr="00CD59CC">
        <w:rPr>
          <w:rFonts w:ascii="Arial" w:hAnsi="Arial" w:cs="Arial"/>
          <w:i/>
        </w:rPr>
        <w:t xml:space="preserve"> </w:t>
      </w:r>
      <w:r w:rsidRPr="00CD59CC">
        <w:rPr>
          <w:rFonts w:ascii="Arial" w:hAnsi="Arial" w:cs="Arial"/>
          <w:i/>
        </w:rPr>
        <w:t>should</w:t>
      </w:r>
      <w:r w:rsidR="007B7640" w:rsidRPr="00CD59CC">
        <w:rPr>
          <w:rFonts w:ascii="Arial" w:hAnsi="Arial" w:cs="Arial"/>
          <w:i/>
        </w:rPr>
        <w:t xml:space="preserve"> </w:t>
      </w:r>
      <w:r w:rsidRPr="00CD59CC">
        <w:rPr>
          <w:rFonts w:ascii="Arial" w:hAnsi="Arial" w:cs="Arial"/>
          <w:i/>
        </w:rPr>
        <w:t>also</w:t>
      </w:r>
      <w:r w:rsidR="007B7640" w:rsidRPr="00CD59CC">
        <w:rPr>
          <w:rFonts w:ascii="Arial" w:hAnsi="Arial" w:cs="Arial"/>
          <w:i/>
        </w:rPr>
        <w:t xml:space="preserve"> </w:t>
      </w:r>
      <w:r w:rsidRPr="00CD59CC">
        <w:rPr>
          <w:rFonts w:ascii="Arial" w:hAnsi="Arial" w:cs="Arial"/>
          <w:i/>
        </w:rPr>
        <w:t>mention</w:t>
      </w:r>
      <w:r w:rsidR="007B7640" w:rsidRPr="00CD59CC">
        <w:rPr>
          <w:rFonts w:ascii="Arial" w:hAnsi="Arial" w:cs="Arial"/>
          <w:i/>
        </w:rPr>
        <w:t xml:space="preserve"> </w:t>
      </w:r>
      <w:r w:rsidRPr="00CD59CC">
        <w:rPr>
          <w:rFonts w:ascii="Arial" w:hAnsi="Arial" w:cs="Arial"/>
          <w:i/>
        </w:rPr>
        <w:t>if</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extends</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other</w:t>
      </w:r>
      <w:r w:rsidR="007B7640" w:rsidRPr="00CD59CC">
        <w:rPr>
          <w:rFonts w:ascii="Arial" w:hAnsi="Arial" w:cs="Arial"/>
          <w:i/>
        </w:rPr>
        <w:t xml:space="preserve"> </w:t>
      </w:r>
      <w:r w:rsidRPr="00CD59CC">
        <w:rPr>
          <w:rFonts w:ascii="Arial" w:hAnsi="Arial" w:cs="Arial"/>
          <w:i/>
        </w:rPr>
        <w:t>grounds.</w:t>
      </w:r>
    </w:p>
    <w:p w14:paraId="443F94E0" w14:textId="77777777" w:rsidR="00CD59CC" w:rsidRPr="00BB4E9F" w:rsidRDefault="00CD59CC" w:rsidP="00CD59CC">
      <w:pPr>
        <w:rPr>
          <w:rFonts w:ascii="Arial" w:hAnsi="Arial"/>
          <w:i/>
        </w:rPr>
      </w:pPr>
    </w:p>
    <w:p w14:paraId="563F26E5" w14:textId="77777777" w:rsidR="002B5BCD" w:rsidRPr="00CD59CC" w:rsidRDefault="002B5BCD" w:rsidP="00CD59CC">
      <w:pPr>
        <w:pStyle w:val="Heading3"/>
        <w:rPr>
          <w:rFonts w:cs="Arial"/>
        </w:rPr>
      </w:pPr>
      <w:bookmarkStart w:id="163" w:name="_Toc392758726"/>
      <w:bookmarkStart w:id="164" w:name="_Toc329163618"/>
      <w:bookmarkStart w:id="165" w:name="_Toc366846336"/>
      <w:r w:rsidRPr="00CD59CC">
        <w:rPr>
          <w:rFonts w:cs="Arial"/>
        </w:rPr>
        <w:t>Social</w:t>
      </w:r>
      <w:r w:rsidR="007B7640" w:rsidRPr="00CD59CC">
        <w:rPr>
          <w:rFonts w:cs="Arial"/>
        </w:rPr>
        <w:t xml:space="preserve"> </w:t>
      </w:r>
      <w:r w:rsidRPr="00CD59CC">
        <w:rPr>
          <w:rFonts w:cs="Arial"/>
        </w:rPr>
        <w:t>protection,</w:t>
      </w:r>
      <w:r w:rsidR="007B7640" w:rsidRPr="00CD59CC">
        <w:rPr>
          <w:rFonts w:cs="Arial"/>
        </w:rPr>
        <w:t xml:space="preserve"> </w:t>
      </w:r>
      <w:r w:rsidRPr="00CD59CC">
        <w:rPr>
          <w:rFonts w:cs="Arial"/>
        </w:rPr>
        <w:t>including</w:t>
      </w:r>
      <w:r w:rsidR="007B7640" w:rsidRPr="00CD59CC">
        <w:rPr>
          <w:rFonts w:cs="Arial"/>
        </w:rPr>
        <w:t xml:space="preserve"> </w:t>
      </w:r>
      <w:r w:rsidRPr="00CD59CC">
        <w:rPr>
          <w:rFonts w:cs="Arial"/>
        </w:rPr>
        <w:t>social</w:t>
      </w:r>
      <w:r w:rsidR="007B7640" w:rsidRPr="00CD59CC">
        <w:rPr>
          <w:rFonts w:cs="Arial"/>
        </w:rPr>
        <w:t xml:space="preserve"> </w:t>
      </w:r>
      <w:r w:rsidRPr="00CD59CC">
        <w:rPr>
          <w:rFonts w:cs="Arial"/>
        </w:rPr>
        <w:t>security</w:t>
      </w:r>
      <w:r w:rsidR="007B7640" w:rsidRPr="00CD59CC">
        <w:rPr>
          <w:rFonts w:cs="Arial"/>
        </w:rPr>
        <w:t xml:space="preserve"> </w:t>
      </w:r>
      <w:r w:rsidRPr="00CD59CC">
        <w:rPr>
          <w:rFonts w:cs="Arial"/>
        </w:rPr>
        <w:t>and</w:t>
      </w:r>
      <w:r w:rsidR="007B7640" w:rsidRPr="00CD59CC">
        <w:rPr>
          <w:rFonts w:cs="Arial"/>
        </w:rPr>
        <w:t xml:space="preserve"> </w:t>
      </w:r>
      <w:r w:rsidRPr="00CD59CC">
        <w:rPr>
          <w:rFonts w:cs="Arial"/>
        </w:rPr>
        <w:t>healthcare</w:t>
      </w:r>
      <w:r w:rsidR="007B7640" w:rsidRPr="00CD59CC">
        <w:rPr>
          <w:rFonts w:cs="Arial"/>
        </w:rPr>
        <w:t xml:space="preserve"> </w:t>
      </w:r>
      <w:r w:rsidRPr="00CD59CC">
        <w:rPr>
          <w:rFonts w:cs="Arial"/>
        </w:rPr>
        <w:t>(Article</w:t>
      </w:r>
      <w:r w:rsidR="007B7640" w:rsidRPr="00CD59CC">
        <w:rPr>
          <w:rFonts w:cs="Arial"/>
        </w:rPr>
        <w:t xml:space="preserve"> </w:t>
      </w:r>
      <w:r w:rsidRPr="00CD59CC">
        <w:rPr>
          <w:rFonts w:cs="Arial"/>
        </w:rPr>
        <w:t>3(1)(e)</w:t>
      </w:r>
      <w:r w:rsidR="007B7640" w:rsidRPr="00CD59CC">
        <w:rPr>
          <w:rFonts w:cs="Arial"/>
        </w:rPr>
        <w:t xml:space="preserve"> </w:t>
      </w:r>
      <w:r w:rsidRPr="00CD59CC">
        <w:rPr>
          <w:rFonts w:cs="Arial"/>
        </w:rPr>
        <w:t>Directive</w:t>
      </w:r>
      <w:r w:rsidR="007B7640" w:rsidRPr="00CD59CC">
        <w:rPr>
          <w:rFonts w:cs="Arial"/>
        </w:rPr>
        <w:t xml:space="preserve"> </w:t>
      </w:r>
      <w:r w:rsidRPr="00CD59CC">
        <w:rPr>
          <w:rFonts w:cs="Arial"/>
        </w:rPr>
        <w:t>2000/43)</w:t>
      </w:r>
      <w:bookmarkEnd w:id="162"/>
      <w:bookmarkEnd w:id="163"/>
      <w:bookmarkEnd w:id="164"/>
      <w:bookmarkEnd w:id="165"/>
    </w:p>
    <w:p w14:paraId="4FC41102" w14:textId="77777777" w:rsidR="002B5BCD" w:rsidRPr="00CD59CC" w:rsidRDefault="002B5BCD" w:rsidP="00CD59CC">
      <w:pPr>
        <w:rPr>
          <w:rFonts w:ascii="Arial" w:hAnsi="Arial" w:cs="Arial"/>
        </w:rPr>
      </w:pPr>
    </w:p>
    <w:p w14:paraId="2FCD5032" w14:textId="77777777" w:rsidR="00B56EFF" w:rsidRPr="00B97ED3" w:rsidRDefault="00B56EFF" w:rsidP="00CD59CC">
      <w:pPr>
        <w:rPr>
          <w:rFonts w:ascii="Arial" w:hAnsi="Arial" w:cs="Arial"/>
          <w:i/>
        </w:rPr>
      </w:pPr>
      <w:r w:rsidRPr="00B97ED3">
        <w:rPr>
          <w:rFonts w:ascii="Arial" w:hAnsi="Arial" w:cs="Arial"/>
          <w:i/>
        </w:rPr>
        <w:t>Does</w:t>
      </w:r>
      <w:r w:rsidR="007B7640" w:rsidRPr="00B97ED3">
        <w:rPr>
          <w:rFonts w:ascii="Arial" w:hAnsi="Arial" w:cs="Arial"/>
          <w:i/>
        </w:rPr>
        <w:t xml:space="preserve"> </w:t>
      </w:r>
      <w:r w:rsidRPr="00B97ED3">
        <w:rPr>
          <w:rFonts w:ascii="Arial" w:hAnsi="Arial" w:cs="Arial"/>
          <w:i/>
        </w:rPr>
        <w:t>national</w:t>
      </w:r>
      <w:r w:rsidR="007B7640" w:rsidRPr="00B97ED3">
        <w:rPr>
          <w:rFonts w:ascii="Arial" w:hAnsi="Arial" w:cs="Arial"/>
          <w:i/>
        </w:rPr>
        <w:t xml:space="preserve"> </w:t>
      </w:r>
      <w:r w:rsidRPr="00B97ED3">
        <w:rPr>
          <w:rFonts w:ascii="Arial" w:hAnsi="Arial" w:cs="Arial"/>
          <w:i/>
        </w:rPr>
        <w:t>law</w:t>
      </w:r>
      <w:r w:rsidR="007B7640" w:rsidRPr="00B97ED3">
        <w:rPr>
          <w:rFonts w:ascii="Arial" w:hAnsi="Arial" w:cs="Arial"/>
          <w:i/>
        </w:rPr>
        <w:t xml:space="preserve"> </w:t>
      </w:r>
      <w:r w:rsidRPr="00B97ED3">
        <w:rPr>
          <w:rFonts w:ascii="Arial" w:hAnsi="Arial" w:cs="Arial"/>
          <w:i/>
        </w:rPr>
        <w:t>on</w:t>
      </w:r>
      <w:r w:rsidR="007B7640" w:rsidRPr="00B97ED3">
        <w:rPr>
          <w:rFonts w:ascii="Arial" w:hAnsi="Arial" w:cs="Arial"/>
          <w:i/>
        </w:rPr>
        <w:t xml:space="preserve"> </w:t>
      </w:r>
      <w:r w:rsidRPr="00B97ED3">
        <w:rPr>
          <w:rFonts w:ascii="Arial" w:hAnsi="Arial" w:cs="Arial"/>
          <w:i/>
        </w:rPr>
        <w:t>discrimination</w:t>
      </w:r>
      <w:r w:rsidR="007B7640" w:rsidRPr="00B97ED3">
        <w:rPr>
          <w:rFonts w:ascii="Arial" w:hAnsi="Arial" w:cs="Arial"/>
          <w:i/>
        </w:rPr>
        <w:t xml:space="preserve"> </w:t>
      </w:r>
      <w:r w:rsidR="00EF696E" w:rsidRPr="00B97ED3">
        <w:rPr>
          <w:rFonts w:ascii="Arial" w:hAnsi="Arial" w:cs="Arial"/>
          <w:i/>
        </w:rPr>
        <w:t>cover</w:t>
      </w:r>
      <w:r w:rsidR="007B7640" w:rsidRPr="00B97ED3">
        <w:rPr>
          <w:rFonts w:ascii="Arial" w:hAnsi="Arial" w:cs="Arial"/>
          <w:i/>
        </w:rPr>
        <w:t xml:space="preserve"> </w:t>
      </w:r>
      <w:r w:rsidRPr="00B97ED3">
        <w:rPr>
          <w:rFonts w:ascii="Arial" w:hAnsi="Arial" w:cs="Arial"/>
          <w:i/>
        </w:rPr>
        <w:t>social</w:t>
      </w:r>
      <w:r w:rsidR="007B7640" w:rsidRPr="00B97ED3">
        <w:rPr>
          <w:rFonts w:ascii="Arial" w:hAnsi="Arial" w:cs="Arial"/>
          <w:i/>
        </w:rPr>
        <w:t xml:space="preserve"> </w:t>
      </w:r>
      <w:r w:rsidRPr="00B97ED3">
        <w:rPr>
          <w:rFonts w:ascii="Arial" w:hAnsi="Arial" w:cs="Arial"/>
          <w:i/>
        </w:rPr>
        <w:t>protection,</w:t>
      </w:r>
      <w:r w:rsidR="007B7640" w:rsidRPr="00B97ED3">
        <w:rPr>
          <w:rFonts w:ascii="Arial" w:hAnsi="Arial" w:cs="Arial"/>
          <w:i/>
        </w:rPr>
        <w:t xml:space="preserve"> </w:t>
      </w:r>
      <w:r w:rsidRPr="00B97ED3">
        <w:rPr>
          <w:rFonts w:ascii="Arial" w:hAnsi="Arial" w:cs="Arial"/>
          <w:i/>
        </w:rPr>
        <w:t>including</w:t>
      </w:r>
      <w:r w:rsidR="007B7640" w:rsidRPr="00B97ED3">
        <w:rPr>
          <w:rFonts w:ascii="Arial" w:hAnsi="Arial" w:cs="Arial"/>
          <w:i/>
        </w:rPr>
        <w:t xml:space="preserve"> </w:t>
      </w:r>
      <w:r w:rsidRPr="00B97ED3">
        <w:rPr>
          <w:rFonts w:ascii="Arial" w:hAnsi="Arial" w:cs="Arial"/>
          <w:i/>
        </w:rPr>
        <w:t>social</w:t>
      </w:r>
      <w:r w:rsidR="007B7640" w:rsidRPr="00B97ED3">
        <w:rPr>
          <w:rFonts w:ascii="Arial" w:hAnsi="Arial" w:cs="Arial"/>
          <w:i/>
        </w:rPr>
        <w:t xml:space="preserve"> </w:t>
      </w:r>
      <w:r w:rsidRPr="00B97ED3">
        <w:rPr>
          <w:rFonts w:ascii="Arial" w:hAnsi="Arial" w:cs="Arial"/>
          <w:i/>
        </w:rPr>
        <w:t>security</w:t>
      </w:r>
      <w:r w:rsidR="007B7640" w:rsidRPr="00B97ED3">
        <w:rPr>
          <w:rFonts w:ascii="Arial" w:hAnsi="Arial" w:cs="Arial"/>
          <w:i/>
        </w:rPr>
        <w:t xml:space="preserve"> </w:t>
      </w:r>
      <w:r w:rsidRPr="00B97ED3">
        <w:rPr>
          <w:rFonts w:ascii="Arial" w:hAnsi="Arial" w:cs="Arial"/>
          <w:i/>
        </w:rPr>
        <w:t>and</w:t>
      </w:r>
      <w:r w:rsidR="007B7640" w:rsidRPr="00B97ED3">
        <w:rPr>
          <w:rFonts w:ascii="Arial" w:hAnsi="Arial" w:cs="Arial"/>
          <w:i/>
        </w:rPr>
        <w:t xml:space="preserve"> </w:t>
      </w:r>
      <w:r w:rsidRPr="00B97ED3">
        <w:rPr>
          <w:rFonts w:ascii="Arial" w:hAnsi="Arial" w:cs="Arial"/>
          <w:i/>
        </w:rPr>
        <w:t>healthcare?</w:t>
      </w:r>
      <w:r w:rsidR="007B7640" w:rsidRPr="00B97ED3">
        <w:rPr>
          <w:rFonts w:ascii="Arial" w:hAnsi="Arial" w:cs="Arial"/>
          <w:i/>
        </w:rPr>
        <w:t xml:space="preserve"> </w:t>
      </w:r>
      <w:r w:rsidR="00EF696E" w:rsidRPr="00B97ED3">
        <w:rPr>
          <w:rFonts w:ascii="Arial" w:hAnsi="Arial" w:cs="Arial"/>
          <w:i/>
        </w:rPr>
        <w:t>In</w:t>
      </w:r>
      <w:r w:rsidR="007B7640" w:rsidRPr="00B97ED3">
        <w:rPr>
          <w:rFonts w:ascii="Arial" w:hAnsi="Arial" w:cs="Arial"/>
          <w:i/>
        </w:rPr>
        <w:t xml:space="preserve"> </w:t>
      </w:r>
      <w:r w:rsidR="00EF696E" w:rsidRPr="00B97ED3">
        <w:rPr>
          <w:rFonts w:ascii="Arial" w:hAnsi="Arial" w:cs="Arial"/>
          <w:i/>
        </w:rPr>
        <w:t>case</w:t>
      </w:r>
      <w:r w:rsidR="007B7640" w:rsidRPr="00B97ED3">
        <w:rPr>
          <w:rFonts w:ascii="Arial" w:hAnsi="Arial" w:cs="Arial"/>
          <w:i/>
        </w:rPr>
        <w:t xml:space="preserve"> </w:t>
      </w:r>
      <w:r w:rsidR="00EF696E" w:rsidRPr="00B97ED3">
        <w:rPr>
          <w:rFonts w:ascii="Arial" w:hAnsi="Arial" w:cs="Arial"/>
          <w:i/>
        </w:rPr>
        <w:t>national</w:t>
      </w:r>
      <w:r w:rsidR="007B7640" w:rsidRPr="00B97ED3">
        <w:rPr>
          <w:rFonts w:ascii="Arial" w:hAnsi="Arial" w:cs="Arial"/>
          <w:i/>
        </w:rPr>
        <w:t xml:space="preserve"> </w:t>
      </w:r>
      <w:r w:rsidR="00EF696E" w:rsidRPr="00B97ED3">
        <w:rPr>
          <w:rFonts w:ascii="Arial" w:hAnsi="Arial" w:cs="Arial"/>
          <w:i/>
        </w:rPr>
        <w:t>anti-discrimination</w:t>
      </w:r>
      <w:r w:rsidR="007B7640" w:rsidRPr="00B97ED3">
        <w:rPr>
          <w:rFonts w:ascii="Arial" w:hAnsi="Arial" w:cs="Arial"/>
          <w:i/>
        </w:rPr>
        <w:t xml:space="preserve"> </w:t>
      </w:r>
      <w:r w:rsidR="00EF696E" w:rsidRPr="00B97ED3">
        <w:rPr>
          <w:rFonts w:ascii="Arial" w:hAnsi="Arial" w:cs="Arial"/>
          <w:i/>
        </w:rPr>
        <w:t>law</w:t>
      </w:r>
      <w:r w:rsidR="007B7640" w:rsidRPr="00B97ED3">
        <w:rPr>
          <w:rFonts w:ascii="Arial" w:hAnsi="Arial" w:cs="Arial"/>
          <w:i/>
        </w:rPr>
        <w:t xml:space="preserve"> </w:t>
      </w:r>
      <w:r w:rsidR="00EF696E" w:rsidRPr="00B97ED3">
        <w:rPr>
          <w:rFonts w:ascii="Arial" w:hAnsi="Arial" w:cs="Arial"/>
          <w:i/>
        </w:rPr>
        <w:t>does</w:t>
      </w:r>
      <w:r w:rsidR="007B7640" w:rsidRPr="00B97ED3">
        <w:rPr>
          <w:rFonts w:ascii="Arial" w:hAnsi="Arial" w:cs="Arial"/>
          <w:i/>
        </w:rPr>
        <w:t xml:space="preserve"> </w:t>
      </w:r>
      <w:r w:rsidR="00EF696E" w:rsidRPr="00B97ED3">
        <w:rPr>
          <w:rFonts w:ascii="Arial" w:hAnsi="Arial" w:cs="Arial"/>
          <w:i/>
        </w:rPr>
        <w:t>not</w:t>
      </w:r>
      <w:r w:rsidR="007B7640" w:rsidRPr="00B97ED3">
        <w:rPr>
          <w:rFonts w:ascii="Arial" w:hAnsi="Arial" w:cs="Arial"/>
          <w:i/>
        </w:rPr>
        <w:t xml:space="preserve"> </w:t>
      </w:r>
      <w:r w:rsidR="00EF696E" w:rsidRPr="00B97ED3">
        <w:rPr>
          <w:rFonts w:ascii="Arial" w:hAnsi="Arial" w:cs="Arial"/>
          <w:i/>
        </w:rPr>
        <w:t>do</w:t>
      </w:r>
      <w:r w:rsidR="007B7640" w:rsidRPr="00B97ED3">
        <w:rPr>
          <w:rFonts w:ascii="Arial" w:hAnsi="Arial" w:cs="Arial"/>
          <w:i/>
        </w:rPr>
        <w:t xml:space="preserve"> </w:t>
      </w:r>
      <w:r w:rsidR="00EF696E" w:rsidRPr="00B97ED3">
        <w:rPr>
          <w:rFonts w:ascii="Arial" w:hAnsi="Arial" w:cs="Arial"/>
          <w:i/>
        </w:rPr>
        <w:t>so,</w:t>
      </w:r>
      <w:r w:rsidR="007B7640" w:rsidRPr="00B97ED3">
        <w:rPr>
          <w:rFonts w:ascii="Arial" w:hAnsi="Arial" w:cs="Arial"/>
          <w:i/>
        </w:rPr>
        <w:t xml:space="preserve"> </w:t>
      </w:r>
      <w:r w:rsidR="00EF696E" w:rsidRPr="00B97ED3">
        <w:rPr>
          <w:rFonts w:ascii="Arial" w:hAnsi="Arial" w:cs="Arial"/>
          <w:i/>
        </w:rPr>
        <w:t>is</w:t>
      </w:r>
      <w:r w:rsidR="007B7640" w:rsidRPr="00B97ED3">
        <w:rPr>
          <w:rFonts w:ascii="Arial" w:hAnsi="Arial" w:cs="Arial"/>
          <w:i/>
        </w:rPr>
        <w:t xml:space="preserve"> </w:t>
      </w:r>
      <w:r w:rsidR="00EF696E" w:rsidRPr="00B97ED3">
        <w:rPr>
          <w:rFonts w:ascii="Arial" w:hAnsi="Arial" w:cs="Arial"/>
          <w:i/>
        </w:rPr>
        <w:t>it</w:t>
      </w:r>
      <w:r w:rsidR="007B7640" w:rsidRPr="00B97ED3">
        <w:rPr>
          <w:rFonts w:ascii="Arial" w:hAnsi="Arial" w:cs="Arial"/>
          <w:i/>
        </w:rPr>
        <w:t xml:space="preserve"> </w:t>
      </w:r>
      <w:r w:rsidR="00EF696E" w:rsidRPr="00B97ED3">
        <w:rPr>
          <w:rFonts w:ascii="Arial" w:hAnsi="Arial" w:cs="Arial"/>
          <w:i/>
        </w:rPr>
        <w:t>dealt</w:t>
      </w:r>
      <w:r w:rsidR="007B7640" w:rsidRPr="00B97ED3">
        <w:rPr>
          <w:rFonts w:ascii="Arial" w:hAnsi="Arial" w:cs="Arial"/>
          <w:i/>
        </w:rPr>
        <w:t xml:space="preserve"> </w:t>
      </w:r>
      <w:r w:rsidR="00EF696E" w:rsidRPr="00B97ED3">
        <w:rPr>
          <w:rFonts w:ascii="Arial" w:hAnsi="Arial" w:cs="Arial"/>
          <w:i/>
        </w:rPr>
        <w:t>with</w:t>
      </w:r>
      <w:r w:rsidR="007B7640" w:rsidRPr="00B97ED3">
        <w:rPr>
          <w:rFonts w:ascii="Arial" w:hAnsi="Arial" w:cs="Arial"/>
          <w:i/>
        </w:rPr>
        <w:t xml:space="preserve"> </w:t>
      </w:r>
      <w:r w:rsidR="00EF696E" w:rsidRPr="00B97ED3">
        <w:rPr>
          <w:rFonts w:ascii="Arial" w:hAnsi="Arial" w:cs="Arial"/>
          <w:i/>
        </w:rPr>
        <w:t>in</w:t>
      </w:r>
      <w:r w:rsidR="007B7640" w:rsidRPr="00B97ED3">
        <w:rPr>
          <w:rFonts w:ascii="Arial" w:hAnsi="Arial" w:cs="Arial"/>
          <w:i/>
        </w:rPr>
        <w:t xml:space="preserve"> </w:t>
      </w:r>
      <w:r w:rsidR="00EF696E" w:rsidRPr="00B97ED3">
        <w:rPr>
          <w:rFonts w:ascii="Arial" w:hAnsi="Arial" w:cs="Arial"/>
          <w:i/>
        </w:rPr>
        <w:t>any</w:t>
      </w:r>
      <w:r w:rsidR="007B7640" w:rsidRPr="00B97ED3">
        <w:rPr>
          <w:rFonts w:ascii="Arial" w:hAnsi="Arial" w:cs="Arial"/>
          <w:i/>
        </w:rPr>
        <w:t xml:space="preserve"> </w:t>
      </w:r>
      <w:r w:rsidR="00EF696E" w:rsidRPr="00B97ED3">
        <w:rPr>
          <w:rFonts w:ascii="Arial" w:hAnsi="Arial" w:cs="Arial"/>
          <w:i/>
        </w:rPr>
        <w:t>other</w:t>
      </w:r>
      <w:r w:rsidR="007B7640" w:rsidRPr="00B97ED3">
        <w:rPr>
          <w:rFonts w:ascii="Arial" w:hAnsi="Arial" w:cs="Arial"/>
          <w:i/>
        </w:rPr>
        <w:t xml:space="preserve"> </w:t>
      </w:r>
      <w:r w:rsidR="00EF696E" w:rsidRPr="00B97ED3">
        <w:rPr>
          <w:rFonts w:ascii="Arial" w:hAnsi="Arial" w:cs="Arial"/>
          <w:i/>
        </w:rPr>
        <w:t>legislation?</w:t>
      </w:r>
    </w:p>
    <w:p w14:paraId="728A592A" w14:textId="77777777" w:rsidR="00B56EFF" w:rsidRPr="00CD59CC" w:rsidRDefault="00B56EFF" w:rsidP="00CD59CC">
      <w:pPr>
        <w:rPr>
          <w:rFonts w:ascii="Arial" w:hAnsi="Arial" w:cs="Arial"/>
        </w:rPr>
      </w:pPr>
    </w:p>
    <w:p w14:paraId="408B99A4" w14:textId="77777777" w:rsidR="002B5BCD" w:rsidRPr="00CD59CC" w:rsidRDefault="002B5BCD" w:rsidP="00CD59CC">
      <w:pPr>
        <w:rPr>
          <w:rFonts w:ascii="Arial" w:hAnsi="Arial" w:cs="Arial"/>
          <w:i/>
        </w:rPr>
      </w:pPr>
      <w:r w:rsidRPr="00CD59CC">
        <w:rPr>
          <w:rFonts w:ascii="Arial" w:hAnsi="Arial" w:cs="Arial"/>
          <w:i/>
        </w:rPr>
        <w:t>In</w:t>
      </w:r>
      <w:r w:rsidR="007B7640" w:rsidRPr="00CD59CC">
        <w:rPr>
          <w:rFonts w:ascii="Arial" w:hAnsi="Arial" w:cs="Arial"/>
          <w:i/>
        </w:rPr>
        <w:t xml:space="preserve"> </w:t>
      </w:r>
      <w:r w:rsidRPr="00CD59CC">
        <w:rPr>
          <w:rFonts w:ascii="Arial" w:hAnsi="Arial" w:cs="Arial"/>
          <w:i/>
        </w:rPr>
        <w:t>relation</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religion</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belief,</w:t>
      </w:r>
      <w:r w:rsidR="007B7640" w:rsidRPr="00CD59CC">
        <w:rPr>
          <w:rFonts w:ascii="Arial" w:hAnsi="Arial" w:cs="Arial"/>
          <w:i/>
        </w:rPr>
        <w:t xml:space="preserve"> </w:t>
      </w:r>
      <w:r w:rsidRPr="00CD59CC">
        <w:rPr>
          <w:rFonts w:ascii="Arial" w:hAnsi="Arial" w:cs="Arial"/>
          <w:i/>
        </w:rPr>
        <w:t>age,</w:t>
      </w:r>
      <w:r w:rsidR="007B7640" w:rsidRPr="00CD59CC">
        <w:rPr>
          <w:rFonts w:ascii="Arial" w:hAnsi="Arial" w:cs="Arial"/>
          <w:i/>
        </w:rPr>
        <w:t xml:space="preserve"> </w:t>
      </w:r>
      <w:r w:rsidRPr="00CD59CC">
        <w:rPr>
          <w:rFonts w:ascii="Arial" w:hAnsi="Arial" w:cs="Arial"/>
          <w:i/>
        </w:rPr>
        <w:t>disability</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sexual</w:t>
      </w:r>
      <w:r w:rsidR="007B7640" w:rsidRPr="00CD59CC">
        <w:rPr>
          <w:rFonts w:ascii="Arial" w:hAnsi="Arial" w:cs="Arial"/>
          <w:i/>
        </w:rPr>
        <w:t xml:space="preserve"> </w:t>
      </w:r>
      <w:r w:rsidRPr="00CD59CC">
        <w:rPr>
          <w:rFonts w:ascii="Arial" w:hAnsi="Arial" w:cs="Arial"/>
          <w:i/>
        </w:rPr>
        <w:t>orientation,</w:t>
      </w:r>
      <w:r w:rsidR="007B7640" w:rsidRPr="00CD59CC">
        <w:rPr>
          <w:rFonts w:ascii="Arial" w:hAnsi="Arial" w:cs="Arial"/>
          <w:i/>
        </w:rPr>
        <w:t xml:space="preserve"> </w:t>
      </w:r>
      <w:r w:rsidRPr="00CD59CC">
        <w:rPr>
          <w:rFonts w:ascii="Arial" w:hAnsi="Arial" w:cs="Arial"/>
          <w:i/>
        </w:rPr>
        <w:t>does</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seek</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rely</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exception</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Article</w:t>
      </w:r>
      <w:r w:rsidR="007B7640" w:rsidRPr="00CD59CC">
        <w:rPr>
          <w:rFonts w:ascii="Arial" w:hAnsi="Arial" w:cs="Arial"/>
          <w:i/>
        </w:rPr>
        <w:t xml:space="preserve"> </w:t>
      </w:r>
      <w:r w:rsidRPr="00CD59CC">
        <w:rPr>
          <w:rFonts w:ascii="Arial" w:hAnsi="Arial" w:cs="Arial"/>
          <w:i/>
        </w:rPr>
        <w:t>3(3),</w:t>
      </w:r>
      <w:r w:rsidR="007B7640" w:rsidRPr="00CD59CC">
        <w:rPr>
          <w:rFonts w:ascii="Arial" w:hAnsi="Arial" w:cs="Arial"/>
          <w:i/>
        </w:rPr>
        <w:t xml:space="preserve"> </w:t>
      </w:r>
      <w:r w:rsidRPr="00CD59CC">
        <w:rPr>
          <w:rFonts w:ascii="Arial" w:hAnsi="Arial" w:cs="Arial"/>
          <w:i/>
        </w:rPr>
        <w:t>Directive</w:t>
      </w:r>
      <w:r w:rsidR="007B7640" w:rsidRPr="00CD59CC">
        <w:rPr>
          <w:rFonts w:ascii="Arial" w:hAnsi="Arial" w:cs="Arial"/>
          <w:i/>
        </w:rPr>
        <w:t xml:space="preserve"> </w:t>
      </w:r>
      <w:r w:rsidRPr="00CD59CC">
        <w:rPr>
          <w:rFonts w:ascii="Arial" w:hAnsi="Arial" w:cs="Arial"/>
          <w:i/>
        </w:rPr>
        <w:t>2000/78?</w:t>
      </w:r>
    </w:p>
    <w:p w14:paraId="46920C4F" w14:textId="77777777" w:rsidR="002B5BCD" w:rsidRPr="00CD59CC" w:rsidRDefault="002B5BCD" w:rsidP="00CD59CC">
      <w:pPr>
        <w:rPr>
          <w:rFonts w:ascii="Arial" w:hAnsi="Arial" w:cs="Arial"/>
        </w:rPr>
      </w:pPr>
    </w:p>
    <w:p w14:paraId="6BEF0378" w14:textId="77777777" w:rsidR="00D75805" w:rsidRPr="00CD59CC" w:rsidRDefault="00D75805" w:rsidP="00CD59CC">
      <w:pPr>
        <w:rPr>
          <w:rFonts w:ascii="Arial" w:hAnsi="Arial" w:cs="Arial"/>
        </w:rPr>
      </w:pP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general</w:t>
      </w:r>
      <w:r w:rsidR="007B7640" w:rsidRPr="00CD59CC">
        <w:rPr>
          <w:rFonts w:ascii="Arial" w:hAnsi="Arial" w:cs="Arial"/>
        </w:rPr>
        <w:t xml:space="preserve"> </w:t>
      </w:r>
      <w:r w:rsidRPr="00CD59CC">
        <w:rPr>
          <w:rFonts w:ascii="Arial" w:hAnsi="Arial" w:cs="Arial"/>
        </w:rPr>
        <w:t>remark</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paragraphs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follow,</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pointed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Section</w:t>
      </w:r>
      <w:r w:rsidR="007B7640" w:rsidRPr="00CD59CC">
        <w:rPr>
          <w:rFonts w:ascii="Arial" w:hAnsi="Arial" w:cs="Arial"/>
        </w:rPr>
        <w:t xml:space="preserve"> </w:t>
      </w:r>
      <w:r w:rsidRPr="00CD59CC">
        <w:rPr>
          <w:rFonts w:ascii="Arial" w:hAnsi="Arial" w:cs="Arial"/>
        </w:rPr>
        <w:t>2.1.,</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covers</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covered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goes</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beyond</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scope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respect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number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protected</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Therefore,</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answers</w:t>
      </w:r>
      <w:r w:rsidR="007B7640" w:rsidRPr="00CD59CC">
        <w:rPr>
          <w:rFonts w:ascii="Arial" w:hAnsi="Arial" w:cs="Arial"/>
        </w:rPr>
        <w:t xml:space="preserve"> </w:t>
      </w:r>
      <w:r w:rsidRPr="00CD59CC">
        <w:rPr>
          <w:rFonts w:ascii="Arial" w:hAnsi="Arial" w:cs="Arial"/>
        </w:rPr>
        <w:t>below</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interpreted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cover</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grounds</w:t>
      </w:r>
      <w:r w:rsidR="007B7640" w:rsidRPr="00CD59CC">
        <w:rPr>
          <w:rFonts w:ascii="Arial" w:hAnsi="Arial" w:cs="Arial"/>
        </w:rPr>
        <w:t xml:space="preserve"> </w:t>
      </w:r>
      <w:r w:rsidRPr="00CD59CC">
        <w:rPr>
          <w:rFonts w:ascii="Arial" w:hAnsi="Arial" w:cs="Arial"/>
        </w:rPr>
        <w:t>included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Directives.</w:t>
      </w:r>
      <w:r w:rsidR="007B7640" w:rsidRPr="00CD59CC">
        <w:rPr>
          <w:rFonts w:ascii="Arial" w:hAnsi="Arial" w:cs="Arial"/>
        </w:rPr>
        <w:t xml:space="preserve"> </w:t>
      </w:r>
    </w:p>
    <w:p w14:paraId="4B650B74" w14:textId="77777777" w:rsidR="00D75805" w:rsidRPr="00CD59CC" w:rsidRDefault="00D75805" w:rsidP="00CD59CC">
      <w:pPr>
        <w:rPr>
          <w:rFonts w:ascii="Arial" w:hAnsi="Arial" w:cs="Arial"/>
        </w:rPr>
      </w:pPr>
    </w:p>
    <w:p w14:paraId="7E753A87" w14:textId="77777777" w:rsidR="00D75805" w:rsidRPr="00CD59CC" w:rsidRDefault="00D75805" w:rsidP="00CD59CC">
      <w:pPr>
        <w:rPr>
          <w:rFonts w:ascii="Arial" w:hAnsi="Arial" w:cs="Arial"/>
        </w:rPr>
      </w:pPr>
      <w:r w:rsidRPr="00CD59CC">
        <w:rPr>
          <w:rFonts w:ascii="Arial" w:hAnsi="Arial" w:cs="Arial"/>
        </w:rPr>
        <w:t>As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24</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stipulates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enforced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security,</w:t>
      </w:r>
      <w:r w:rsidR="007B7640" w:rsidRPr="00CD59CC">
        <w:rPr>
          <w:rFonts w:ascii="Arial" w:hAnsi="Arial" w:cs="Arial"/>
        </w:rPr>
        <w:t xml:space="preserve"> </w:t>
      </w:r>
      <w:r w:rsidRPr="00CD59CC">
        <w:rPr>
          <w:rFonts w:ascii="Arial" w:hAnsi="Arial" w:cs="Arial"/>
        </w:rPr>
        <w:t>specifically</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requested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financed</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security</w:t>
      </w:r>
      <w:r w:rsidR="007B7640" w:rsidRPr="00CD59CC">
        <w:rPr>
          <w:rFonts w:ascii="Arial" w:hAnsi="Arial" w:cs="Arial"/>
        </w:rPr>
        <w:t xml:space="preserve"> </w:t>
      </w:r>
      <w:r w:rsidRPr="00CD59CC">
        <w:rPr>
          <w:rFonts w:ascii="Arial" w:hAnsi="Arial" w:cs="Arial"/>
        </w:rPr>
        <w:t>schemes,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child</w:t>
      </w:r>
      <w:r w:rsidR="007B7640" w:rsidRPr="00CD59CC">
        <w:rPr>
          <w:rFonts w:ascii="Arial" w:hAnsi="Arial" w:cs="Arial"/>
        </w:rPr>
        <w:t xml:space="preserve"> </w:t>
      </w:r>
      <w:r w:rsidRPr="00CD59CC">
        <w:rPr>
          <w:rFonts w:ascii="Arial" w:hAnsi="Arial" w:cs="Arial"/>
        </w:rPr>
        <w:t>protection</w:t>
      </w:r>
      <w:r w:rsidR="007B7640" w:rsidRPr="00CD59CC">
        <w:rPr>
          <w:rFonts w:ascii="Arial" w:hAnsi="Arial" w:cs="Arial"/>
        </w:rPr>
        <w:t xml:space="preserve"> </w:t>
      </w:r>
      <w:r w:rsidRPr="00CD59CC">
        <w:rPr>
          <w:rFonts w:ascii="Arial" w:hAnsi="Arial" w:cs="Arial"/>
        </w:rPr>
        <w:t>allowances.</w:t>
      </w:r>
      <w:r w:rsidR="007B7640" w:rsidRPr="00CD59CC">
        <w:rPr>
          <w:rFonts w:ascii="Arial" w:hAnsi="Arial" w:cs="Arial"/>
        </w:rPr>
        <w:t xml:space="preserve"> </w:t>
      </w:r>
    </w:p>
    <w:p w14:paraId="725341A1" w14:textId="77777777" w:rsidR="00D75805" w:rsidRPr="00CD59CC" w:rsidRDefault="00D75805" w:rsidP="00CD59CC">
      <w:pPr>
        <w:rPr>
          <w:rFonts w:ascii="Arial" w:hAnsi="Arial" w:cs="Arial"/>
        </w:rPr>
      </w:pPr>
    </w:p>
    <w:p w14:paraId="7F09AF9A" w14:textId="3C2DE499" w:rsidR="00D75805" w:rsidRPr="00CD59CC" w:rsidRDefault="00D75805" w:rsidP="00CD59CC">
      <w:pPr>
        <w:rPr>
          <w:rFonts w:ascii="Arial" w:hAnsi="Arial" w:cs="Arial"/>
        </w:rPr>
      </w:pPr>
      <w:r w:rsidRPr="00CD59CC">
        <w:rPr>
          <w:rFonts w:ascii="Arial" w:hAnsi="Arial" w:cs="Arial"/>
        </w:rPr>
        <w:lastRenderedPageBreak/>
        <w:t>Pursuant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25</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areas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specified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care:</w:t>
      </w:r>
      <w:r w:rsidR="007B7640" w:rsidRPr="00CD59CC">
        <w:rPr>
          <w:rFonts w:ascii="Arial" w:hAnsi="Arial" w:cs="Arial"/>
        </w:rPr>
        <w:t xml:space="preserve"> </w:t>
      </w:r>
      <w:r w:rsidRPr="00CD59CC">
        <w:rPr>
          <w:rFonts w:ascii="Arial" w:hAnsi="Arial" w:cs="Arial"/>
        </w:rPr>
        <w:t>participation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programmes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prevention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diseases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screening,</w:t>
      </w:r>
      <w:r w:rsidR="007B7640" w:rsidRPr="00CD59CC">
        <w:rPr>
          <w:rFonts w:ascii="Arial" w:hAnsi="Arial" w:cs="Arial"/>
        </w:rPr>
        <w:t xml:space="preserve"> </w:t>
      </w:r>
      <w:r w:rsidRPr="00CD59CC">
        <w:rPr>
          <w:rFonts w:ascii="Arial" w:hAnsi="Arial" w:cs="Arial"/>
        </w:rPr>
        <w:t>medical</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healing</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prevention,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use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premises,</w:t>
      </w:r>
      <w:r w:rsidR="007B7640" w:rsidRPr="00CD59CC">
        <w:rPr>
          <w:rFonts w:ascii="Arial" w:hAnsi="Arial" w:cs="Arial"/>
        </w:rPr>
        <w:t xml:space="preserve"> </w:t>
      </w:r>
      <w:r w:rsidRPr="00CD59CC">
        <w:rPr>
          <w:rFonts w:ascii="Arial" w:hAnsi="Arial" w:cs="Arial"/>
        </w:rPr>
        <w:t>nutrition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satisfaction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other</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p>
    <w:p w14:paraId="31A2995D" w14:textId="77777777" w:rsidR="00D75805" w:rsidRPr="00CD59CC" w:rsidRDefault="00D75805" w:rsidP="00CD59CC">
      <w:pPr>
        <w:rPr>
          <w:rFonts w:ascii="Arial" w:hAnsi="Arial" w:cs="Arial"/>
        </w:rPr>
      </w:pPr>
    </w:p>
    <w:p w14:paraId="45E24659" w14:textId="77777777" w:rsidR="00D75805" w:rsidRPr="00CD59CC" w:rsidRDefault="00D75805"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25</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allows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preferential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specifically</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accorded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parliament</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government</w:t>
      </w:r>
      <w:r w:rsidR="007B7640" w:rsidRPr="00CD59CC">
        <w:rPr>
          <w:rFonts w:ascii="Arial" w:hAnsi="Arial" w:cs="Arial"/>
        </w:rPr>
        <w:t xml:space="preserve"> </w:t>
      </w:r>
      <w:r w:rsidRPr="00CD59CC">
        <w:rPr>
          <w:rFonts w:ascii="Arial" w:hAnsi="Arial" w:cs="Arial"/>
        </w:rPr>
        <w:t>decree</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parliament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fields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security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care.</w:t>
      </w:r>
      <w:r w:rsidR="007B7640" w:rsidRPr="00CD59CC">
        <w:rPr>
          <w:rFonts w:ascii="Arial" w:hAnsi="Arial" w:cs="Arial"/>
        </w:rPr>
        <w:t xml:space="preserve"> </w:t>
      </w:r>
    </w:p>
    <w:p w14:paraId="14B19BB4" w14:textId="77777777" w:rsidR="00D75805" w:rsidRPr="00CD59CC" w:rsidRDefault="00D75805" w:rsidP="00CD59CC">
      <w:pPr>
        <w:rPr>
          <w:rFonts w:ascii="Arial" w:hAnsi="Arial" w:cs="Arial"/>
        </w:rPr>
      </w:pPr>
    </w:p>
    <w:p w14:paraId="7CAEF3EC" w14:textId="77777777" w:rsidR="00D75805" w:rsidRPr="00CD59CC" w:rsidRDefault="00D75805" w:rsidP="00CD59CC">
      <w:pPr>
        <w:rPr>
          <w:rFonts w:ascii="Arial" w:hAnsi="Arial" w:cs="Arial"/>
        </w:rPr>
      </w:pPr>
      <w:r w:rsidRPr="00CD59CC">
        <w:rPr>
          <w:rFonts w:ascii="Arial" w:hAnsi="Arial" w:cs="Arial"/>
        </w:rPr>
        <w:t>Article</w:t>
      </w:r>
      <w:r w:rsidR="007B7640" w:rsidRPr="00CD59CC">
        <w:rPr>
          <w:rFonts w:ascii="Arial" w:hAnsi="Arial" w:cs="Arial"/>
        </w:rPr>
        <w:t xml:space="preserve"> </w:t>
      </w:r>
      <w:r w:rsidRPr="00CD59CC">
        <w:rPr>
          <w:rFonts w:ascii="Arial" w:hAnsi="Arial" w:cs="Arial"/>
        </w:rPr>
        <w:t>7</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Healthcare</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reinforces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prohibition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field</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healthcare,</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claims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all</w:t>
      </w:r>
      <w:r w:rsidR="007B7640" w:rsidRPr="00CD59CC">
        <w:rPr>
          <w:rFonts w:ascii="Arial" w:hAnsi="Arial" w:cs="Arial"/>
        </w:rPr>
        <w:t xml:space="preserve"> </w:t>
      </w:r>
      <w:r w:rsidRPr="00CD59CC">
        <w:rPr>
          <w:rFonts w:ascii="Arial" w:hAnsi="Arial" w:cs="Arial"/>
        </w:rPr>
        <w:t>patients</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entitled</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framework</w:t>
      </w:r>
      <w:r w:rsidR="007B7640" w:rsidRPr="00CD59CC">
        <w:rPr>
          <w:rFonts w:ascii="Arial" w:hAnsi="Arial" w:cs="Arial"/>
        </w:rPr>
        <w:t xml:space="preserve"> </w:t>
      </w:r>
      <w:r w:rsidRPr="00CD59CC">
        <w:rPr>
          <w:rFonts w:ascii="Arial" w:hAnsi="Arial" w:cs="Arial"/>
        </w:rPr>
        <w:t>prescribed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receive</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meet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requirement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p>
    <w:p w14:paraId="5ED09307" w14:textId="77777777" w:rsidR="00D75805" w:rsidRPr="00CD59CC" w:rsidRDefault="00D75805" w:rsidP="00CD59CC">
      <w:pPr>
        <w:rPr>
          <w:rFonts w:ascii="Arial" w:hAnsi="Arial" w:cs="Arial"/>
        </w:rPr>
      </w:pPr>
    </w:p>
    <w:p w14:paraId="02A55BC6" w14:textId="77777777" w:rsidR="00D75805" w:rsidRPr="00CD59CC" w:rsidRDefault="00D75805"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religion</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belief,</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sexual</w:t>
      </w:r>
      <w:r w:rsidR="007B7640" w:rsidRPr="00CD59CC">
        <w:rPr>
          <w:rFonts w:ascii="Arial" w:hAnsi="Arial" w:cs="Arial"/>
        </w:rPr>
        <w:t xml:space="preserve"> </w:t>
      </w:r>
      <w:r w:rsidRPr="00CD59CC">
        <w:rPr>
          <w:rFonts w:ascii="Arial" w:hAnsi="Arial" w:cs="Arial"/>
        </w:rPr>
        <w:t>orientation,</w:t>
      </w:r>
      <w:r w:rsidR="007B7640" w:rsidRPr="00CD59CC">
        <w:rPr>
          <w:rFonts w:ascii="Arial" w:hAnsi="Arial" w:cs="Arial"/>
        </w:rPr>
        <w:t xml:space="preserve"> </w:t>
      </w:r>
      <w:r w:rsidRPr="00CD59CC">
        <w:rPr>
          <w:rFonts w:ascii="Arial" w:hAnsi="Arial" w:cs="Arial"/>
        </w:rPr>
        <w:t>national</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does</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seek</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rely</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exception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3(3),</w:t>
      </w:r>
      <w:r w:rsidR="007B7640" w:rsidRPr="00CD59CC">
        <w:rPr>
          <w:rFonts w:ascii="Arial" w:hAnsi="Arial" w:cs="Arial"/>
        </w:rPr>
        <w:t xml:space="preserve"> </w:t>
      </w:r>
      <w:r w:rsidRPr="00CD59CC">
        <w:rPr>
          <w:rFonts w:ascii="Arial" w:hAnsi="Arial" w:cs="Arial"/>
        </w:rPr>
        <w:t>Directive</w:t>
      </w:r>
      <w:r w:rsidR="007B7640" w:rsidRPr="00CD59CC">
        <w:rPr>
          <w:rFonts w:ascii="Arial" w:hAnsi="Arial" w:cs="Arial"/>
        </w:rPr>
        <w:t xml:space="preserve"> </w:t>
      </w:r>
      <w:r w:rsidRPr="00CD59CC">
        <w:rPr>
          <w:rFonts w:ascii="Arial" w:hAnsi="Arial" w:cs="Arial"/>
        </w:rPr>
        <w:t>2000/78.</w:t>
      </w:r>
      <w:r w:rsidR="007B7640" w:rsidRPr="00CD59CC">
        <w:rPr>
          <w:rFonts w:ascii="Arial" w:hAnsi="Arial" w:cs="Arial"/>
        </w:rPr>
        <w:t xml:space="preserve"> </w:t>
      </w:r>
    </w:p>
    <w:p w14:paraId="1CBE6172" w14:textId="77777777" w:rsidR="00D75805" w:rsidRPr="00CD59CC" w:rsidRDefault="00D75805" w:rsidP="00CD59CC">
      <w:pPr>
        <w:rPr>
          <w:rFonts w:ascii="Arial" w:hAnsi="Arial" w:cs="Arial"/>
        </w:rPr>
      </w:pPr>
    </w:p>
    <w:p w14:paraId="4EAD13D4" w14:textId="77777777" w:rsidR="002B5BCD" w:rsidRPr="00CD59CC" w:rsidRDefault="00CD59CC" w:rsidP="00CD59CC">
      <w:pPr>
        <w:pStyle w:val="Heading3"/>
        <w:rPr>
          <w:rFonts w:cs="Arial"/>
        </w:rPr>
      </w:pPr>
      <w:bookmarkStart w:id="166" w:name="_Toc220221157"/>
      <w:bookmarkStart w:id="167" w:name="_Toc392758727"/>
      <w:bookmarkStart w:id="168" w:name="_Toc329163619"/>
      <w:bookmarkStart w:id="169" w:name="_Toc366846337"/>
      <w:r>
        <w:rPr>
          <w:rFonts w:cs="Arial"/>
        </w:rPr>
        <w:t>S</w:t>
      </w:r>
      <w:r w:rsidR="002B5BCD" w:rsidRPr="00CD59CC">
        <w:rPr>
          <w:rFonts w:cs="Arial"/>
        </w:rPr>
        <w:t>ocial</w:t>
      </w:r>
      <w:r w:rsidR="007B7640" w:rsidRPr="00CD59CC">
        <w:rPr>
          <w:rFonts w:cs="Arial"/>
        </w:rPr>
        <w:t xml:space="preserve"> </w:t>
      </w:r>
      <w:r w:rsidR="002B5BCD" w:rsidRPr="00CD59CC">
        <w:rPr>
          <w:rFonts w:cs="Arial"/>
        </w:rPr>
        <w:t>advantages</w:t>
      </w:r>
      <w:r w:rsidR="007B7640" w:rsidRPr="00CD59CC">
        <w:rPr>
          <w:rFonts w:cs="Arial"/>
        </w:rPr>
        <w:t xml:space="preserve"> </w:t>
      </w:r>
      <w:r w:rsidR="002B5BCD" w:rsidRPr="00CD59CC">
        <w:rPr>
          <w:rFonts w:cs="Arial"/>
        </w:rPr>
        <w:t>(Article</w:t>
      </w:r>
      <w:r w:rsidR="007B7640" w:rsidRPr="00CD59CC">
        <w:rPr>
          <w:rFonts w:cs="Arial"/>
        </w:rPr>
        <w:t xml:space="preserve"> </w:t>
      </w:r>
      <w:r w:rsidR="002B5BCD" w:rsidRPr="00CD59CC">
        <w:rPr>
          <w:rFonts w:cs="Arial"/>
        </w:rPr>
        <w:t>3(1)(f)</w:t>
      </w:r>
      <w:r w:rsidR="007B7640" w:rsidRPr="00CD59CC">
        <w:rPr>
          <w:rFonts w:cs="Arial"/>
        </w:rPr>
        <w:t xml:space="preserve"> </w:t>
      </w:r>
      <w:r w:rsidR="002B5BCD" w:rsidRPr="00CD59CC">
        <w:rPr>
          <w:rFonts w:cs="Arial"/>
        </w:rPr>
        <w:t>Directive</w:t>
      </w:r>
      <w:r w:rsidR="007B7640" w:rsidRPr="00CD59CC">
        <w:rPr>
          <w:rFonts w:cs="Arial"/>
        </w:rPr>
        <w:t xml:space="preserve"> </w:t>
      </w:r>
      <w:r w:rsidR="002B5BCD" w:rsidRPr="00CD59CC">
        <w:rPr>
          <w:rFonts w:cs="Arial"/>
        </w:rPr>
        <w:t>2000/43)</w:t>
      </w:r>
      <w:bookmarkEnd w:id="166"/>
      <w:bookmarkEnd w:id="167"/>
      <w:bookmarkEnd w:id="168"/>
      <w:bookmarkEnd w:id="169"/>
    </w:p>
    <w:p w14:paraId="60DE8C72" w14:textId="77777777" w:rsidR="002B5BCD" w:rsidRPr="00CD59CC" w:rsidRDefault="002B5BCD" w:rsidP="00CD59CC">
      <w:pPr>
        <w:rPr>
          <w:rFonts w:ascii="Arial" w:hAnsi="Arial" w:cs="Arial"/>
        </w:rPr>
      </w:pPr>
    </w:p>
    <w:p w14:paraId="54BEE8D9" w14:textId="77777777" w:rsidR="00EF696E" w:rsidRPr="00B97ED3" w:rsidRDefault="00EF696E" w:rsidP="00CD59CC">
      <w:pPr>
        <w:rPr>
          <w:rFonts w:ascii="Arial" w:hAnsi="Arial" w:cs="Arial"/>
          <w:i/>
        </w:rPr>
      </w:pPr>
      <w:r w:rsidRPr="00B97ED3">
        <w:rPr>
          <w:rFonts w:ascii="Arial" w:hAnsi="Arial" w:cs="Arial"/>
          <w:i/>
        </w:rPr>
        <w:t>Does</w:t>
      </w:r>
      <w:r w:rsidR="007B7640" w:rsidRPr="00B97ED3">
        <w:rPr>
          <w:rFonts w:ascii="Arial" w:hAnsi="Arial" w:cs="Arial"/>
          <w:i/>
        </w:rPr>
        <w:t xml:space="preserve"> </w:t>
      </w:r>
      <w:r w:rsidRPr="00B97ED3">
        <w:rPr>
          <w:rFonts w:ascii="Arial" w:hAnsi="Arial" w:cs="Arial"/>
          <w:i/>
        </w:rPr>
        <w:t>national</w:t>
      </w:r>
      <w:r w:rsidR="007B7640" w:rsidRPr="00B97ED3">
        <w:rPr>
          <w:rFonts w:ascii="Arial" w:hAnsi="Arial" w:cs="Arial"/>
          <w:i/>
        </w:rPr>
        <w:t xml:space="preserve"> </w:t>
      </w:r>
      <w:r w:rsidRPr="00B97ED3">
        <w:rPr>
          <w:rFonts w:ascii="Arial" w:hAnsi="Arial" w:cs="Arial"/>
          <w:i/>
        </w:rPr>
        <w:t>law</w:t>
      </w:r>
      <w:r w:rsidR="007B7640" w:rsidRPr="00B97ED3">
        <w:rPr>
          <w:rFonts w:ascii="Arial" w:hAnsi="Arial" w:cs="Arial"/>
          <w:i/>
        </w:rPr>
        <w:t xml:space="preserve"> </w:t>
      </w:r>
      <w:r w:rsidRPr="00B97ED3">
        <w:rPr>
          <w:rFonts w:ascii="Arial" w:hAnsi="Arial" w:cs="Arial"/>
          <w:i/>
        </w:rPr>
        <w:t>on</w:t>
      </w:r>
      <w:r w:rsidR="007B7640" w:rsidRPr="00B97ED3">
        <w:rPr>
          <w:rFonts w:ascii="Arial" w:hAnsi="Arial" w:cs="Arial"/>
          <w:i/>
        </w:rPr>
        <w:t xml:space="preserve"> </w:t>
      </w:r>
      <w:r w:rsidRPr="00B97ED3">
        <w:rPr>
          <w:rFonts w:ascii="Arial" w:hAnsi="Arial" w:cs="Arial"/>
          <w:i/>
        </w:rPr>
        <w:t>discrimination</w:t>
      </w:r>
      <w:r w:rsidR="007B7640" w:rsidRPr="00B97ED3">
        <w:rPr>
          <w:rFonts w:ascii="Arial" w:hAnsi="Arial" w:cs="Arial"/>
          <w:i/>
        </w:rPr>
        <w:t xml:space="preserve"> </w:t>
      </w:r>
      <w:r w:rsidRPr="00B97ED3">
        <w:rPr>
          <w:rFonts w:ascii="Arial" w:hAnsi="Arial" w:cs="Arial"/>
          <w:i/>
        </w:rPr>
        <w:t>cover</w:t>
      </w:r>
      <w:r w:rsidR="007B7640" w:rsidRPr="00B97ED3">
        <w:rPr>
          <w:rFonts w:ascii="Arial" w:hAnsi="Arial" w:cs="Arial"/>
          <w:i/>
        </w:rPr>
        <w:t xml:space="preserve"> </w:t>
      </w:r>
      <w:r w:rsidRPr="00B97ED3">
        <w:rPr>
          <w:rFonts w:ascii="Arial" w:hAnsi="Arial" w:cs="Arial"/>
          <w:i/>
        </w:rPr>
        <w:t>social</w:t>
      </w:r>
      <w:r w:rsidR="007B7640" w:rsidRPr="00B97ED3">
        <w:rPr>
          <w:rFonts w:ascii="Arial" w:hAnsi="Arial" w:cs="Arial"/>
          <w:i/>
        </w:rPr>
        <w:t xml:space="preserve"> </w:t>
      </w:r>
      <w:r w:rsidRPr="00B97ED3">
        <w:rPr>
          <w:rFonts w:ascii="Arial" w:hAnsi="Arial" w:cs="Arial"/>
          <w:i/>
        </w:rPr>
        <w:t>advantages?</w:t>
      </w:r>
      <w:r w:rsidR="007B7640" w:rsidRPr="00B97ED3">
        <w:rPr>
          <w:rFonts w:ascii="Arial" w:hAnsi="Arial" w:cs="Arial"/>
          <w:i/>
        </w:rPr>
        <w:t xml:space="preserve"> </w:t>
      </w:r>
      <w:r w:rsidRPr="00B97ED3">
        <w:rPr>
          <w:rFonts w:ascii="Arial" w:hAnsi="Arial" w:cs="Arial"/>
          <w:i/>
        </w:rPr>
        <w:t>In</w:t>
      </w:r>
      <w:r w:rsidR="007B7640" w:rsidRPr="00B97ED3">
        <w:rPr>
          <w:rFonts w:ascii="Arial" w:hAnsi="Arial" w:cs="Arial"/>
          <w:i/>
        </w:rPr>
        <w:t xml:space="preserve"> </w:t>
      </w:r>
      <w:r w:rsidRPr="00B97ED3">
        <w:rPr>
          <w:rFonts w:ascii="Arial" w:hAnsi="Arial" w:cs="Arial"/>
          <w:i/>
        </w:rPr>
        <w:t>case</w:t>
      </w:r>
      <w:r w:rsidR="007B7640" w:rsidRPr="00B97ED3">
        <w:rPr>
          <w:rFonts w:ascii="Arial" w:hAnsi="Arial" w:cs="Arial"/>
          <w:i/>
        </w:rPr>
        <w:t xml:space="preserve"> </w:t>
      </w:r>
      <w:r w:rsidRPr="00B97ED3">
        <w:rPr>
          <w:rFonts w:ascii="Arial" w:hAnsi="Arial" w:cs="Arial"/>
          <w:i/>
        </w:rPr>
        <w:t>national</w:t>
      </w:r>
      <w:r w:rsidR="007B7640" w:rsidRPr="00B97ED3">
        <w:rPr>
          <w:rFonts w:ascii="Arial" w:hAnsi="Arial" w:cs="Arial"/>
          <w:i/>
        </w:rPr>
        <w:t xml:space="preserve"> </w:t>
      </w:r>
      <w:r w:rsidRPr="00B97ED3">
        <w:rPr>
          <w:rFonts w:ascii="Arial" w:hAnsi="Arial" w:cs="Arial"/>
          <w:i/>
        </w:rPr>
        <w:t>anti-discrimination</w:t>
      </w:r>
      <w:r w:rsidR="007B7640" w:rsidRPr="00B97ED3">
        <w:rPr>
          <w:rFonts w:ascii="Arial" w:hAnsi="Arial" w:cs="Arial"/>
          <w:i/>
        </w:rPr>
        <w:t xml:space="preserve"> </w:t>
      </w:r>
      <w:r w:rsidRPr="00B97ED3">
        <w:rPr>
          <w:rFonts w:ascii="Arial" w:hAnsi="Arial" w:cs="Arial"/>
          <w:i/>
        </w:rPr>
        <w:t>law</w:t>
      </w:r>
      <w:r w:rsidR="007B7640" w:rsidRPr="00B97ED3">
        <w:rPr>
          <w:rFonts w:ascii="Arial" w:hAnsi="Arial" w:cs="Arial"/>
          <w:i/>
        </w:rPr>
        <w:t xml:space="preserve"> </w:t>
      </w:r>
      <w:r w:rsidRPr="00B97ED3">
        <w:rPr>
          <w:rFonts w:ascii="Arial" w:hAnsi="Arial" w:cs="Arial"/>
          <w:i/>
        </w:rPr>
        <w:t>does</w:t>
      </w:r>
      <w:r w:rsidR="007B7640" w:rsidRPr="00B97ED3">
        <w:rPr>
          <w:rFonts w:ascii="Arial" w:hAnsi="Arial" w:cs="Arial"/>
          <w:i/>
        </w:rPr>
        <w:t xml:space="preserve"> </w:t>
      </w:r>
      <w:r w:rsidRPr="00B97ED3">
        <w:rPr>
          <w:rFonts w:ascii="Arial" w:hAnsi="Arial" w:cs="Arial"/>
          <w:i/>
        </w:rPr>
        <w:t>not</w:t>
      </w:r>
      <w:r w:rsidR="007B7640" w:rsidRPr="00B97ED3">
        <w:rPr>
          <w:rFonts w:ascii="Arial" w:hAnsi="Arial" w:cs="Arial"/>
          <w:i/>
        </w:rPr>
        <w:t xml:space="preserve"> </w:t>
      </w:r>
      <w:r w:rsidRPr="00B97ED3">
        <w:rPr>
          <w:rFonts w:ascii="Arial" w:hAnsi="Arial" w:cs="Arial"/>
          <w:i/>
        </w:rPr>
        <w:t>do</w:t>
      </w:r>
      <w:r w:rsidR="007B7640" w:rsidRPr="00B97ED3">
        <w:rPr>
          <w:rFonts w:ascii="Arial" w:hAnsi="Arial" w:cs="Arial"/>
          <w:i/>
        </w:rPr>
        <w:t xml:space="preserve"> </w:t>
      </w:r>
      <w:r w:rsidRPr="00B97ED3">
        <w:rPr>
          <w:rFonts w:ascii="Arial" w:hAnsi="Arial" w:cs="Arial"/>
          <w:i/>
        </w:rPr>
        <w:t>so,</w:t>
      </w:r>
      <w:r w:rsidR="007B7640" w:rsidRPr="00B97ED3">
        <w:rPr>
          <w:rFonts w:ascii="Arial" w:hAnsi="Arial" w:cs="Arial"/>
          <w:i/>
        </w:rPr>
        <w:t xml:space="preserve"> </w:t>
      </w:r>
      <w:r w:rsidRPr="00B97ED3">
        <w:rPr>
          <w:rFonts w:ascii="Arial" w:hAnsi="Arial" w:cs="Arial"/>
          <w:i/>
        </w:rPr>
        <w:t>is</w:t>
      </w:r>
      <w:r w:rsidR="007B7640" w:rsidRPr="00B97ED3">
        <w:rPr>
          <w:rFonts w:ascii="Arial" w:hAnsi="Arial" w:cs="Arial"/>
          <w:i/>
        </w:rPr>
        <w:t xml:space="preserve"> </w:t>
      </w:r>
      <w:r w:rsidRPr="00B97ED3">
        <w:rPr>
          <w:rFonts w:ascii="Arial" w:hAnsi="Arial" w:cs="Arial"/>
          <w:i/>
        </w:rPr>
        <w:t>it</w:t>
      </w:r>
      <w:r w:rsidR="007B7640" w:rsidRPr="00B97ED3">
        <w:rPr>
          <w:rFonts w:ascii="Arial" w:hAnsi="Arial" w:cs="Arial"/>
          <w:i/>
        </w:rPr>
        <w:t xml:space="preserve"> </w:t>
      </w:r>
      <w:r w:rsidRPr="00B97ED3">
        <w:rPr>
          <w:rFonts w:ascii="Arial" w:hAnsi="Arial" w:cs="Arial"/>
          <w:i/>
        </w:rPr>
        <w:t>dealt</w:t>
      </w:r>
      <w:r w:rsidR="007B7640" w:rsidRPr="00B97ED3">
        <w:rPr>
          <w:rFonts w:ascii="Arial" w:hAnsi="Arial" w:cs="Arial"/>
          <w:i/>
        </w:rPr>
        <w:t xml:space="preserve"> </w:t>
      </w:r>
      <w:r w:rsidRPr="00B97ED3">
        <w:rPr>
          <w:rFonts w:ascii="Arial" w:hAnsi="Arial" w:cs="Arial"/>
          <w:i/>
        </w:rPr>
        <w:t>with</w:t>
      </w:r>
      <w:r w:rsidR="007B7640" w:rsidRPr="00B97ED3">
        <w:rPr>
          <w:rFonts w:ascii="Arial" w:hAnsi="Arial" w:cs="Arial"/>
          <w:i/>
        </w:rPr>
        <w:t xml:space="preserve"> </w:t>
      </w:r>
      <w:r w:rsidRPr="00B97ED3">
        <w:rPr>
          <w:rFonts w:ascii="Arial" w:hAnsi="Arial" w:cs="Arial"/>
          <w:i/>
        </w:rPr>
        <w:t>in</w:t>
      </w:r>
      <w:r w:rsidR="007B7640" w:rsidRPr="00B97ED3">
        <w:rPr>
          <w:rFonts w:ascii="Arial" w:hAnsi="Arial" w:cs="Arial"/>
          <w:i/>
        </w:rPr>
        <w:t xml:space="preserve"> </w:t>
      </w:r>
      <w:r w:rsidRPr="00B97ED3">
        <w:rPr>
          <w:rFonts w:ascii="Arial" w:hAnsi="Arial" w:cs="Arial"/>
          <w:i/>
        </w:rPr>
        <w:t>any</w:t>
      </w:r>
      <w:r w:rsidR="007B7640" w:rsidRPr="00B97ED3">
        <w:rPr>
          <w:rFonts w:ascii="Arial" w:hAnsi="Arial" w:cs="Arial"/>
          <w:i/>
        </w:rPr>
        <w:t xml:space="preserve"> </w:t>
      </w:r>
      <w:r w:rsidRPr="00B97ED3">
        <w:rPr>
          <w:rFonts w:ascii="Arial" w:hAnsi="Arial" w:cs="Arial"/>
          <w:i/>
        </w:rPr>
        <w:t>other</w:t>
      </w:r>
      <w:r w:rsidR="007B7640" w:rsidRPr="00B97ED3">
        <w:rPr>
          <w:rFonts w:ascii="Arial" w:hAnsi="Arial" w:cs="Arial"/>
          <w:i/>
        </w:rPr>
        <w:t xml:space="preserve"> </w:t>
      </w:r>
      <w:r w:rsidRPr="00B97ED3">
        <w:rPr>
          <w:rFonts w:ascii="Arial" w:hAnsi="Arial" w:cs="Arial"/>
          <w:i/>
        </w:rPr>
        <w:t>legislation?</w:t>
      </w:r>
    </w:p>
    <w:p w14:paraId="3AF7BB34" w14:textId="77777777" w:rsidR="000C1EA0" w:rsidRPr="00CD59CC" w:rsidRDefault="000C1EA0" w:rsidP="00CD59CC">
      <w:pPr>
        <w:rPr>
          <w:rFonts w:ascii="Arial" w:hAnsi="Arial" w:cs="Arial"/>
        </w:rPr>
      </w:pPr>
    </w:p>
    <w:p w14:paraId="4CD582B8" w14:textId="77777777" w:rsidR="002B5BCD" w:rsidRPr="00CD59CC" w:rsidRDefault="002B5BCD" w:rsidP="00CD59CC">
      <w:pPr>
        <w:rPr>
          <w:rFonts w:ascii="Arial" w:hAnsi="Arial" w:cs="Arial"/>
          <w:i/>
        </w:rPr>
      </w:pPr>
      <w:r w:rsidRPr="00CD59CC">
        <w:rPr>
          <w:rFonts w:ascii="Arial" w:hAnsi="Arial" w:cs="Arial"/>
          <w:i/>
        </w:rPr>
        <w:t>This</w:t>
      </w:r>
      <w:r w:rsidR="007B7640" w:rsidRPr="00CD59CC">
        <w:rPr>
          <w:rFonts w:ascii="Arial" w:hAnsi="Arial" w:cs="Arial"/>
          <w:i/>
        </w:rPr>
        <w:t xml:space="preserve"> </w:t>
      </w:r>
      <w:r w:rsidRPr="00CD59CC">
        <w:rPr>
          <w:rFonts w:ascii="Arial" w:hAnsi="Arial" w:cs="Arial"/>
          <w:i/>
        </w:rPr>
        <w:t>covers</w:t>
      </w:r>
      <w:r w:rsidR="007B7640" w:rsidRPr="00CD59CC">
        <w:rPr>
          <w:rFonts w:ascii="Arial" w:hAnsi="Arial" w:cs="Arial"/>
          <w:i/>
        </w:rPr>
        <w:t xml:space="preserve"> </w:t>
      </w:r>
      <w:r w:rsidRPr="00CD59CC">
        <w:rPr>
          <w:rFonts w:ascii="Arial" w:hAnsi="Arial" w:cs="Arial"/>
          <w:i/>
        </w:rPr>
        <w:t>a</w:t>
      </w:r>
      <w:r w:rsidR="007B7640" w:rsidRPr="00CD59CC">
        <w:rPr>
          <w:rFonts w:ascii="Arial" w:hAnsi="Arial" w:cs="Arial"/>
          <w:i/>
        </w:rPr>
        <w:t xml:space="preserve"> </w:t>
      </w:r>
      <w:r w:rsidRPr="00CD59CC">
        <w:rPr>
          <w:rFonts w:ascii="Arial" w:hAnsi="Arial" w:cs="Arial"/>
          <w:i/>
        </w:rPr>
        <w:t>broad</w:t>
      </w:r>
      <w:r w:rsidR="007B7640" w:rsidRPr="00CD59CC">
        <w:rPr>
          <w:rFonts w:ascii="Arial" w:hAnsi="Arial" w:cs="Arial"/>
          <w:i/>
        </w:rPr>
        <w:t xml:space="preserve"> </w:t>
      </w:r>
      <w:r w:rsidRPr="00CD59CC">
        <w:rPr>
          <w:rFonts w:ascii="Arial" w:hAnsi="Arial" w:cs="Arial"/>
          <w:i/>
        </w:rPr>
        <w:t>category</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benefits</w:t>
      </w:r>
      <w:r w:rsidR="007B7640" w:rsidRPr="00CD59CC">
        <w:rPr>
          <w:rFonts w:ascii="Arial" w:hAnsi="Arial" w:cs="Arial"/>
          <w:i/>
        </w:rPr>
        <w:t xml:space="preserve"> </w:t>
      </w:r>
      <w:r w:rsidRPr="00CD59CC">
        <w:rPr>
          <w:rFonts w:ascii="Arial" w:hAnsi="Arial" w:cs="Arial"/>
          <w:i/>
        </w:rPr>
        <w:t>that</w:t>
      </w:r>
      <w:r w:rsidR="007B7640" w:rsidRPr="00CD59CC">
        <w:rPr>
          <w:rFonts w:ascii="Arial" w:hAnsi="Arial" w:cs="Arial"/>
          <w:i/>
        </w:rPr>
        <w:t xml:space="preserve"> </w:t>
      </w:r>
      <w:r w:rsidRPr="00CD59CC">
        <w:rPr>
          <w:rFonts w:ascii="Arial" w:hAnsi="Arial" w:cs="Arial"/>
          <w:i/>
        </w:rPr>
        <w:t>may</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provided</w:t>
      </w:r>
      <w:r w:rsidR="007B7640" w:rsidRPr="00CD59CC">
        <w:rPr>
          <w:rFonts w:ascii="Arial" w:hAnsi="Arial" w:cs="Arial"/>
          <w:i/>
        </w:rPr>
        <w:t xml:space="preserve"> </w:t>
      </w:r>
      <w:r w:rsidRPr="00CD59CC">
        <w:rPr>
          <w:rFonts w:ascii="Arial" w:hAnsi="Arial" w:cs="Arial"/>
          <w:i/>
        </w:rPr>
        <w:t>by</w:t>
      </w:r>
      <w:r w:rsidR="007B7640" w:rsidRPr="00CD59CC">
        <w:rPr>
          <w:rFonts w:ascii="Arial" w:hAnsi="Arial" w:cs="Arial"/>
          <w:i/>
        </w:rPr>
        <w:t xml:space="preserve"> </w:t>
      </w:r>
      <w:r w:rsidRPr="00CD59CC">
        <w:rPr>
          <w:rFonts w:ascii="Arial" w:hAnsi="Arial" w:cs="Arial"/>
          <w:i/>
        </w:rPr>
        <w:t>either</w:t>
      </w:r>
      <w:r w:rsidR="007B7640" w:rsidRPr="00CD59CC">
        <w:rPr>
          <w:rFonts w:ascii="Arial" w:hAnsi="Arial" w:cs="Arial"/>
          <w:i/>
        </w:rPr>
        <w:t xml:space="preserve"> </w:t>
      </w:r>
      <w:r w:rsidRPr="00CD59CC">
        <w:rPr>
          <w:rFonts w:ascii="Arial" w:hAnsi="Arial" w:cs="Arial"/>
          <w:i/>
        </w:rPr>
        <w:t>public</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private</w:t>
      </w:r>
      <w:r w:rsidR="007B7640" w:rsidRPr="00CD59CC">
        <w:rPr>
          <w:rFonts w:ascii="Arial" w:hAnsi="Arial" w:cs="Arial"/>
          <w:i/>
        </w:rPr>
        <w:t xml:space="preserve"> </w:t>
      </w:r>
      <w:r w:rsidRPr="00CD59CC">
        <w:rPr>
          <w:rFonts w:ascii="Arial" w:hAnsi="Arial" w:cs="Arial"/>
          <w:i/>
        </w:rPr>
        <w:t>actors</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people</w:t>
      </w:r>
      <w:r w:rsidR="007B7640" w:rsidRPr="00CD59CC">
        <w:rPr>
          <w:rFonts w:ascii="Arial" w:hAnsi="Arial" w:cs="Arial"/>
          <w:i/>
        </w:rPr>
        <w:t xml:space="preserve"> </w:t>
      </w:r>
      <w:r w:rsidRPr="00CD59CC">
        <w:rPr>
          <w:rFonts w:ascii="Arial" w:hAnsi="Arial" w:cs="Arial"/>
          <w:i/>
        </w:rPr>
        <w:t>because</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their</w:t>
      </w:r>
      <w:r w:rsidR="007B7640" w:rsidRPr="00CD59CC">
        <w:rPr>
          <w:rFonts w:ascii="Arial" w:hAnsi="Arial" w:cs="Arial"/>
          <w:i/>
        </w:rPr>
        <w:t xml:space="preserve"> </w:t>
      </w:r>
      <w:r w:rsidRPr="00CD59CC">
        <w:rPr>
          <w:rFonts w:ascii="Arial" w:hAnsi="Arial" w:cs="Arial"/>
          <w:i/>
        </w:rPr>
        <w:t>employment</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residence</w:t>
      </w:r>
      <w:r w:rsidR="007B7640" w:rsidRPr="00CD59CC">
        <w:rPr>
          <w:rFonts w:ascii="Arial" w:hAnsi="Arial" w:cs="Arial"/>
          <w:i/>
        </w:rPr>
        <w:t xml:space="preserve"> </w:t>
      </w:r>
      <w:r w:rsidRPr="00CD59CC">
        <w:rPr>
          <w:rFonts w:ascii="Arial" w:hAnsi="Arial" w:cs="Arial"/>
          <w:i/>
        </w:rPr>
        <w:t>status,</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example</w:t>
      </w:r>
      <w:r w:rsidR="007B7640" w:rsidRPr="00CD59CC">
        <w:rPr>
          <w:rFonts w:ascii="Arial" w:hAnsi="Arial" w:cs="Arial"/>
        </w:rPr>
        <w:t xml:space="preserve"> </w:t>
      </w:r>
      <w:r w:rsidRPr="00CD59CC">
        <w:rPr>
          <w:rFonts w:ascii="Arial" w:hAnsi="Arial" w:cs="Arial"/>
          <w:i/>
          <w:iCs/>
        </w:rPr>
        <w:t>reduced</w:t>
      </w:r>
      <w:r w:rsidR="007B7640" w:rsidRPr="00CD59CC">
        <w:rPr>
          <w:rFonts w:ascii="Arial" w:hAnsi="Arial" w:cs="Arial"/>
          <w:i/>
          <w:iCs/>
        </w:rPr>
        <w:t xml:space="preserve"> </w:t>
      </w:r>
      <w:r w:rsidRPr="00CD59CC">
        <w:rPr>
          <w:rFonts w:ascii="Arial" w:hAnsi="Arial" w:cs="Arial"/>
          <w:i/>
          <w:iCs/>
        </w:rPr>
        <w:t>rate</w:t>
      </w:r>
      <w:r w:rsidR="007B7640" w:rsidRPr="00CD59CC">
        <w:rPr>
          <w:rFonts w:ascii="Arial" w:hAnsi="Arial" w:cs="Arial"/>
          <w:i/>
          <w:iCs/>
        </w:rPr>
        <w:t xml:space="preserve"> </w:t>
      </w:r>
      <w:r w:rsidRPr="00CD59CC">
        <w:rPr>
          <w:rFonts w:ascii="Arial" w:hAnsi="Arial" w:cs="Arial"/>
          <w:i/>
          <w:iCs/>
        </w:rPr>
        <w:t>train</w:t>
      </w:r>
      <w:r w:rsidR="007B7640" w:rsidRPr="00CD59CC">
        <w:rPr>
          <w:rFonts w:ascii="Arial" w:hAnsi="Arial" w:cs="Arial"/>
          <w:i/>
          <w:iCs/>
        </w:rPr>
        <w:t xml:space="preserve"> </w:t>
      </w:r>
      <w:r w:rsidRPr="00CD59CC">
        <w:rPr>
          <w:rFonts w:ascii="Arial" w:hAnsi="Arial" w:cs="Arial"/>
          <w:i/>
          <w:iCs/>
        </w:rPr>
        <w:t>travel</w:t>
      </w:r>
      <w:r w:rsidR="007B7640" w:rsidRPr="00CD59CC">
        <w:rPr>
          <w:rFonts w:ascii="Arial" w:hAnsi="Arial" w:cs="Arial"/>
          <w:i/>
          <w:iCs/>
        </w:rPr>
        <w:t xml:space="preserve"> </w:t>
      </w:r>
      <w:r w:rsidRPr="00CD59CC">
        <w:rPr>
          <w:rFonts w:ascii="Arial" w:hAnsi="Arial" w:cs="Arial"/>
          <w:i/>
          <w:iCs/>
        </w:rPr>
        <w:t>for</w:t>
      </w:r>
      <w:r w:rsidR="007B7640" w:rsidRPr="00CD59CC">
        <w:rPr>
          <w:rFonts w:ascii="Arial" w:hAnsi="Arial" w:cs="Arial"/>
          <w:i/>
          <w:iCs/>
        </w:rPr>
        <w:t xml:space="preserve"> </w:t>
      </w:r>
      <w:r w:rsidRPr="00CD59CC">
        <w:rPr>
          <w:rFonts w:ascii="Arial" w:hAnsi="Arial" w:cs="Arial"/>
          <w:i/>
          <w:iCs/>
        </w:rPr>
        <w:t>large</w:t>
      </w:r>
      <w:r w:rsidR="007B7640" w:rsidRPr="00CD59CC">
        <w:rPr>
          <w:rFonts w:ascii="Arial" w:hAnsi="Arial" w:cs="Arial"/>
          <w:i/>
          <w:iCs/>
        </w:rPr>
        <w:t xml:space="preserve"> </w:t>
      </w:r>
      <w:r w:rsidRPr="00CD59CC">
        <w:rPr>
          <w:rFonts w:ascii="Arial" w:hAnsi="Arial" w:cs="Arial"/>
          <w:i/>
          <w:iCs/>
        </w:rPr>
        <w:t>families,</w:t>
      </w:r>
      <w:r w:rsidR="007B7640" w:rsidRPr="00CD59CC">
        <w:rPr>
          <w:rFonts w:ascii="Arial" w:hAnsi="Arial" w:cs="Arial"/>
          <w:i/>
          <w:iCs/>
        </w:rPr>
        <w:t xml:space="preserve"> </w:t>
      </w:r>
      <w:r w:rsidRPr="00CD59CC">
        <w:rPr>
          <w:rFonts w:ascii="Arial" w:hAnsi="Arial" w:cs="Arial"/>
          <w:i/>
          <w:iCs/>
        </w:rPr>
        <w:t>child</w:t>
      </w:r>
      <w:r w:rsidR="007B7640" w:rsidRPr="00CD59CC">
        <w:rPr>
          <w:rFonts w:ascii="Arial" w:hAnsi="Arial" w:cs="Arial"/>
          <w:i/>
          <w:iCs/>
        </w:rPr>
        <w:t xml:space="preserve"> </w:t>
      </w:r>
      <w:r w:rsidRPr="00CD59CC">
        <w:rPr>
          <w:rFonts w:ascii="Arial" w:hAnsi="Arial" w:cs="Arial"/>
          <w:i/>
          <w:iCs/>
        </w:rPr>
        <w:t>birth</w:t>
      </w:r>
      <w:r w:rsidR="007B7640" w:rsidRPr="00CD59CC">
        <w:rPr>
          <w:rFonts w:ascii="Arial" w:hAnsi="Arial" w:cs="Arial"/>
          <w:i/>
          <w:iCs/>
        </w:rPr>
        <w:t xml:space="preserve"> </w:t>
      </w:r>
      <w:r w:rsidRPr="00CD59CC">
        <w:rPr>
          <w:rFonts w:ascii="Arial" w:hAnsi="Arial" w:cs="Arial"/>
          <w:i/>
          <w:iCs/>
        </w:rPr>
        <w:t>grants,</w:t>
      </w:r>
      <w:r w:rsidR="007B7640" w:rsidRPr="00CD59CC">
        <w:rPr>
          <w:rFonts w:ascii="Arial" w:hAnsi="Arial" w:cs="Arial"/>
          <w:i/>
          <w:iCs/>
        </w:rPr>
        <w:t xml:space="preserve"> </w:t>
      </w:r>
      <w:r w:rsidRPr="00CD59CC">
        <w:rPr>
          <w:rFonts w:ascii="Arial" w:hAnsi="Arial" w:cs="Arial"/>
          <w:i/>
          <w:iCs/>
        </w:rPr>
        <w:t>funeral</w:t>
      </w:r>
      <w:r w:rsidR="007B7640" w:rsidRPr="00CD59CC">
        <w:rPr>
          <w:rFonts w:ascii="Arial" w:hAnsi="Arial" w:cs="Arial"/>
          <w:i/>
          <w:iCs/>
        </w:rPr>
        <w:t xml:space="preserve"> </w:t>
      </w:r>
      <w:r w:rsidRPr="00CD59CC">
        <w:rPr>
          <w:rFonts w:ascii="Arial" w:hAnsi="Arial" w:cs="Arial"/>
          <w:i/>
          <w:iCs/>
        </w:rPr>
        <w:t>grants</w:t>
      </w:r>
      <w:r w:rsidR="007B7640" w:rsidRPr="00CD59CC">
        <w:rPr>
          <w:rFonts w:ascii="Arial" w:hAnsi="Arial" w:cs="Arial"/>
          <w:i/>
          <w:iCs/>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discounts</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access</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municipal</w:t>
      </w:r>
      <w:r w:rsidR="007B7640" w:rsidRPr="00CD59CC">
        <w:rPr>
          <w:rFonts w:ascii="Arial" w:hAnsi="Arial" w:cs="Arial"/>
          <w:i/>
        </w:rPr>
        <w:t xml:space="preserve"> </w:t>
      </w:r>
      <w:r w:rsidRPr="00CD59CC">
        <w:rPr>
          <w:rFonts w:ascii="Arial" w:hAnsi="Arial" w:cs="Arial"/>
          <w:i/>
        </w:rPr>
        <w:t>leisure</w:t>
      </w:r>
      <w:r w:rsidR="007B7640" w:rsidRPr="00CD59CC">
        <w:rPr>
          <w:rFonts w:ascii="Arial" w:hAnsi="Arial" w:cs="Arial"/>
          <w:i/>
        </w:rPr>
        <w:t xml:space="preserve"> </w:t>
      </w:r>
      <w:r w:rsidRPr="00CD59CC">
        <w:rPr>
          <w:rFonts w:ascii="Arial" w:hAnsi="Arial" w:cs="Arial"/>
          <w:i/>
        </w:rPr>
        <w:t>facilities.</w:t>
      </w:r>
      <w:r w:rsidR="007B7640" w:rsidRPr="00CD59CC">
        <w:rPr>
          <w:rFonts w:ascii="Arial" w:hAnsi="Arial" w:cs="Arial"/>
          <w:i/>
        </w:rPr>
        <w:t xml:space="preserve"> </w:t>
      </w:r>
      <w:r w:rsidRPr="00CD59CC">
        <w:rPr>
          <w:rFonts w:ascii="Arial" w:hAnsi="Arial" w:cs="Arial"/>
          <w:i/>
        </w:rPr>
        <w:t>It</w:t>
      </w:r>
      <w:r w:rsidR="007B7640" w:rsidRPr="00CD59CC">
        <w:rPr>
          <w:rFonts w:ascii="Arial" w:hAnsi="Arial" w:cs="Arial"/>
          <w:i/>
        </w:rPr>
        <w:t xml:space="preserve"> </w:t>
      </w:r>
      <w:r w:rsidRPr="00CD59CC">
        <w:rPr>
          <w:rFonts w:ascii="Arial" w:hAnsi="Arial" w:cs="Arial"/>
          <w:i/>
        </w:rPr>
        <w:t>may</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difficult</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give</w:t>
      </w:r>
      <w:r w:rsidR="007B7640" w:rsidRPr="00CD59CC">
        <w:rPr>
          <w:rFonts w:ascii="Arial" w:hAnsi="Arial" w:cs="Arial"/>
          <w:i/>
        </w:rPr>
        <w:t xml:space="preserve"> </w:t>
      </w:r>
      <w:r w:rsidRPr="00CD59CC">
        <w:rPr>
          <w:rFonts w:ascii="Arial" w:hAnsi="Arial" w:cs="Arial"/>
          <w:i/>
        </w:rPr>
        <w:t>an</w:t>
      </w:r>
      <w:r w:rsidR="007B7640" w:rsidRPr="00CD59CC">
        <w:rPr>
          <w:rFonts w:ascii="Arial" w:hAnsi="Arial" w:cs="Arial"/>
          <w:i/>
        </w:rPr>
        <w:t xml:space="preserve"> </w:t>
      </w:r>
      <w:r w:rsidRPr="00CD59CC">
        <w:rPr>
          <w:rFonts w:ascii="Arial" w:hAnsi="Arial" w:cs="Arial"/>
          <w:i/>
        </w:rPr>
        <w:t>exhaustive</w:t>
      </w:r>
      <w:r w:rsidR="007B7640" w:rsidRPr="00CD59CC">
        <w:rPr>
          <w:rFonts w:ascii="Arial" w:hAnsi="Arial" w:cs="Arial"/>
          <w:i/>
        </w:rPr>
        <w:t xml:space="preserve"> </w:t>
      </w:r>
      <w:r w:rsidRPr="00CD59CC">
        <w:rPr>
          <w:rFonts w:ascii="Arial" w:hAnsi="Arial" w:cs="Arial"/>
          <w:i/>
        </w:rPr>
        <w:t>analysis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whether</w:t>
      </w:r>
      <w:r w:rsidR="007B7640" w:rsidRPr="00CD59CC">
        <w:rPr>
          <w:rFonts w:ascii="Arial" w:hAnsi="Arial" w:cs="Arial"/>
          <w:i/>
        </w:rPr>
        <w:t xml:space="preserve"> </w:t>
      </w:r>
      <w:r w:rsidRPr="00CD59CC">
        <w:rPr>
          <w:rFonts w:ascii="Arial" w:hAnsi="Arial" w:cs="Arial"/>
          <w:i/>
        </w:rPr>
        <w:t>this</w:t>
      </w:r>
      <w:r w:rsidR="007B7640" w:rsidRPr="00CD59CC">
        <w:rPr>
          <w:rFonts w:ascii="Arial" w:hAnsi="Arial" w:cs="Arial"/>
          <w:i/>
        </w:rPr>
        <w:t xml:space="preserve"> </w:t>
      </w:r>
      <w:r w:rsidRPr="00CD59CC">
        <w:rPr>
          <w:rFonts w:ascii="Arial" w:hAnsi="Arial" w:cs="Arial"/>
          <w:i/>
        </w:rPr>
        <w:t>category</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fully</w:t>
      </w:r>
      <w:r w:rsidR="007B7640" w:rsidRPr="00CD59CC">
        <w:rPr>
          <w:rFonts w:ascii="Arial" w:hAnsi="Arial" w:cs="Arial"/>
          <w:i/>
        </w:rPr>
        <w:t xml:space="preserve"> </w:t>
      </w:r>
      <w:r w:rsidRPr="00CD59CC">
        <w:rPr>
          <w:rFonts w:ascii="Arial" w:hAnsi="Arial" w:cs="Arial"/>
          <w:i/>
        </w:rPr>
        <w:t>covered</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but</w:t>
      </w:r>
      <w:r w:rsidR="007B7640" w:rsidRPr="00CD59CC">
        <w:rPr>
          <w:rFonts w:ascii="Arial" w:hAnsi="Arial" w:cs="Arial"/>
          <w:i/>
        </w:rPr>
        <w:t xml:space="preserve"> </w:t>
      </w:r>
      <w:r w:rsidRPr="00CD59CC">
        <w:rPr>
          <w:rFonts w:ascii="Arial" w:hAnsi="Arial" w:cs="Arial"/>
          <w:i/>
        </w:rPr>
        <w:t>you</w:t>
      </w:r>
      <w:r w:rsidR="007B7640" w:rsidRPr="00CD59CC">
        <w:rPr>
          <w:rFonts w:ascii="Arial" w:hAnsi="Arial" w:cs="Arial"/>
          <w:i/>
        </w:rPr>
        <w:t xml:space="preserve"> </w:t>
      </w:r>
      <w:r w:rsidRPr="00CD59CC">
        <w:rPr>
          <w:rFonts w:ascii="Arial" w:hAnsi="Arial" w:cs="Arial"/>
          <w:i/>
        </w:rPr>
        <w:t>should</w:t>
      </w:r>
      <w:r w:rsidR="007B7640" w:rsidRPr="00CD59CC">
        <w:rPr>
          <w:rFonts w:ascii="Arial" w:hAnsi="Arial" w:cs="Arial"/>
          <w:i/>
        </w:rPr>
        <w:t xml:space="preserve"> </w:t>
      </w:r>
      <w:r w:rsidRPr="00CD59CC">
        <w:rPr>
          <w:rFonts w:ascii="Arial" w:hAnsi="Arial" w:cs="Arial"/>
          <w:i/>
        </w:rPr>
        <w:t>indicate</w:t>
      </w:r>
      <w:r w:rsidR="007B7640" w:rsidRPr="00CD59CC">
        <w:rPr>
          <w:rFonts w:ascii="Arial" w:hAnsi="Arial" w:cs="Arial"/>
          <w:i/>
        </w:rPr>
        <w:t xml:space="preserve"> </w:t>
      </w:r>
      <w:r w:rsidRPr="00CD59CC">
        <w:rPr>
          <w:rFonts w:ascii="Arial" w:hAnsi="Arial" w:cs="Arial"/>
          <w:i/>
        </w:rPr>
        <w:t>whether</w:t>
      </w:r>
      <w:r w:rsidR="007B7640" w:rsidRPr="00CD59CC">
        <w:rPr>
          <w:rFonts w:ascii="Arial" w:hAnsi="Arial" w:cs="Arial"/>
          <w:i/>
        </w:rPr>
        <w:t xml:space="preserve"> </w:t>
      </w:r>
      <w:r w:rsidRPr="00CD59CC">
        <w:rPr>
          <w:rFonts w:ascii="Arial" w:hAnsi="Arial" w:cs="Arial"/>
          <w:i/>
        </w:rPr>
        <w:t>national</w:t>
      </w:r>
      <w:r w:rsidR="007B7640" w:rsidRPr="00CD59CC">
        <w:rPr>
          <w:rFonts w:ascii="Arial" w:hAnsi="Arial" w:cs="Arial"/>
          <w:i/>
        </w:rPr>
        <w:t xml:space="preserve"> </w:t>
      </w:r>
      <w:r w:rsidRPr="00CD59CC">
        <w:rPr>
          <w:rFonts w:ascii="Arial" w:hAnsi="Arial" w:cs="Arial"/>
          <w:i/>
        </w:rPr>
        <w:t>law</w:t>
      </w:r>
      <w:r w:rsidR="007B7640" w:rsidRPr="00CD59CC">
        <w:rPr>
          <w:rFonts w:ascii="Arial" w:hAnsi="Arial" w:cs="Arial"/>
          <w:i/>
        </w:rPr>
        <w:t xml:space="preserve"> </w:t>
      </w:r>
      <w:r w:rsidRPr="00CD59CC">
        <w:rPr>
          <w:rFonts w:ascii="Arial" w:hAnsi="Arial" w:cs="Arial"/>
          <w:i/>
        </w:rPr>
        <w:t>explicitly</w:t>
      </w:r>
      <w:r w:rsidR="007B7640" w:rsidRPr="00CD59CC">
        <w:rPr>
          <w:rFonts w:ascii="Arial" w:hAnsi="Arial" w:cs="Arial"/>
          <w:i/>
        </w:rPr>
        <w:t xml:space="preserve"> </w:t>
      </w:r>
      <w:r w:rsidRPr="00CD59CC">
        <w:rPr>
          <w:rFonts w:ascii="Arial" w:hAnsi="Arial" w:cs="Arial"/>
          <w:i/>
        </w:rPr>
        <w:t>addresses</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category</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‘social</w:t>
      </w:r>
      <w:r w:rsidR="007B7640" w:rsidRPr="00CD59CC">
        <w:rPr>
          <w:rFonts w:ascii="Arial" w:hAnsi="Arial" w:cs="Arial"/>
          <w:i/>
        </w:rPr>
        <w:t xml:space="preserve"> </w:t>
      </w:r>
      <w:r w:rsidRPr="00CD59CC">
        <w:rPr>
          <w:rFonts w:ascii="Arial" w:hAnsi="Arial" w:cs="Arial"/>
          <w:i/>
        </w:rPr>
        <w:t>advantages’</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if</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this</w:t>
      </w:r>
      <w:r w:rsidR="007B7640" w:rsidRPr="00CD59CC">
        <w:rPr>
          <w:rFonts w:ascii="Arial" w:hAnsi="Arial" w:cs="Arial"/>
          <w:i/>
        </w:rPr>
        <w:t xml:space="preserve"> </w:t>
      </w:r>
      <w:r w:rsidRPr="00CD59CC">
        <w:rPr>
          <w:rFonts w:ascii="Arial" w:hAnsi="Arial" w:cs="Arial"/>
          <w:i/>
        </w:rPr>
        <w:t>area</w:t>
      </w:r>
      <w:r w:rsidR="007B7640" w:rsidRPr="00CD59CC">
        <w:rPr>
          <w:rFonts w:ascii="Arial" w:hAnsi="Arial" w:cs="Arial"/>
          <w:i/>
        </w:rPr>
        <w:t xml:space="preserve"> </w:t>
      </w:r>
      <w:r w:rsidRPr="00CD59CC">
        <w:rPr>
          <w:rFonts w:ascii="Arial" w:hAnsi="Arial" w:cs="Arial"/>
          <w:i/>
        </w:rPr>
        <w:t>is</w:t>
      </w:r>
      <w:r w:rsidR="007B7640" w:rsidRPr="00CD59CC">
        <w:rPr>
          <w:rFonts w:ascii="Arial" w:hAnsi="Arial" w:cs="Arial"/>
          <w:i/>
        </w:rPr>
        <w:t xml:space="preserve"> </w:t>
      </w:r>
      <w:r w:rsidRPr="00CD59CC">
        <w:rPr>
          <w:rFonts w:ascii="Arial" w:hAnsi="Arial" w:cs="Arial"/>
          <w:i/>
        </w:rPr>
        <w:t>likely</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be</w:t>
      </w:r>
      <w:r w:rsidR="007B7640" w:rsidRPr="00CD59CC">
        <w:rPr>
          <w:rFonts w:ascii="Arial" w:hAnsi="Arial" w:cs="Arial"/>
          <w:i/>
        </w:rPr>
        <w:t xml:space="preserve"> </w:t>
      </w:r>
      <w:r w:rsidRPr="00CD59CC">
        <w:rPr>
          <w:rFonts w:ascii="Arial" w:hAnsi="Arial" w:cs="Arial"/>
          <w:i/>
        </w:rPr>
        <w:t>unlawful.</w:t>
      </w:r>
      <w:r w:rsidR="007B7640" w:rsidRPr="00CD59CC">
        <w:rPr>
          <w:rFonts w:ascii="Arial" w:hAnsi="Arial" w:cs="Arial"/>
          <w:i/>
        </w:rPr>
        <w:t xml:space="preserve"> </w:t>
      </w:r>
    </w:p>
    <w:p w14:paraId="3604BBF7" w14:textId="77777777" w:rsidR="002B5BCD" w:rsidRPr="00CD59CC" w:rsidRDefault="002B5BCD" w:rsidP="00CD59CC">
      <w:pPr>
        <w:rPr>
          <w:rFonts w:ascii="Arial" w:hAnsi="Arial" w:cs="Arial"/>
        </w:rPr>
      </w:pPr>
    </w:p>
    <w:p w14:paraId="6EABB484" w14:textId="77777777" w:rsidR="007F2EEE" w:rsidRPr="00CD59CC" w:rsidRDefault="007F2EEE" w:rsidP="00CD59CC">
      <w:pPr>
        <w:pStyle w:val="Szvegtrzs31"/>
        <w:spacing w:after="0"/>
        <w:jc w:val="left"/>
        <w:rPr>
          <w:rFonts w:ascii="Arial" w:hAnsi="Arial" w:cs="Arial"/>
          <w:i w:val="0"/>
          <w:lang w:val="en-GB"/>
        </w:rPr>
      </w:pPr>
      <w:r w:rsidRPr="00CD59CC">
        <w:rPr>
          <w:rFonts w:ascii="Arial" w:hAnsi="Arial" w:cs="Arial"/>
          <w:i w:val="0"/>
          <w:lang w:val="en-GB"/>
        </w:rPr>
        <w:t>National</w:t>
      </w:r>
      <w:r w:rsidR="007B7640" w:rsidRPr="00CD59CC">
        <w:rPr>
          <w:rFonts w:ascii="Arial" w:hAnsi="Arial" w:cs="Arial"/>
          <w:i w:val="0"/>
          <w:lang w:val="en-GB"/>
        </w:rPr>
        <w:t xml:space="preserve"> </w:t>
      </w:r>
      <w:r w:rsidRPr="00CD59CC">
        <w:rPr>
          <w:rFonts w:ascii="Arial" w:hAnsi="Arial" w:cs="Arial"/>
          <w:i w:val="0"/>
          <w:lang w:val="en-GB"/>
        </w:rPr>
        <w:t>law</w:t>
      </w:r>
      <w:r w:rsidR="007B7640" w:rsidRPr="00CD59CC">
        <w:rPr>
          <w:rFonts w:ascii="Arial" w:hAnsi="Arial" w:cs="Arial"/>
          <w:i w:val="0"/>
          <w:lang w:val="en-GB"/>
        </w:rPr>
        <w:t xml:space="preserve"> </w:t>
      </w:r>
      <w:r w:rsidRPr="00CD59CC">
        <w:rPr>
          <w:rFonts w:ascii="Arial" w:hAnsi="Arial" w:cs="Arial"/>
          <w:i w:val="0"/>
          <w:lang w:val="en-GB"/>
        </w:rPr>
        <w:t>does</w:t>
      </w:r>
      <w:r w:rsidR="007B7640" w:rsidRPr="00CD59CC">
        <w:rPr>
          <w:rFonts w:ascii="Arial" w:hAnsi="Arial" w:cs="Arial"/>
          <w:i w:val="0"/>
          <w:lang w:val="en-GB"/>
        </w:rPr>
        <w:t xml:space="preserve"> </w:t>
      </w:r>
      <w:r w:rsidRPr="00CD59CC">
        <w:rPr>
          <w:rFonts w:ascii="Arial" w:hAnsi="Arial" w:cs="Arial"/>
          <w:i w:val="0"/>
          <w:lang w:val="en-GB"/>
        </w:rPr>
        <w:t>not</w:t>
      </w:r>
      <w:r w:rsidR="007B7640" w:rsidRPr="00CD59CC">
        <w:rPr>
          <w:rFonts w:ascii="Arial" w:hAnsi="Arial" w:cs="Arial"/>
          <w:i w:val="0"/>
          <w:lang w:val="en-GB"/>
        </w:rPr>
        <w:t xml:space="preserve"> </w:t>
      </w:r>
      <w:r w:rsidRPr="00CD59CC">
        <w:rPr>
          <w:rFonts w:ascii="Arial" w:hAnsi="Arial" w:cs="Arial"/>
          <w:i w:val="0"/>
          <w:lang w:val="en-GB"/>
        </w:rPr>
        <w:t>specifically</w:t>
      </w:r>
      <w:r w:rsidR="007B7640" w:rsidRPr="00CD59CC">
        <w:rPr>
          <w:rFonts w:ascii="Arial" w:hAnsi="Arial" w:cs="Arial"/>
          <w:i w:val="0"/>
          <w:lang w:val="en-GB"/>
        </w:rPr>
        <w:t xml:space="preserve"> </w:t>
      </w:r>
      <w:r w:rsidRPr="00CD59CC">
        <w:rPr>
          <w:rFonts w:ascii="Arial" w:hAnsi="Arial" w:cs="Arial"/>
          <w:i w:val="0"/>
          <w:lang w:val="en-GB"/>
        </w:rPr>
        <w:t>address</w:t>
      </w:r>
      <w:r w:rsidR="007B7640" w:rsidRPr="00CD59CC">
        <w:rPr>
          <w:rFonts w:ascii="Arial" w:hAnsi="Arial" w:cs="Arial"/>
          <w:i w:val="0"/>
          <w:lang w:val="en-GB"/>
        </w:rPr>
        <w:t xml:space="preserve"> </w:t>
      </w:r>
      <w:r w:rsidRPr="00CD59CC">
        <w:rPr>
          <w:rFonts w:ascii="Arial" w:hAnsi="Arial" w:cs="Arial"/>
          <w:i w:val="0"/>
          <w:lang w:val="en-GB"/>
        </w:rPr>
        <w:t>social</w:t>
      </w:r>
      <w:r w:rsidR="007B7640" w:rsidRPr="00CD59CC">
        <w:rPr>
          <w:rFonts w:ascii="Arial" w:hAnsi="Arial" w:cs="Arial"/>
          <w:i w:val="0"/>
          <w:lang w:val="en-GB"/>
        </w:rPr>
        <w:t xml:space="preserve"> </w:t>
      </w:r>
      <w:r w:rsidRPr="00CD59CC">
        <w:rPr>
          <w:rFonts w:ascii="Arial" w:hAnsi="Arial" w:cs="Arial"/>
          <w:i w:val="0"/>
          <w:lang w:val="en-GB"/>
        </w:rPr>
        <w:t>advantages,</w:t>
      </w:r>
      <w:r w:rsidR="007B7640" w:rsidRPr="00CD59CC">
        <w:rPr>
          <w:rFonts w:ascii="Arial" w:hAnsi="Arial" w:cs="Arial"/>
          <w:i w:val="0"/>
          <w:lang w:val="en-GB"/>
        </w:rPr>
        <w:t xml:space="preserve"> </w:t>
      </w:r>
      <w:r w:rsidRPr="00CD59CC">
        <w:rPr>
          <w:rFonts w:ascii="Arial" w:hAnsi="Arial" w:cs="Arial"/>
          <w:i w:val="0"/>
          <w:lang w:val="en-GB"/>
        </w:rPr>
        <w:t>but</w:t>
      </w:r>
      <w:r w:rsidR="007B7640" w:rsidRPr="00CD59CC">
        <w:rPr>
          <w:rFonts w:ascii="Arial" w:hAnsi="Arial" w:cs="Arial"/>
          <w:i w:val="0"/>
          <w:lang w:val="en-GB"/>
        </w:rPr>
        <w:t xml:space="preserve"> </w:t>
      </w:r>
      <w:r w:rsidRPr="00CD59CC">
        <w:rPr>
          <w:rFonts w:ascii="Arial" w:hAnsi="Arial" w:cs="Arial"/>
          <w:i w:val="0"/>
          <w:lang w:val="en-GB"/>
        </w:rPr>
        <w:t>discrimination</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this</w:t>
      </w:r>
      <w:r w:rsidR="007B7640" w:rsidRPr="00CD59CC">
        <w:rPr>
          <w:rFonts w:ascii="Arial" w:hAnsi="Arial" w:cs="Arial"/>
          <w:i w:val="0"/>
          <w:lang w:val="en-GB"/>
        </w:rPr>
        <w:t xml:space="preserve"> </w:t>
      </w:r>
      <w:r w:rsidRPr="00CD59CC">
        <w:rPr>
          <w:rFonts w:ascii="Arial" w:hAnsi="Arial" w:cs="Arial"/>
          <w:i w:val="0"/>
          <w:lang w:val="en-GB"/>
        </w:rPr>
        <w:t>area</w:t>
      </w:r>
      <w:r w:rsidR="007B7640" w:rsidRPr="00CD59CC">
        <w:rPr>
          <w:rFonts w:ascii="Arial" w:hAnsi="Arial" w:cs="Arial"/>
          <w:i w:val="0"/>
          <w:lang w:val="en-GB"/>
        </w:rPr>
        <w:t xml:space="preserve"> </w:t>
      </w:r>
      <w:r w:rsidRPr="00CD59CC">
        <w:rPr>
          <w:rFonts w:ascii="Arial" w:hAnsi="Arial" w:cs="Arial"/>
          <w:i w:val="0"/>
          <w:lang w:val="en-GB"/>
        </w:rPr>
        <w:t>could</w:t>
      </w:r>
      <w:r w:rsidR="007B7640" w:rsidRPr="00CD59CC">
        <w:rPr>
          <w:rFonts w:ascii="Arial" w:hAnsi="Arial" w:cs="Arial"/>
          <w:i w:val="0"/>
          <w:lang w:val="en-GB"/>
        </w:rPr>
        <w:t xml:space="preserve"> </w:t>
      </w:r>
      <w:r w:rsidRPr="00CD59CC">
        <w:rPr>
          <w:rFonts w:ascii="Arial" w:hAnsi="Arial" w:cs="Arial"/>
          <w:i w:val="0"/>
          <w:lang w:val="en-GB"/>
        </w:rPr>
        <w:t>easily</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argued</w:t>
      </w:r>
      <w:r w:rsidR="007B7640" w:rsidRPr="00CD59CC">
        <w:rPr>
          <w:rFonts w:ascii="Arial" w:hAnsi="Arial" w:cs="Arial"/>
          <w:i w:val="0"/>
          <w:lang w:val="en-GB"/>
        </w:rPr>
        <w:t xml:space="preserve"> </w:t>
      </w:r>
      <w:r w:rsidRPr="00CD59CC">
        <w:rPr>
          <w:rFonts w:ascii="Arial" w:hAnsi="Arial" w:cs="Arial"/>
          <w:i w:val="0"/>
          <w:lang w:val="en-GB"/>
        </w:rPr>
        <w:t>to</w:t>
      </w:r>
      <w:r w:rsidR="007B7640" w:rsidRPr="00CD59CC">
        <w:rPr>
          <w:rFonts w:ascii="Arial" w:hAnsi="Arial" w:cs="Arial"/>
          <w:i w:val="0"/>
          <w:lang w:val="en-GB"/>
        </w:rPr>
        <w:t xml:space="preserve"> </w:t>
      </w:r>
      <w:r w:rsidRPr="00CD59CC">
        <w:rPr>
          <w:rFonts w:ascii="Arial" w:hAnsi="Arial" w:cs="Arial"/>
          <w:i w:val="0"/>
          <w:lang w:val="en-GB"/>
        </w:rPr>
        <w:t>be</w:t>
      </w:r>
      <w:r w:rsidR="007B7640" w:rsidRPr="00CD59CC">
        <w:rPr>
          <w:rFonts w:ascii="Arial" w:hAnsi="Arial" w:cs="Arial"/>
          <w:i w:val="0"/>
          <w:lang w:val="en-GB"/>
        </w:rPr>
        <w:t xml:space="preserve"> </w:t>
      </w:r>
      <w:r w:rsidRPr="00CD59CC">
        <w:rPr>
          <w:rFonts w:ascii="Arial" w:hAnsi="Arial" w:cs="Arial"/>
          <w:i w:val="0"/>
          <w:lang w:val="en-GB"/>
        </w:rPr>
        <w:t>unlawful</w:t>
      </w:r>
      <w:r w:rsidR="007B7640" w:rsidRPr="00CD59CC">
        <w:rPr>
          <w:rFonts w:ascii="Arial" w:hAnsi="Arial" w:cs="Arial"/>
          <w:i w:val="0"/>
          <w:lang w:val="en-GB"/>
        </w:rPr>
        <w:t xml:space="preserve"> </w:t>
      </w: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Hungarian</w:t>
      </w:r>
      <w:r w:rsidR="007B7640" w:rsidRPr="00CD59CC">
        <w:rPr>
          <w:rFonts w:ascii="Arial" w:hAnsi="Arial" w:cs="Arial"/>
          <w:i w:val="0"/>
          <w:lang w:val="en-GB"/>
        </w:rPr>
        <w:t xml:space="preserve"> </w:t>
      </w:r>
      <w:r w:rsidRPr="00CD59CC">
        <w:rPr>
          <w:rFonts w:ascii="Arial" w:hAnsi="Arial" w:cs="Arial"/>
          <w:i w:val="0"/>
          <w:lang w:val="en-GB"/>
        </w:rPr>
        <w:t>law,</w:t>
      </w:r>
      <w:r w:rsidR="007B7640" w:rsidRPr="00CD59CC">
        <w:rPr>
          <w:rFonts w:ascii="Arial" w:hAnsi="Arial" w:cs="Arial"/>
          <w:i w:val="0"/>
          <w:lang w:val="en-GB"/>
        </w:rPr>
        <w:t xml:space="preserve"> </w:t>
      </w:r>
      <w:r w:rsidRPr="00CD59CC">
        <w:rPr>
          <w:rFonts w:ascii="Arial" w:hAnsi="Arial" w:cs="Arial"/>
          <w:i w:val="0"/>
          <w:lang w:val="en-GB"/>
        </w:rPr>
        <w:t>especially</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discriminator</w:t>
      </w:r>
      <w:r w:rsidR="007B7640" w:rsidRPr="00CD59CC">
        <w:rPr>
          <w:rFonts w:ascii="Arial" w:hAnsi="Arial" w:cs="Arial"/>
          <w:i w:val="0"/>
          <w:lang w:val="en-GB"/>
        </w:rPr>
        <w:t xml:space="preserve"> </w:t>
      </w:r>
      <w:r w:rsidRPr="00CD59CC">
        <w:rPr>
          <w:rFonts w:ascii="Arial" w:hAnsi="Arial" w:cs="Arial"/>
          <w:i w:val="0"/>
          <w:lang w:val="en-GB"/>
        </w:rPr>
        <w:t>falls</w:t>
      </w:r>
      <w:r w:rsidR="007B7640" w:rsidRPr="00CD59CC">
        <w:rPr>
          <w:rFonts w:ascii="Arial" w:hAnsi="Arial" w:cs="Arial"/>
          <w:i w:val="0"/>
          <w:lang w:val="en-GB"/>
        </w:rPr>
        <w:t xml:space="preserve"> </w:t>
      </w: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personal</w:t>
      </w:r>
      <w:r w:rsidR="007B7640" w:rsidRPr="00CD59CC">
        <w:rPr>
          <w:rFonts w:ascii="Arial" w:hAnsi="Arial" w:cs="Arial"/>
          <w:i w:val="0"/>
          <w:lang w:val="en-GB"/>
        </w:rPr>
        <w:t xml:space="preserve"> </w:t>
      </w:r>
      <w:r w:rsidRPr="00CD59CC">
        <w:rPr>
          <w:rFonts w:ascii="Arial" w:hAnsi="Arial" w:cs="Arial"/>
          <w:i w:val="0"/>
          <w:lang w:val="en-GB"/>
        </w:rPr>
        <w:t>scope</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ETA.</w:t>
      </w:r>
      <w:r w:rsidR="007B7640" w:rsidRPr="00CD59CC">
        <w:rPr>
          <w:rFonts w:ascii="Arial" w:hAnsi="Arial" w:cs="Arial"/>
          <w:i w:val="0"/>
          <w:lang w:val="en-GB"/>
        </w:rPr>
        <w:t xml:space="preserve"> </w:t>
      </w:r>
    </w:p>
    <w:p w14:paraId="4C391839" w14:textId="77777777" w:rsidR="007F2EEE" w:rsidRPr="00CD59CC" w:rsidRDefault="007F2EEE" w:rsidP="00CD59CC">
      <w:pPr>
        <w:rPr>
          <w:rFonts w:ascii="Arial" w:hAnsi="Arial" w:cs="Arial"/>
        </w:rPr>
      </w:pPr>
    </w:p>
    <w:p w14:paraId="45632EAE" w14:textId="77777777" w:rsidR="007F2EEE" w:rsidRPr="00CD59CC" w:rsidRDefault="007F2EEE" w:rsidP="00CD59CC">
      <w:pPr>
        <w:rPr>
          <w:rFonts w:ascii="Arial" w:hAnsi="Arial" w:cs="Arial"/>
        </w:rPr>
      </w:pPr>
      <w:r w:rsidRPr="00CD59CC">
        <w:rPr>
          <w:rFonts w:ascii="Arial" w:hAnsi="Arial" w:cs="Arial"/>
        </w:rPr>
        <w:t>An</w:t>
      </w:r>
      <w:r w:rsidR="007B7640" w:rsidRPr="00CD59CC">
        <w:rPr>
          <w:rFonts w:ascii="Arial" w:hAnsi="Arial" w:cs="Arial"/>
        </w:rPr>
        <w:t xml:space="preserve"> </w:t>
      </w:r>
      <w:r w:rsidRPr="00CD59CC">
        <w:rPr>
          <w:rFonts w:ascii="Arial" w:hAnsi="Arial" w:cs="Arial"/>
        </w:rPr>
        <w:t>example</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provided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68/2008</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Authority</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based</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political</w:t>
      </w:r>
      <w:r w:rsidR="007B7640" w:rsidRPr="00CD59CC">
        <w:rPr>
          <w:rFonts w:ascii="Arial" w:hAnsi="Arial" w:cs="Arial"/>
        </w:rPr>
        <w:t xml:space="preserve"> </w:t>
      </w:r>
      <w:r w:rsidRPr="00CD59CC">
        <w:rPr>
          <w:rFonts w:ascii="Arial" w:hAnsi="Arial" w:cs="Arial"/>
        </w:rPr>
        <w:t>opinion</w:t>
      </w:r>
      <w:r w:rsidR="007B7640" w:rsidRPr="00CD59CC">
        <w:rPr>
          <w:rFonts w:ascii="Arial" w:hAnsi="Arial" w:cs="Arial"/>
        </w:rPr>
        <w:t xml:space="preserve"> </w:t>
      </w:r>
      <w:r w:rsidRPr="00CD59CC">
        <w:rPr>
          <w:rFonts w:ascii="Arial" w:hAnsi="Arial" w:cs="Arial"/>
        </w:rPr>
        <w:t>when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village</w:t>
      </w:r>
      <w:r w:rsidR="007B7640" w:rsidRPr="00CD59CC">
        <w:rPr>
          <w:rFonts w:ascii="Arial" w:hAnsi="Arial" w:cs="Arial"/>
        </w:rPr>
        <w:t xml:space="preserve"> </w:t>
      </w:r>
      <w:r w:rsidRPr="00CD59CC">
        <w:rPr>
          <w:rFonts w:ascii="Arial" w:hAnsi="Arial" w:cs="Arial"/>
        </w:rPr>
        <w:t>instructed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conductor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“village</w:t>
      </w:r>
      <w:r w:rsidR="007B7640" w:rsidRPr="00CD59CC">
        <w:rPr>
          <w:rFonts w:ascii="Arial" w:hAnsi="Arial" w:cs="Arial"/>
        </w:rPr>
        <w:t xml:space="preserve"> </w:t>
      </w:r>
      <w:r w:rsidRPr="00CD59CC">
        <w:rPr>
          <w:rFonts w:ascii="Arial" w:hAnsi="Arial" w:cs="Arial"/>
        </w:rPr>
        <w:t>bus”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bus-line</w:t>
      </w:r>
      <w:r w:rsidR="007B7640" w:rsidRPr="00CD59CC">
        <w:rPr>
          <w:rFonts w:ascii="Arial" w:hAnsi="Arial" w:cs="Arial"/>
        </w:rPr>
        <w:t xml:space="preserve"> </w:t>
      </w:r>
      <w:r w:rsidRPr="00CD59CC">
        <w:rPr>
          <w:rFonts w:ascii="Arial" w:hAnsi="Arial" w:cs="Arial"/>
        </w:rPr>
        <w:t>operated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local</w:t>
      </w:r>
      <w:r w:rsidR="007B7640" w:rsidRPr="00CD59CC">
        <w:rPr>
          <w:rFonts w:ascii="Arial" w:hAnsi="Arial" w:cs="Arial"/>
        </w:rPr>
        <w:t xml:space="preserve"> </w:t>
      </w:r>
      <w:r w:rsidRPr="00CD59CC">
        <w:rPr>
          <w:rFonts w:ascii="Arial" w:hAnsi="Arial" w:cs="Arial"/>
        </w:rPr>
        <w:t>council</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guarantee</w:t>
      </w:r>
      <w:r w:rsidR="007B7640" w:rsidRPr="00CD59CC">
        <w:rPr>
          <w:rFonts w:ascii="Arial" w:hAnsi="Arial" w:cs="Arial"/>
        </w:rPr>
        <w:t xml:space="preserve"> </w:t>
      </w:r>
      <w:r w:rsidRPr="00CD59CC">
        <w:rPr>
          <w:rFonts w:ascii="Arial" w:hAnsi="Arial" w:cs="Arial"/>
        </w:rPr>
        <w:t>appropriate</w:t>
      </w:r>
      <w:r w:rsidR="007B7640" w:rsidRPr="00CD59CC">
        <w:rPr>
          <w:rFonts w:ascii="Arial" w:hAnsi="Arial" w:cs="Arial"/>
        </w:rPr>
        <w:t xml:space="preserve"> </w:t>
      </w:r>
      <w:r w:rsidRPr="00CD59CC">
        <w:rPr>
          <w:rFonts w:ascii="Arial" w:hAnsi="Arial" w:cs="Arial"/>
        </w:rPr>
        <w:t>transportation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residents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social</w:t>
      </w:r>
      <w:r w:rsidR="007B7640" w:rsidRPr="00CD59CC">
        <w:rPr>
          <w:rFonts w:ascii="Arial" w:hAnsi="Arial" w:cs="Arial"/>
        </w:rPr>
        <w:t xml:space="preserve"> </w:t>
      </w:r>
      <w:r w:rsidRPr="00CD59CC">
        <w:rPr>
          <w:rFonts w:ascii="Arial" w:hAnsi="Arial" w:cs="Arial"/>
        </w:rPr>
        <w:t>purposes,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going</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school,</w:t>
      </w:r>
      <w:r w:rsidR="007B7640" w:rsidRPr="00CD59CC">
        <w:rPr>
          <w:rFonts w:ascii="Arial" w:hAnsi="Arial" w:cs="Arial"/>
        </w:rPr>
        <w:t xml:space="preserve"> </w:t>
      </w:r>
      <w:r w:rsidRPr="00CD59CC">
        <w:rPr>
          <w:rFonts w:ascii="Arial" w:hAnsi="Arial" w:cs="Arial"/>
        </w:rPr>
        <w:t>visiting</w:t>
      </w:r>
      <w:r w:rsidR="007B7640" w:rsidRPr="00CD59CC">
        <w:rPr>
          <w:rFonts w:ascii="Arial" w:hAnsi="Arial" w:cs="Arial"/>
        </w:rPr>
        <w:t xml:space="preserve"> </w:t>
      </w:r>
      <w:r w:rsidRPr="00CD59CC">
        <w:rPr>
          <w:rFonts w:ascii="Arial" w:hAnsi="Arial" w:cs="Arial"/>
        </w:rPr>
        <w:t>sick</w:t>
      </w:r>
      <w:r w:rsidR="007B7640" w:rsidRPr="00CD59CC">
        <w:rPr>
          <w:rFonts w:ascii="Arial" w:hAnsi="Arial" w:cs="Arial"/>
        </w:rPr>
        <w:t xml:space="preserve"> </w:t>
      </w:r>
      <w:r w:rsidRPr="00CD59CC">
        <w:rPr>
          <w:rFonts w:ascii="Arial" w:hAnsi="Arial" w:cs="Arial"/>
        </w:rPr>
        <w:t>relatives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hospital,</w:t>
      </w:r>
      <w:r w:rsidR="007B7640" w:rsidRPr="00CD59CC">
        <w:rPr>
          <w:rFonts w:ascii="Arial" w:hAnsi="Arial" w:cs="Arial"/>
        </w:rPr>
        <w:t xml:space="preserve"> </w:t>
      </w:r>
      <w:r w:rsidRPr="00CD59CC">
        <w:rPr>
          <w:rFonts w:ascii="Arial" w:hAnsi="Arial" w:cs="Arial"/>
        </w:rPr>
        <w:t>doing</w:t>
      </w:r>
      <w:r w:rsidR="007B7640" w:rsidRPr="00CD59CC">
        <w:rPr>
          <w:rFonts w:ascii="Arial" w:hAnsi="Arial" w:cs="Arial"/>
        </w:rPr>
        <w:t xml:space="preserve"> </w:t>
      </w:r>
      <w:r w:rsidRPr="00CD59CC">
        <w:rPr>
          <w:rFonts w:ascii="Arial" w:hAnsi="Arial" w:cs="Arial"/>
        </w:rPr>
        <w:t>large</w:t>
      </w:r>
      <w:r w:rsidR="007B7640" w:rsidRPr="00CD59CC">
        <w:rPr>
          <w:rFonts w:ascii="Arial" w:hAnsi="Arial" w:cs="Arial"/>
        </w:rPr>
        <w:t xml:space="preserve"> </w:t>
      </w:r>
      <w:r w:rsidRPr="00CD59CC">
        <w:rPr>
          <w:rFonts w:ascii="Arial" w:hAnsi="Arial" w:cs="Arial"/>
        </w:rPr>
        <w:t>scale</w:t>
      </w:r>
      <w:r w:rsidR="007B7640" w:rsidRPr="00CD59CC">
        <w:rPr>
          <w:rFonts w:ascii="Arial" w:hAnsi="Arial" w:cs="Arial"/>
        </w:rPr>
        <w:t xml:space="preserve"> </w:t>
      </w:r>
      <w:r w:rsidRPr="00CD59CC">
        <w:rPr>
          <w:rFonts w:ascii="Arial" w:hAnsi="Arial" w:cs="Arial"/>
        </w:rPr>
        <w:t>shopping,</w:t>
      </w:r>
      <w:r w:rsidR="007B7640" w:rsidRPr="00CD59CC">
        <w:rPr>
          <w:rFonts w:ascii="Arial" w:hAnsi="Arial" w:cs="Arial"/>
        </w:rPr>
        <w:t xml:space="preserve"> </w:t>
      </w:r>
      <w:r w:rsidRPr="00CD59CC">
        <w:rPr>
          <w:rFonts w:ascii="Arial" w:hAnsi="Arial" w:cs="Arial"/>
        </w:rPr>
        <w:t>etc.)</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allow</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get</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bus.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reason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instruction</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complainant’s</w:t>
      </w:r>
      <w:r w:rsidR="007B7640" w:rsidRPr="00CD59CC">
        <w:rPr>
          <w:rFonts w:ascii="Arial" w:hAnsi="Arial" w:cs="Arial"/>
        </w:rPr>
        <w:t xml:space="preserve"> </w:t>
      </w:r>
      <w:r w:rsidRPr="00CD59CC">
        <w:rPr>
          <w:rFonts w:ascii="Arial" w:hAnsi="Arial" w:cs="Arial"/>
        </w:rPr>
        <w:t>political</w:t>
      </w:r>
      <w:r w:rsidR="007B7640" w:rsidRPr="00CD59CC">
        <w:rPr>
          <w:rFonts w:ascii="Arial" w:hAnsi="Arial" w:cs="Arial"/>
        </w:rPr>
        <w:t xml:space="preserve"> </w:t>
      </w:r>
      <w:r w:rsidRPr="00CD59CC">
        <w:rPr>
          <w:rFonts w:ascii="Arial" w:hAnsi="Arial" w:cs="Arial"/>
        </w:rPr>
        <w:t>views</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those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mayor,</w:t>
      </w:r>
      <w:r w:rsidR="007B7640" w:rsidRPr="00CD59CC">
        <w:rPr>
          <w:rFonts w:ascii="Arial" w:hAnsi="Arial" w:cs="Arial"/>
        </w:rPr>
        <w:t xml:space="preserve"> </w:t>
      </w:r>
      <w:r w:rsidRPr="00CD59CC">
        <w:rPr>
          <w:rFonts w:ascii="Arial" w:hAnsi="Arial" w:cs="Arial"/>
        </w:rPr>
        <w:t>over</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several</w:t>
      </w:r>
      <w:r w:rsidR="007B7640" w:rsidRPr="00CD59CC">
        <w:rPr>
          <w:rFonts w:ascii="Arial" w:hAnsi="Arial" w:cs="Arial"/>
        </w:rPr>
        <w:t xml:space="preserve"> </w:t>
      </w:r>
      <w:r w:rsidRPr="00CD59CC">
        <w:rPr>
          <w:rFonts w:ascii="Arial" w:hAnsi="Arial" w:cs="Arial"/>
        </w:rPr>
        <w:t>conflicts.</w:t>
      </w:r>
      <w:r w:rsidR="007B7640" w:rsidRPr="00CD59CC">
        <w:rPr>
          <w:rFonts w:ascii="Arial" w:hAnsi="Arial" w:cs="Arial"/>
        </w:rPr>
        <w:t xml:space="preserve"> </w:t>
      </w:r>
    </w:p>
    <w:p w14:paraId="0902993D" w14:textId="77777777" w:rsidR="00012B00" w:rsidRPr="00CD59CC" w:rsidRDefault="00012B00" w:rsidP="00CD59CC">
      <w:pPr>
        <w:rPr>
          <w:rFonts w:ascii="Arial" w:hAnsi="Arial" w:cs="Arial"/>
        </w:rPr>
      </w:pPr>
    </w:p>
    <w:p w14:paraId="43BD6C56" w14:textId="77777777" w:rsidR="002B5BCD" w:rsidRPr="00CD59CC" w:rsidRDefault="00B97ED3" w:rsidP="00CD59CC">
      <w:pPr>
        <w:pStyle w:val="Heading3"/>
        <w:rPr>
          <w:rFonts w:cs="Arial"/>
        </w:rPr>
      </w:pPr>
      <w:bookmarkStart w:id="170" w:name="_Toc220221158"/>
      <w:r>
        <w:rPr>
          <w:rFonts w:cs="Arial"/>
        </w:rPr>
        <w:br w:type="page"/>
      </w:r>
      <w:bookmarkStart w:id="171" w:name="_Toc392758728"/>
      <w:bookmarkStart w:id="172" w:name="_Toc329163620"/>
      <w:bookmarkStart w:id="173" w:name="_Toc366846338"/>
      <w:r w:rsidR="002B5BCD" w:rsidRPr="00CD59CC">
        <w:rPr>
          <w:rFonts w:cs="Arial"/>
        </w:rPr>
        <w:lastRenderedPageBreak/>
        <w:t>Education</w:t>
      </w:r>
      <w:r w:rsidR="007B7640" w:rsidRPr="00CD59CC">
        <w:rPr>
          <w:rFonts w:cs="Arial"/>
        </w:rPr>
        <w:t xml:space="preserve"> </w:t>
      </w:r>
      <w:r w:rsidR="002B5BCD" w:rsidRPr="00CD59CC">
        <w:rPr>
          <w:rFonts w:cs="Arial"/>
        </w:rPr>
        <w:t>(Article</w:t>
      </w:r>
      <w:r w:rsidR="007B7640" w:rsidRPr="00CD59CC">
        <w:rPr>
          <w:rFonts w:cs="Arial"/>
        </w:rPr>
        <w:t xml:space="preserve"> </w:t>
      </w:r>
      <w:r w:rsidR="002B5BCD" w:rsidRPr="00CD59CC">
        <w:rPr>
          <w:rFonts w:cs="Arial"/>
        </w:rPr>
        <w:t>3(1)(g)</w:t>
      </w:r>
      <w:r w:rsidR="007B7640" w:rsidRPr="00CD59CC">
        <w:rPr>
          <w:rFonts w:cs="Arial"/>
        </w:rPr>
        <w:t xml:space="preserve"> </w:t>
      </w:r>
      <w:r w:rsidR="002B5BCD" w:rsidRPr="00CD59CC">
        <w:rPr>
          <w:rFonts w:cs="Arial"/>
        </w:rPr>
        <w:t>Directive</w:t>
      </w:r>
      <w:r w:rsidR="007B7640" w:rsidRPr="00CD59CC">
        <w:rPr>
          <w:rFonts w:cs="Arial"/>
        </w:rPr>
        <w:t xml:space="preserve"> </w:t>
      </w:r>
      <w:r w:rsidR="002B5BCD" w:rsidRPr="00CD59CC">
        <w:rPr>
          <w:rFonts w:cs="Arial"/>
        </w:rPr>
        <w:t>2000/43)</w:t>
      </w:r>
      <w:bookmarkEnd w:id="170"/>
      <w:bookmarkEnd w:id="171"/>
      <w:bookmarkEnd w:id="172"/>
      <w:bookmarkEnd w:id="173"/>
    </w:p>
    <w:p w14:paraId="54F1FB67" w14:textId="77777777" w:rsidR="00EF696E" w:rsidRPr="00CD59CC" w:rsidRDefault="00EF696E" w:rsidP="00CD59CC">
      <w:pPr>
        <w:rPr>
          <w:rFonts w:ascii="Arial" w:hAnsi="Arial" w:cs="Arial"/>
        </w:rPr>
      </w:pPr>
    </w:p>
    <w:p w14:paraId="6246884A" w14:textId="77777777" w:rsidR="00EF696E" w:rsidRPr="00B97ED3" w:rsidRDefault="00EF696E" w:rsidP="00CD59CC">
      <w:pPr>
        <w:rPr>
          <w:rFonts w:ascii="Arial" w:hAnsi="Arial" w:cs="Arial"/>
          <w:i/>
        </w:rPr>
      </w:pPr>
      <w:r w:rsidRPr="00B97ED3">
        <w:rPr>
          <w:rFonts w:ascii="Arial" w:hAnsi="Arial" w:cs="Arial"/>
          <w:i/>
        </w:rPr>
        <w:t>Does</w:t>
      </w:r>
      <w:r w:rsidR="007B7640" w:rsidRPr="00B97ED3">
        <w:rPr>
          <w:rFonts w:ascii="Arial" w:hAnsi="Arial" w:cs="Arial"/>
          <w:i/>
        </w:rPr>
        <w:t xml:space="preserve"> </w:t>
      </w:r>
      <w:r w:rsidRPr="00B97ED3">
        <w:rPr>
          <w:rFonts w:ascii="Arial" w:hAnsi="Arial" w:cs="Arial"/>
          <w:i/>
        </w:rPr>
        <w:t>national</w:t>
      </w:r>
      <w:r w:rsidR="007B7640" w:rsidRPr="00B97ED3">
        <w:rPr>
          <w:rFonts w:ascii="Arial" w:hAnsi="Arial" w:cs="Arial"/>
          <w:i/>
        </w:rPr>
        <w:t xml:space="preserve"> </w:t>
      </w:r>
      <w:r w:rsidRPr="00B97ED3">
        <w:rPr>
          <w:rFonts w:ascii="Arial" w:hAnsi="Arial" w:cs="Arial"/>
          <w:i/>
        </w:rPr>
        <w:t>law</w:t>
      </w:r>
      <w:r w:rsidR="007B7640" w:rsidRPr="00B97ED3">
        <w:rPr>
          <w:rFonts w:ascii="Arial" w:hAnsi="Arial" w:cs="Arial"/>
          <w:i/>
        </w:rPr>
        <w:t xml:space="preserve"> </w:t>
      </w:r>
      <w:r w:rsidRPr="00B97ED3">
        <w:rPr>
          <w:rFonts w:ascii="Arial" w:hAnsi="Arial" w:cs="Arial"/>
          <w:i/>
        </w:rPr>
        <w:t>on</w:t>
      </w:r>
      <w:r w:rsidR="007B7640" w:rsidRPr="00B97ED3">
        <w:rPr>
          <w:rFonts w:ascii="Arial" w:hAnsi="Arial" w:cs="Arial"/>
          <w:i/>
        </w:rPr>
        <w:t xml:space="preserve"> </w:t>
      </w:r>
      <w:r w:rsidRPr="00B97ED3">
        <w:rPr>
          <w:rFonts w:ascii="Arial" w:hAnsi="Arial" w:cs="Arial"/>
          <w:i/>
        </w:rPr>
        <w:t>discrimination</w:t>
      </w:r>
      <w:r w:rsidR="007B7640" w:rsidRPr="00B97ED3">
        <w:rPr>
          <w:rFonts w:ascii="Arial" w:hAnsi="Arial" w:cs="Arial"/>
          <w:i/>
        </w:rPr>
        <w:t xml:space="preserve"> </w:t>
      </w:r>
      <w:r w:rsidRPr="00B97ED3">
        <w:rPr>
          <w:rFonts w:ascii="Arial" w:hAnsi="Arial" w:cs="Arial"/>
          <w:i/>
        </w:rPr>
        <w:t>cover</w:t>
      </w:r>
      <w:r w:rsidR="007B7640" w:rsidRPr="00B97ED3">
        <w:rPr>
          <w:rFonts w:ascii="Arial" w:hAnsi="Arial" w:cs="Arial"/>
          <w:i/>
        </w:rPr>
        <w:t xml:space="preserve"> </w:t>
      </w:r>
      <w:r w:rsidRPr="00B97ED3">
        <w:rPr>
          <w:rFonts w:ascii="Arial" w:hAnsi="Arial" w:cs="Arial"/>
          <w:i/>
        </w:rPr>
        <w:t>education?</w:t>
      </w:r>
      <w:r w:rsidR="007B7640" w:rsidRPr="00B97ED3">
        <w:rPr>
          <w:rFonts w:ascii="Arial" w:hAnsi="Arial" w:cs="Arial"/>
          <w:i/>
        </w:rPr>
        <w:t xml:space="preserve"> </w:t>
      </w:r>
      <w:r w:rsidRPr="00B97ED3">
        <w:rPr>
          <w:rFonts w:ascii="Arial" w:hAnsi="Arial" w:cs="Arial"/>
          <w:i/>
        </w:rPr>
        <w:t>In</w:t>
      </w:r>
      <w:r w:rsidR="007B7640" w:rsidRPr="00B97ED3">
        <w:rPr>
          <w:rFonts w:ascii="Arial" w:hAnsi="Arial" w:cs="Arial"/>
          <w:i/>
        </w:rPr>
        <w:t xml:space="preserve"> </w:t>
      </w:r>
      <w:r w:rsidRPr="00B97ED3">
        <w:rPr>
          <w:rFonts w:ascii="Arial" w:hAnsi="Arial" w:cs="Arial"/>
          <w:i/>
        </w:rPr>
        <w:t>case</w:t>
      </w:r>
      <w:r w:rsidR="007B7640" w:rsidRPr="00B97ED3">
        <w:rPr>
          <w:rFonts w:ascii="Arial" w:hAnsi="Arial" w:cs="Arial"/>
          <w:i/>
        </w:rPr>
        <w:t xml:space="preserve"> </w:t>
      </w:r>
      <w:r w:rsidRPr="00B97ED3">
        <w:rPr>
          <w:rFonts w:ascii="Arial" w:hAnsi="Arial" w:cs="Arial"/>
          <w:i/>
        </w:rPr>
        <w:t>national</w:t>
      </w:r>
      <w:r w:rsidR="007B7640" w:rsidRPr="00B97ED3">
        <w:rPr>
          <w:rFonts w:ascii="Arial" w:hAnsi="Arial" w:cs="Arial"/>
          <w:i/>
        </w:rPr>
        <w:t xml:space="preserve"> </w:t>
      </w:r>
      <w:r w:rsidRPr="00B97ED3">
        <w:rPr>
          <w:rFonts w:ascii="Arial" w:hAnsi="Arial" w:cs="Arial"/>
          <w:i/>
        </w:rPr>
        <w:t>anti-discrimination</w:t>
      </w:r>
      <w:r w:rsidR="007B7640" w:rsidRPr="00B97ED3">
        <w:rPr>
          <w:rFonts w:ascii="Arial" w:hAnsi="Arial" w:cs="Arial"/>
          <w:i/>
        </w:rPr>
        <w:t xml:space="preserve"> </w:t>
      </w:r>
      <w:r w:rsidRPr="00B97ED3">
        <w:rPr>
          <w:rFonts w:ascii="Arial" w:hAnsi="Arial" w:cs="Arial"/>
          <w:i/>
        </w:rPr>
        <w:t>law</w:t>
      </w:r>
      <w:r w:rsidR="007B7640" w:rsidRPr="00B97ED3">
        <w:rPr>
          <w:rFonts w:ascii="Arial" w:hAnsi="Arial" w:cs="Arial"/>
          <w:i/>
        </w:rPr>
        <w:t xml:space="preserve"> </w:t>
      </w:r>
      <w:r w:rsidRPr="00B97ED3">
        <w:rPr>
          <w:rFonts w:ascii="Arial" w:hAnsi="Arial" w:cs="Arial"/>
          <w:i/>
        </w:rPr>
        <w:t>does</w:t>
      </w:r>
      <w:r w:rsidR="007B7640" w:rsidRPr="00B97ED3">
        <w:rPr>
          <w:rFonts w:ascii="Arial" w:hAnsi="Arial" w:cs="Arial"/>
          <w:i/>
        </w:rPr>
        <w:t xml:space="preserve"> </w:t>
      </w:r>
      <w:r w:rsidRPr="00B97ED3">
        <w:rPr>
          <w:rFonts w:ascii="Arial" w:hAnsi="Arial" w:cs="Arial"/>
          <w:i/>
        </w:rPr>
        <w:t>not</w:t>
      </w:r>
      <w:r w:rsidR="007B7640" w:rsidRPr="00B97ED3">
        <w:rPr>
          <w:rFonts w:ascii="Arial" w:hAnsi="Arial" w:cs="Arial"/>
          <w:i/>
        </w:rPr>
        <w:t xml:space="preserve"> </w:t>
      </w:r>
      <w:r w:rsidRPr="00B97ED3">
        <w:rPr>
          <w:rFonts w:ascii="Arial" w:hAnsi="Arial" w:cs="Arial"/>
          <w:i/>
        </w:rPr>
        <w:t>do</w:t>
      </w:r>
      <w:r w:rsidR="007B7640" w:rsidRPr="00B97ED3">
        <w:rPr>
          <w:rFonts w:ascii="Arial" w:hAnsi="Arial" w:cs="Arial"/>
          <w:i/>
        </w:rPr>
        <w:t xml:space="preserve"> </w:t>
      </w:r>
      <w:r w:rsidRPr="00B97ED3">
        <w:rPr>
          <w:rFonts w:ascii="Arial" w:hAnsi="Arial" w:cs="Arial"/>
          <w:i/>
        </w:rPr>
        <w:t>so,</w:t>
      </w:r>
      <w:r w:rsidR="007B7640" w:rsidRPr="00B97ED3">
        <w:rPr>
          <w:rFonts w:ascii="Arial" w:hAnsi="Arial" w:cs="Arial"/>
          <w:i/>
        </w:rPr>
        <w:t xml:space="preserve"> </w:t>
      </w:r>
      <w:r w:rsidRPr="00B97ED3">
        <w:rPr>
          <w:rFonts w:ascii="Arial" w:hAnsi="Arial" w:cs="Arial"/>
          <w:i/>
        </w:rPr>
        <w:t>is</w:t>
      </w:r>
      <w:r w:rsidR="007B7640" w:rsidRPr="00B97ED3">
        <w:rPr>
          <w:rFonts w:ascii="Arial" w:hAnsi="Arial" w:cs="Arial"/>
          <w:i/>
        </w:rPr>
        <w:t xml:space="preserve"> </w:t>
      </w:r>
      <w:r w:rsidRPr="00B97ED3">
        <w:rPr>
          <w:rFonts w:ascii="Arial" w:hAnsi="Arial" w:cs="Arial"/>
          <w:i/>
        </w:rPr>
        <w:t>it</w:t>
      </w:r>
      <w:r w:rsidR="007B7640" w:rsidRPr="00B97ED3">
        <w:rPr>
          <w:rFonts w:ascii="Arial" w:hAnsi="Arial" w:cs="Arial"/>
          <w:i/>
        </w:rPr>
        <w:t xml:space="preserve"> </w:t>
      </w:r>
      <w:r w:rsidRPr="00B97ED3">
        <w:rPr>
          <w:rFonts w:ascii="Arial" w:hAnsi="Arial" w:cs="Arial"/>
          <w:i/>
        </w:rPr>
        <w:t>dealt</w:t>
      </w:r>
      <w:r w:rsidR="007B7640" w:rsidRPr="00B97ED3">
        <w:rPr>
          <w:rFonts w:ascii="Arial" w:hAnsi="Arial" w:cs="Arial"/>
          <w:i/>
        </w:rPr>
        <w:t xml:space="preserve"> </w:t>
      </w:r>
      <w:r w:rsidRPr="00B97ED3">
        <w:rPr>
          <w:rFonts w:ascii="Arial" w:hAnsi="Arial" w:cs="Arial"/>
          <w:i/>
        </w:rPr>
        <w:t>with</w:t>
      </w:r>
      <w:r w:rsidR="007B7640" w:rsidRPr="00B97ED3">
        <w:rPr>
          <w:rFonts w:ascii="Arial" w:hAnsi="Arial" w:cs="Arial"/>
          <w:i/>
        </w:rPr>
        <w:t xml:space="preserve"> </w:t>
      </w:r>
      <w:r w:rsidRPr="00B97ED3">
        <w:rPr>
          <w:rFonts w:ascii="Arial" w:hAnsi="Arial" w:cs="Arial"/>
          <w:i/>
        </w:rPr>
        <w:t>in</w:t>
      </w:r>
      <w:r w:rsidR="007B7640" w:rsidRPr="00B97ED3">
        <w:rPr>
          <w:rFonts w:ascii="Arial" w:hAnsi="Arial" w:cs="Arial"/>
          <w:i/>
        </w:rPr>
        <w:t xml:space="preserve"> </w:t>
      </w:r>
      <w:r w:rsidRPr="00B97ED3">
        <w:rPr>
          <w:rFonts w:ascii="Arial" w:hAnsi="Arial" w:cs="Arial"/>
          <w:i/>
        </w:rPr>
        <w:t>any</w:t>
      </w:r>
      <w:r w:rsidR="007B7640" w:rsidRPr="00B97ED3">
        <w:rPr>
          <w:rFonts w:ascii="Arial" w:hAnsi="Arial" w:cs="Arial"/>
          <w:i/>
        </w:rPr>
        <w:t xml:space="preserve"> </w:t>
      </w:r>
      <w:r w:rsidRPr="00B97ED3">
        <w:rPr>
          <w:rFonts w:ascii="Arial" w:hAnsi="Arial" w:cs="Arial"/>
          <w:i/>
        </w:rPr>
        <w:t>other</w:t>
      </w:r>
      <w:r w:rsidR="007B7640" w:rsidRPr="00B97ED3">
        <w:rPr>
          <w:rFonts w:ascii="Arial" w:hAnsi="Arial" w:cs="Arial"/>
          <w:i/>
        </w:rPr>
        <w:t xml:space="preserve"> </w:t>
      </w:r>
      <w:r w:rsidRPr="00B97ED3">
        <w:rPr>
          <w:rFonts w:ascii="Arial" w:hAnsi="Arial" w:cs="Arial"/>
          <w:i/>
        </w:rPr>
        <w:t>legislation?</w:t>
      </w:r>
    </w:p>
    <w:p w14:paraId="46E771F9" w14:textId="77777777" w:rsidR="006B7FBB" w:rsidRPr="00CD59CC" w:rsidRDefault="006B7FBB" w:rsidP="00CD59CC">
      <w:pPr>
        <w:rPr>
          <w:rFonts w:ascii="Arial" w:hAnsi="Arial" w:cs="Arial"/>
        </w:rPr>
      </w:pPr>
    </w:p>
    <w:p w14:paraId="380C374C" w14:textId="77777777" w:rsidR="002B5BCD" w:rsidRPr="00CD59CC" w:rsidRDefault="002B5BCD" w:rsidP="00CD59CC">
      <w:pPr>
        <w:rPr>
          <w:rFonts w:ascii="Arial" w:hAnsi="Arial" w:cs="Arial"/>
          <w:i/>
        </w:rPr>
      </w:pPr>
      <w:r w:rsidRPr="00CD59CC">
        <w:rPr>
          <w:rFonts w:ascii="Arial" w:hAnsi="Arial" w:cs="Arial"/>
          <w:i/>
        </w:rPr>
        <w:t>This</w:t>
      </w:r>
      <w:r w:rsidR="007B7640" w:rsidRPr="00CD59CC">
        <w:rPr>
          <w:rFonts w:ascii="Arial" w:hAnsi="Arial" w:cs="Arial"/>
          <w:i/>
        </w:rPr>
        <w:t xml:space="preserve"> </w:t>
      </w:r>
      <w:r w:rsidRPr="00CD59CC">
        <w:rPr>
          <w:rFonts w:ascii="Arial" w:hAnsi="Arial" w:cs="Arial"/>
          <w:i/>
        </w:rPr>
        <w:t>covers</w:t>
      </w:r>
      <w:r w:rsidR="007B7640" w:rsidRPr="00CD59CC">
        <w:rPr>
          <w:rFonts w:ascii="Arial" w:hAnsi="Arial" w:cs="Arial"/>
          <w:i/>
        </w:rPr>
        <w:t xml:space="preserve"> </w:t>
      </w:r>
      <w:r w:rsidRPr="00CD59CC">
        <w:rPr>
          <w:rFonts w:ascii="Arial" w:hAnsi="Arial" w:cs="Arial"/>
          <w:i/>
        </w:rPr>
        <w:t>all</w:t>
      </w:r>
      <w:r w:rsidR="007B7640" w:rsidRPr="00CD59CC">
        <w:rPr>
          <w:rFonts w:ascii="Arial" w:hAnsi="Arial" w:cs="Arial"/>
          <w:i/>
        </w:rPr>
        <w:t xml:space="preserve"> </w:t>
      </w:r>
      <w:r w:rsidRPr="00CD59CC">
        <w:rPr>
          <w:rFonts w:ascii="Arial" w:hAnsi="Arial" w:cs="Arial"/>
          <w:i/>
        </w:rPr>
        <w:t>aspects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education,</w:t>
      </w:r>
      <w:r w:rsidR="007B7640" w:rsidRPr="00CD59CC">
        <w:rPr>
          <w:rFonts w:ascii="Arial" w:hAnsi="Arial" w:cs="Arial"/>
          <w:i/>
        </w:rPr>
        <w:t xml:space="preserve"> </w:t>
      </w:r>
      <w:r w:rsidRPr="00CD59CC">
        <w:rPr>
          <w:rFonts w:ascii="Arial" w:hAnsi="Arial" w:cs="Arial"/>
          <w:i/>
        </w:rPr>
        <w:t>including</w:t>
      </w:r>
      <w:r w:rsidR="007B7640" w:rsidRPr="00CD59CC">
        <w:rPr>
          <w:rFonts w:ascii="Arial" w:hAnsi="Arial" w:cs="Arial"/>
          <w:i/>
        </w:rPr>
        <w:t xml:space="preserve"> </w:t>
      </w:r>
      <w:r w:rsidRPr="00CD59CC">
        <w:rPr>
          <w:rFonts w:ascii="Arial" w:hAnsi="Arial" w:cs="Arial"/>
          <w:i/>
        </w:rPr>
        <w:t>all</w:t>
      </w:r>
      <w:r w:rsidR="007B7640" w:rsidRPr="00CD59CC">
        <w:rPr>
          <w:rFonts w:ascii="Arial" w:hAnsi="Arial" w:cs="Arial"/>
          <w:i/>
        </w:rPr>
        <w:t xml:space="preserve"> </w:t>
      </w:r>
      <w:r w:rsidRPr="00CD59CC">
        <w:rPr>
          <w:rFonts w:ascii="Arial" w:hAnsi="Arial" w:cs="Arial"/>
          <w:i/>
        </w:rPr>
        <w:t>types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schools.</w:t>
      </w:r>
      <w:r w:rsidR="007B7640" w:rsidRPr="00CD59CC">
        <w:rPr>
          <w:rFonts w:ascii="Arial" w:hAnsi="Arial" w:cs="Arial"/>
          <w:i/>
        </w:rPr>
        <w:t xml:space="preserve"> </w:t>
      </w:r>
      <w:r w:rsidRPr="00CD59CC">
        <w:rPr>
          <w:rFonts w:ascii="Arial" w:hAnsi="Arial" w:cs="Arial"/>
          <w:i/>
        </w:rPr>
        <w:t>Please</w:t>
      </w:r>
      <w:r w:rsidR="007B7640" w:rsidRPr="00CD59CC">
        <w:rPr>
          <w:rFonts w:ascii="Arial" w:hAnsi="Arial" w:cs="Arial"/>
          <w:i/>
        </w:rPr>
        <w:t xml:space="preserve"> </w:t>
      </w:r>
      <w:r w:rsidRPr="00CD59CC">
        <w:rPr>
          <w:rFonts w:ascii="Arial" w:hAnsi="Arial" w:cs="Arial"/>
          <w:i/>
        </w:rPr>
        <w:t>also</w:t>
      </w:r>
      <w:r w:rsidR="007B7640" w:rsidRPr="00CD59CC">
        <w:rPr>
          <w:rFonts w:ascii="Arial" w:hAnsi="Arial" w:cs="Arial"/>
          <w:i/>
        </w:rPr>
        <w:t xml:space="preserve"> </w:t>
      </w:r>
      <w:r w:rsidRPr="00CD59CC">
        <w:rPr>
          <w:rFonts w:ascii="Arial" w:hAnsi="Arial" w:cs="Arial"/>
          <w:i/>
        </w:rPr>
        <w:t>consider</w:t>
      </w:r>
      <w:r w:rsidR="007B7640" w:rsidRPr="00CD59CC">
        <w:rPr>
          <w:rFonts w:ascii="Arial" w:hAnsi="Arial" w:cs="Arial"/>
          <w:i/>
        </w:rPr>
        <w:t xml:space="preserve"> </w:t>
      </w:r>
      <w:r w:rsidRPr="00CD59CC">
        <w:rPr>
          <w:rFonts w:ascii="Arial" w:hAnsi="Arial" w:cs="Arial"/>
          <w:i/>
        </w:rPr>
        <w:t>cases</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patterns</w:t>
      </w:r>
      <w:r w:rsidR="007B7640" w:rsidRPr="00CD59CC">
        <w:rPr>
          <w:rFonts w:ascii="Arial" w:hAnsi="Arial" w:cs="Arial"/>
          <w:i/>
        </w:rPr>
        <w:t xml:space="preserve"> </w:t>
      </w:r>
      <w:r w:rsidRPr="00CD59CC">
        <w:rPr>
          <w:rFonts w:ascii="Arial" w:hAnsi="Arial" w:cs="Arial"/>
          <w:i/>
        </w:rPr>
        <w:t>of</w:t>
      </w:r>
      <w:r w:rsidR="007B7640" w:rsidRPr="00CD59CC">
        <w:rPr>
          <w:rFonts w:ascii="Arial" w:hAnsi="Arial" w:cs="Arial"/>
          <w:i/>
        </w:rPr>
        <w:t xml:space="preserve"> </w:t>
      </w:r>
      <w:r w:rsidRPr="00CD59CC">
        <w:rPr>
          <w:rFonts w:ascii="Arial" w:hAnsi="Arial" w:cs="Arial"/>
          <w:i/>
        </w:rPr>
        <w:t>segregation</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discrimination</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schools,</w:t>
      </w:r>
      <w:r w:rsidR="007B7640" w:rsidRPr="00CD59CC">
        <w:rPr>
          <w:rFonts w:ascii="Arial" w:hAnsi="Arial" w:cs="Arial"/>
          <w:i/>
        </w:rPr>
        <w:t xml:space="preserve"> </w:t>
      </w:r>
      <w:r w:rsidRPr="00CD59CC">
        <w:rPr>
          <w:rFonts w:ascii="Arial" w:hAnsi="Arial" w:cs="Arial"/>
          <w:i/>
        </w:rPr>
        <w:t>affecting</w:t>
      </w:r>
      <w:r w:rsidR="007B7640" w:rsidRPr="00CD59CC">
        <w:rPr>
          <w:rFonts w:ascii="Arial" w:hAnsi="Arial" w:cs="Arial"/>
          <w:i/>
        </w:rPr>
        <w:t xml:space="preserve"> </w:t>
      </w:r>
      <w:r w:rsidRPr="00CD59CC">
        <w:rPr>
          <w:rFonts w:ascii="Arial" w:hAnsi="Arial" w:cs="Arial"/>
          <w:i/>
        </w:rPr>
        <w:t>notably</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Roma</w:t>
      </w:r>
      <w:r w:rsidR="007B7640" w:rsidRPr="00CD59CC">
        <w:rPr>
          <w:rFonts w:ascii="Arial" w:hAnsi="Arial" w:cs="Arial"/>
          <w:i/>
        </w:rPr>
        <w:t xml:space="preserve"> </w:t>
      </w:r>
      <w:r w:rsidRPr="00CD59CC">
        <w:rPr>
          <w:rFonts w:ascii="Arial" w:hAnsi="Arial" w:cs="Arial"/>
          <w:i/>
        </w:rPr>
        <w:t>community</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people</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disabilities.</w:t>
      </w:r>
      <w:r w:rsidR="007B7640" w:rsidRPr="00CD59CC">
        <w:rPr>
          <w:rFonts w:ascii="Arial" w:hAnsi="Arial" w:cs="Arial"/>
          <w:i/>
        </w:rPr>
        <w:t xml:space="preserve"> </w:t>
      </w:r>
      <w:r w:rsidRPr="00CD59CC">
        <w:rPr>
          <w:rFonts w:ascii="Arial" w:hAnsi="Arial" w:cs="Arial"/>
          <w:i/>
        </w:rPr>
        <w:t>If</w:t>
      </w:r>
      <w:r w:rsidR="007B7640" w:rsidRPr="00CD59CC">
        <w:rPr>
          <w:rFonts w:ascii="Arial" w:hAnsi="Arial" w:cs="Arial"/>
          <w:i/>
        </w:rPr>
        <w:t xml:space="preserve"> </w:t>
      </w:r>
      <w:r w:rsidRPr="00CD59CC">
        <w:rPr>
          <w:rFonts w:ascii="Arial" w:hAnsi="Arial" w:cs="Arial"/>
          <w:i/>
        </w:rPr>
        <w:t>these</w:t>
      </w:r>
      <w:r w:rsidR="007B7640" w:rsidRPr="00CD59CC">
        <w:rPr>
          <w:rFonts w:ascii="Arial" w:hAnsi="Arial" w:cs="Arial"/>
          <w:i/>
        </w:rPr>
        <w:t xml:space="preserve"> </w:t>
      </w:r>
      <w:r w:rsidRPr="00CD59CC">
        <w:rPr>
          <w:rFonts w:ascii="Arial" w:hAnsi="Arial" w:cs="Arial"/>
          <w:i/>
        </w:rPr>
        <w:t>cases</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or</w:t>
      </w:r>
      <w:r w:rsidR="007B7640" w:rsidRPr="00CD59CC">
        <w:rPr>
          <w:rFonts w:ascii="Arial" w:hAnsi="Arial" w:cs="Arial"/>
          <w:i/>
        </w:rPr>
        <w:t xml:space="preserve"> </w:t>
      </w:r>
      <w:r w:rsidRPr="00CD59CC">
        <w:rPr>
          <w:rFonts w:ascii="Arial" w:hAnsi="Arial" w:cs="Arial"/>
          <w:i/>
        </w:rPr>
        <w:t>patterns</w:t>
      </w:r>
      <w:r w:rsidR="007B7640" w:rsidRPr="00CD59CC">
        <w:rPr>
          <w:rFonts w:ascii="Arial" w:hAnsi="Arial" w:cs="Arial"/>
          <w:i/>
        </w:rPr>
        <w:t xml:space="preserve"> </w:t>
      </w:r>
      <w:r w:rsidRPr="00CD59CC">
        <w:rPr>
          <w:rFonts w:ascii="Arial" w:hAnsi="Arial" w:cs="Arial"/>
          <w:i/>
        </w:rPr>
        <w:t>exist,</w:t>
      </w:r>
      <w:r w:rsidR="007B7640" w:rsidRPr="00CD59CC">
        <w:rPr>
          <w:rFonts w:ascii="Arial" w:hAnsi="Arial" w:cs="Arial"/>
          <w:i/>
        </w:rPr>
        <w:t xml:space="preserve"> </w:t>
      </w:r>
      <w:r w:rsidRPr="00CD59CC">
        <w:rPr>
          <w:rFonts w:ascii="Arial" w:hAnsi="Arial" w:cs="Arial"/>
          <w:i/>
        </w:rPr>
        <w:t>please</w:t>
      </w:r>
      <w:r w:rsidR="007B7640" w:rsidRPr="00CD59CC">
        <w:rPr>
          <w:rFonts w:ascii="Arial" w:hAnsi="Arial" w:cs="Arial"/>
          <w:i/>
        </w:rPr>
        <w:t xml:space="preserve"> </w:t>
      </w:r>
      <w:r w:rsidRPr="00CD59CC">
        <w:rPr>
          <w:rFonts w:ascii="Arial" w:hAnsi="Arial" w:cs="Arial"/>
          <w:i/>
        </w:rPr>
        <w:t>refer</w:t>
      </w:r>
      <w:r w:rsidR="007B7640" w:rsidRPr="00CD59CC">
        <w:rPr>
          <w:rFonts w:ascii="Arial" w:hAnsi="Arial" w:cs="Arial"/>
          <w:i/>
        </w:rPr>
        <w:t xml:space="preserve"> </w:t>
      </w:r>
      <w:r w:rsidRPr="00CD59CC">
        <w:rPr>
          <w:rFonts w:ascii="Arial" w:hAnsi="Arial" w:cs="Arial"/>
          <w:i/>
        </w:rPr>
        <w:t>also</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relevant</w:t>
      </w:r>
      <w:r w:rsidR="007B7640" w:rsidRPr="00CD59CC">
        <w:rPr>
          <w:rFonts w:ascii="Arial" w:hAnsi="Arial" w:cs="Arial"/>
          <w:i/>
        </w:rPr>
        <w:t xml:space="preserve"> </w:t>
      </w:r>
      <w:r w:rsidRPr="00CD59CC">
        <w:rPr>
          <w:rFonts w:ascii="Arial" w:hAnsi="Arial" w:cs="Arial"/>
          <w:i/>
        </w:rPr>
        <w:t>legal/political</w:t>
      </w:r>
      <w:r w:rsidR="007B7640" w:rsidRPr="00CD59CC">
        <w:rPr>
          <w:rFonts w:ascii="Arial" w:hAnsi="Arial" w:cs="Arial"/>
          <w:i/>
        </w:rPr>
        <w:t xml:space="preserve"> </w:t>
      </w:r>
      <w:r w:rsidRPr="00CD59CC">
        <w:rPr>
          <w:rFonts w:ascii="Arial" w:hAnsi="Arial" w:cs="Arial"/>
          <w:i/>
        </w:rPr>
        <w:t>discussions</w:t>
      </w:r>
      <w:r w:rsidR="007B7640" w:rsidRPr="00CD59CC">
        <w:rPr>
          <w:rFonts w:ascii="Arial" w:hAnsi="Arial" w:cs="Arial"/>
          <w:i/>
        </w:rPr>
        <w:t xml:space="preserve"> </w:t>
      </w:r>
      <w:r w:rsidRPr="00CD59CC">
        <w:rPr>
          <w:rFonts w:ascii="Arial" w:hAnsi="Arial" w:cs="Arial"/>
          <w:i/>
        </w:rPr>
        <w:t>that</w:t>
      </w:r>
      <w:r w:rsidR="007B7640" w:rsidRPr="00CD59CC">
        <w:rPr>
          <w:rFonts w:ascii="Arial" w:hAnsi="Arial" w:cs="Arial"/>
          <w:i/>
        </w:rPr>
        <w:t xml:space="preserve"> </w:t>
      </w:r>
      <w:r w:rsidRPr="00CD59CC">
        <w:rPr>
          <w:rFonts w:ascii="Arial" w:hAnsi="Arial" w:cs="Arial"/>
          <w:i/>
        </w:rPr>
        <w:t>may</w:t>
      </w:r>
      <w:r w:rsidR="007B7640" w:rsidRPr="00CD59CC">
        <w:rPr>
          <w:rFonts w:ascii="Arial" w:hAnsi="Arial" w:cs="Arial"/>
          <w:i/>
        </w:rPr>
        <w:t xml:space="preserve"> </w:t>
      </w:r>
      <w:r w:rsidRPr="00CD59CC">
        <w:rPr>
          <w:rFonts w:ascii="Arial" w:hAnsi="Arial" w:cs="Arial"/>
          <w:i/>
        </w:rPr>
        <w:t>exist</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your</w:t>
      </w:r>
      <w:r w:rsidR="007B7640" w:rsidRPr="00CD59CC">
        <w:rPr>
          <w:rFonts w:ascii="Arial" w:hAnsi="Arial" w:cs="Arial"/>
          <w:i/>
        </w:rPr>
        <w:t xml:space="preserve"> </w:t>
      </w:r>
      <w:r w:rsidRPr="00CD59CC">
        <w:rPr>
          <w:rFonts w:ascii="Arial" w:hAnsi="Arial" w:cs="Arial"/>
          <w:i/>
        </w:rPr>
        <w:t>country</w:t>
      </w:r>
      <w:r w:rsidR="007B7640" w:rsidRPr="00CD59CC">
        <w:rPr>
          <w:rFonts w:ascii="Arial" w:hAnsi="Arial" w:cs="Arial"/>
          <w:i/>
        </w:rPr>
        <w:t xml:space="preserve"> </w:t>
      </w:r>
      <w:r w:rsidRPr="00CD59CC">
        <w:rPr>
          <w:rFonts w:ascii="Arial" w:hAnsi="Arial" w:cs="Arial"/>
          <w:i/>
        </w:rPr>
        <w:t>on</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issue.</w:t>
      </w:r>
    </w:p>
    <w:p w14:paraId="47B23048" w14:textId="77777777" w:rsidR="006B7FBB" w:rsidRPr="00CD59CC" w:rsidRDefault="006B7FBB" w:rsidP="00CD59CC">
      <w:pPr>
        <w:rPr>
          <w:rFonts w:ascii="Arial" w:hAnsi="Arial" w:cs="Arial"/>
          <w:i/>
        </w:rPr>
      </w:pPr>
    </w:p>
    <w:p w14:paraId="19F3138C" w14:textId="77777777" w:rsidR="002B5BCD" w:rsidRPr="00BB4E9F" w:rsidRDefault="002B5BCD" w:rsidP="00CD59CC">
      <w:pPr>
        <w:rPr>
          <w:rFonts w:ascii="Arial" w:hAnsi="Arial"/>
          <w:i/>
        </w:rPr>
      </w:pPr>
      <w:r w:rsidRPr="00CD59CC">
        <w:rPr>
          <w:rFonts w:ascii="Arial" w:hAnsi="Arial" w:cs="Arial"/>
          <w:i/>
        </w:rPr>
        <w:t>Please</w:t>
      </w:r>
      <w:r w:rsidR="007B7640" w:rsidRPr="00CD59CC">
        <w:rPr>
          <w:rFonts w:ascii="Arial" w:hAnsi="Arial" w:cs="Arial"/>
          <w:i/>
        </w:rPr>
        <w:t xml:space="preserve"> </w:t>
      </w:r>
      <w:r w:rsidRPr="00CD59CC">
        <w:rPr>
          <w:rFonts w:ascii="Arial" w:hAnsi="Arial" w:cs="Arial"/>
          <w:i/>
        </w:rPr>
        <w:t>briefly</w:t>
      </w:r>
      <w:r w:rsidR="007B7640" w:rsidRPr="00CD59CC">
        <w:rPr>
          <w:rFonts w:ascii="Arial" w:hAnsi="Arial" w:cs="Arial"/>
          <w:i/>
        </w:rPr>
        <w:t xml:space="preserve"> </w:t>
      </w:r>
      <w:r w:rsidRPr="00CD59CC">
        <w:rPr>
          <w:rFonts w:ascii="Arial" w:hAnsi="Arial" w:cs="Arial"/>
          <w:i/>
        </w:rPr>
        <w:t>describe</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general</w:t>
      </w:r>
      <w:r w:rsidR="007B7640" w:rsidRPr="00CD59CC">
        <w:rPr>
          <w:rFonts w:ascii="Arial" w:hAnsi="Arial" w:cs="Arial"/>
          <w:i/>
        </w:rPr>
        <w:t xml:space="preserve"> </w:t>
      </w:r>
      <w:r w:rsidRPr="00CD59CC">
        <w:rPr>
          <w:rFonts w:ascii="Arial" w:hAnsi="Arial" w:cs="Arial"/>
          <w:i/>
        </w:rPr>
        <w:t>approach</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education</w:t>
      </w:r>
      <w:r w:rsidR="007B7640" w:rsidRPr="00CD59CC">
        <w:rPr>
          <w:rFonts w:ascii="Arial" w:hAnsi="Arial" w:cs="Arial"/>
          <w:i/>
        </w:rPr>
        <w:t xml:space="preserve"> </w:t>
      </w:r>
      <w:r w:rsidRPr="00CD59CC">
        <w:rPr>
          <w:rFonts w:ascii="Arial" w:hAnsi="Arial" w:cs="Arial"/>
          <w:i/>
        </w:rPr>
        <w:t>for</w:t>
      </w:r>
      <w:r w:rsidR="007B7640" w:rsidRPr="00CD59CC">
        <w:rPr>
          <w:rFonts w:ascii="Arial" w:hAnsi="Arial" w:cs="Arial"/>
          <w:i/>
        </w:rPr>
        <w:t xml:space="preserve"> </w:t>
      </w:r>
      <w:r w:rsidRPr="00CD59CC">
        <w:rPr>
          <w:rFonts w:ascii="Arial" w:hAnsi="Arial" w:cs="Arial"/>
          <w:i/>
        </w:rPr>
        <w:t>children</w:t>
      </w:r>
      <w:r w:rsidR="007B7640" w:rsidRPr="00CD59CC">
        <w:rPr>
          <w:rFonts w:ascii="Arial" w:hAnsi="Arial" w:cs="Arial"/>
          <w:i/>
        </w:rPr>
        <w:t xml:space="preserve"> </w:t>
      </w:r>
      <w:r w:rsidRPr="00CD59CC">
        <w:rPr>
          <w:rFonts w:ascii="Arial" w:hAnsi="Arial" w:cs="Arial"/>
          <w:i/>
        </w:rPr>
        <w:t>with</w:t>
      </w:r>
      <w:r w:rsidR="007B7640" w:rsidRPr="00CD59CC">
        <w:rPr>
          <w:rFonts w:ascii="Arial" w:hAnsi="Arial" w:cs="Arial"/>
          <w:i/>
        </w:rPr>
        <w:t xml:space="preserve"> </w:t>
      </w:r>
      <w:r w:rsidRPr="00CD59CC">
        <w:rPr>
          <w:rFonts w:ascii="Arial" w:hAnsi="Arial" w:cs="Arial"/>
          <w:i/>
        </w:rPr>
        <w:t>disabilities</w:t>
      </w:r>
      <w:r w:rsidR="007B7640" w:rsidRPr="00CD59CC">
        <w:rPr>
          <w:rFonts w:ascii="Arial" w:hAnsi="Arial" w:cs="Arial"/>
          <w:i/>
        </w:rPr>
        <w:t xml:space="preserve"> </w:t>
      </w:r>
      <w:r w:rsidRPr="00CD59CC">
        <w:rPr>
          <w:rFonts w:ascii="Arial" w:hAnsi="Arial" w:cs="Arial"/>
          <w:i/>
        </w:rPr>
        <w:t>in</w:t>
      </w:r>
      <w:r w:rsidR="007B7640" w:rsidRPr="00CD59CC">
        <w:rPr>
          <w:rFonts w:ascii="Arial" w:hAnsi="Arial" w:cs="Arial"/>
          <w:i/>
        </w:rPr>
        <w:t xml:space="preserve"> </w:t>
      </w:r>
      <w:r w:rsidRPr="00CD59CC">
        <w:rPr>
          <w:rFonts w:ascii="Arial" w:hAnsi="Arial" w:cs="Arial"/>
          <w:i/>
        </w:rPr>
        <w:t>your</w:t>
      </w:r>
      <w:r w:rsidR="007B7640" w:rsidRPr="00CD59CC">
        <w:rPr>
          <w:rFonts w:ascii="Arial" w:hAnsi="Arial" w:cs="Arial"/>
          <w:i/>
        </w:rPr>
        <w:t xml:space="preserve"> </w:t>
      </w:r>
      <w:r w:rsidRPr="00CD59CC">
        <w:rPr>
          <w:rFonts w:ascii="Arial" w:hAnsi="Arial" w:cs="Arial"/>
          <w:i/>
        </w:rPr>
        <w:t>country,</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the</w:t>
      </w:r>
      <w:r w:rsidR="007B7640" w:rsidRPr="00CD59CC">
        <w:rPr>
          <w:rFonts w:ascii="Arial" w:hAnsi="Arial" w:cs="Arial"/>
          <w:i/>
        </w:rPr>
        <w:t xml:space="preserve"> </w:t>
      </w:r>
      <w:r w:rsidRPr="00CD59CC">
        <w:rPr>
          <w:rFonts w:ascii="Arial" w:hAnsi="Arial" w:cs="Arial"/>
          <w:i/>
        </w:rPr>
        <w:t>extent</w:t>
      </w:r>
      <w:r w:rsidR="007B7640" w:rsidRPr="00CD59CC">
        <w:rPr>
          <w:rFonts w:ascii="Arial" w:hAnsi="Arial" w:cs="Arial"/>
          <w:i/>
        </w:rPr>
        <w:t xml:space="preserve"> </w:t>
      </w:r>
      <w:r w:rsidRPr="00CD59CC">
        <w:rPr>
          <w:rFonts w:ascii="Arial" w:hAnsi="Arial" w:cs="Arial"/>
          <w:i/>
        </w:rPr>
        <w:t>to</w:t>
      </w:r>
      <w:r w:rsidR="007B7640" w:rsidRPr="00CD59CC">
        <w:rPr>
          <w:rFonts w:ascii="Arial" w:hAnsi="Arial" w:cs="Arial"/>
          <w:i/>
        </w:rPr>
        <w:t xml:space="preserve"> </w:t>
      </w:r>
      <w:r w:rsidRPr="00CD59CC">
        <w:rPr>
          <w:rFonts w:ascii="Arial" w:hAnsi="Arial" w:cs="Arial"/>
          <w:i/>
        </w:rPr>
        <w:t>which</w:t>
      </w:r>
      <w:r w:rsidR="007B7640" w:rsidRPr="00CD59CC">
        <w:rPr>
          <w:rFonts w:ascii="Arial" w:hAnsi="Arial" w:cs="Arial"/>
          <w:i/>
        </w:rPr>
        <w:t xml:space="preserve"> </w:t>
      </w:r>
      <w:r w:rsidRPr="00CD59CC">
        <w:rPr>
          <w:rFonts w:ascii="Arial" w:hAnsi="Arial" w:cs="Arial"/>
          <w:i/>
        </w:rPr>
        <w:t>mainstream</w:t>
      </w:r>
      <w:r w:rsidR="007B7640" w:rsidRPr="00CD59CC">
        <w:rPr>
          <w:rFonts w:ascii="Arial" w:hAnsi="Arial" w:cs="Arial"/>
          <w:i/>
        </w:rPr>
        <w:t xml:space="preserve"> </w:t>
      </w:r>
      <w:r w:rsidRPr="00CD59CC">
        <w:rPr>
          <w:rFonts w:ascii="Arial" w:hAnsi="Arial" w:cs="Arial"/>
          <w:i/>
        </w:rPr>
        <w:t>education</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segregated</w:t>
      </w:r>
      <w:r w:rsidR="007B7640" w:rsidRPr="00CD59CC">
        <w:rPr>
          <w:rFonts w:ascii="Arial" w:hAnsi="Arial" w:cs="Arial"/>
          <w:i/>
        </w:rPr>
        <w:t xml:space="preserve"> </w:t>
      </w:r>
      <w:r w:rsidRPr="00CD59CC">
        <w:rPr>
          <w:rFonts w:ascii="Arial" w:hAnsi="Arial" w:cs="Arial"/>
          <w:i/>
        </w:rPr>
        <w:t>“special”</w:t>
      </w:r>
      <w:r w:rsidR="007B7640" w:rsidRPr="00CD59CC">
        <w:rPr>
          <w:rFonts w:ascii="Arial" w:hAnsi="Arial" w:cs="Arial"/>
          <w:i/>
        </w:rPr>
        <w:t xml:space="preserve"> </w:t>
      </w:r>
      <w:r w:rsidRPr="00CD59CC">
        <w:rPr>
          <w:rFonts w:ascii="Arial" w:hAnsi="Arial" w:cs="Arial"/>
          <w:i/>
        </w:rPr>
        <w:t>education</w:t>
      </w:r>
      <w:r w:rsidR="007B7640" w:rsidRPr="00CD59CC">
        <w:rPr>
          <w:rFonts w:ascii="Arial" w:hAnsi="Arial" w:cs="Arial"/>
          <w:i/>
        </w:rPr>
        <w:t xml:space="preserve"> </w:t>
      </w:r>
      <w:r w:rsidRPr="00CD59CC">
        <w:rPr>
          <w:rFonts w:ascii="Arial" w:hAnsi="Arial" w:cs="Arial"/>
          <w:i/>
        </w:rPr>
        <w:t>are</w:t>
      </w:r>
      <w:r w:rsidR="007B7640" w:rsidRPr="00CD59CC">
        <w:rPr>
          <w:rFonts w:ascii="Arial" w:hAnsi="Arial" w:cs="Arial"/>
          <w:i/>
        </w:rPr>
        <w:t xml:space="preserve"> </w:t>
      </w:r>
      <w:r w:rsidRPr="00CD59CC">
        <w:rPr>
          <w:rFonts w:ascii="Arial" w:hAnsi="Arial" w:cs="Arial"/>
          <w:i/>
        </w:rPr>
        <w:t>favoured</w:t>
      </w:r>
      <w:r w:rsidR="007B7640" w:rsidRPr="00CD59CC">
        <w:rPr>
          <w:rFonts w:ascii="Arial" w:hAnsi="Arial" w:cs="Arial"/>
          <w:i/>
        </w:rPr>
        <w:t xml:space="preserve"> </w:t>
      </w:r>
      <w:r w:rsidRPr="00CD59CC">
        <w:rPr>
          <w:rFonts w:ascii="Arial" w:hAnsi="Arial" w:cs="Arial"/>
          <w:i/>
        </w:rPr>
        <w:t>and</w:t>
      </w:r>
      <w:r w:rsidR="007B7640" w:rsidRPr="00CD59CC">
        <w:rPr>
          <w:rFonts w:ascii="Arial" w:hAnsi="Arial" w:cs="Arial"/>
          <w:i/>
        </w:rPr>
        <w:t xml:space="preserve"> </w:t>
      </w:r>
      <w:r w:rsidRPr="00CD59CC">
        <w:rPr>
          <w:rFonts w:ascii="Arial" w:hAnsi="Arial" w:cs="Arial"/>
          <w:i/>
        </w:rPr>
        <w:t>supported.</w:t>
      </w:r>
    </w:p>
    <w:p w14:paraId="1D41B016" w14:textId="77777777" w:rsidR="006B7FBB" w:rsidRPr="00CD59CC" w:rsidRDefault="006B7FBB" w:rsidP="00CD59CC">
      <w:pPr>
        <w:rPr>
          <w:rFonts w:ascii="Arial" w:hAnsi="Arial" w:cs="Arial"/>
        </w:rPr>
      </w:pPr>
    </w:p>
    <w:p w14:paraId="7C0D07BE" w14:textId="77777777" w:rsidR="007F2EEE" w:rsidRPr="00CD59CC" w:rsidRDefault="007F2EEE" w:rsidP="00CD59CC">
      <w:pPr>
        <w:pStyle w:val="Header"/>
        <w:tabs>
          <w:tab w:val="clear" w:pos="4153"/>
          <w:tab w:val="clear" w:pos="8306"/>
        </w:tabs>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devotes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chapter</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bulk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anti-discrimination</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now</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found</w:t>
      </w:r>
      <w:r w:rsidR="007B7640" w:rsidRPr="00CD59CC">
        <w:rPr>
          <w:rFonts w:ascii="Arial" w:hAnsi="Arial" w:cs="Arial"/>
        </w:rPr>
        <w:t xml:space="preserve"> </w:t>
      </w:r>
      <w:r w:rsidRPr="00CD59CC">
        <w:rPr>
          <w:rFonts w:ascii="Arial" w:hAnsi="Arial" w:cs="Arial"/>
        </w:rPr>
        <w:t>here.</w:t>
      </w:r>
      <w:r w:rsidR="007B7640" w:rsidRPr="00CD59CC">
        <w:rPr>
          <w:rFonts w:ascii="Arial" w:hAnsi="Arial" w:cs="Arial"/>
        </w:rPr>
        <w:t xml:space="preserve"> </w:t>
      </w:r>
    </w:p>
    <w:p w14:paraId="1AEEF65E" w14:textId="77777777" w:rsidR="007F2EEE" w:rsidRPr="00CD59CC" w:rsidRDefault="007F2EEE" w:rsidP="00CD59CC">
      <w:pPr>
        <w:pStyle w:val="Fszveg"/>
        <w:spacing w:line="240" w:lineRule="auto"/>
        <w:jc w:val="left"/>
        <w:rPr>
          <w:rFonts w:ascii="Arial" w:hAnsi="Arial" w:cs="Arial"/>
          <w:sz w:val="24"/>
          <w:szCs w:val="24"/>
          <w:lang w:val="en-GB"/>
        </w:rPr>
      </w:pPr>
    </w:p>
    <w:p w14:paraId="5C6E2ED1" w14:textId="77777777" w:rsidR="007F2EEE" w:rsidRPr="00CD59CC" w:rsidRDefault="007F2EEE" w:rsidP="00CD59CC">
      <w:pPr>
        <w:pStyle w:val="Fszveg"/>
        <w:spacing w:line="240" w:lineRule="auto"/>
        <w:jc w:val="left"/>
        <w:rPr>
          <w:rFonts w:ascii="Arial" w:hAnsi="Arial" w:cs="Arial"/>
          <w:bCs/>
          <w:sz w:val="24"/>
          <w:szCs w:val="24"/>
          <w:lang w:val="en-GB"/>
        </w:rPr>
      </w:pP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context</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first</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all</w:t>
      </w:r>
      <w:r w:rsidR="007B7640" w:rsidRPr="00CD59CC">
        <w:rPr>
          <w:rFonts w:ascii="Arial" w:hAnsi="Arial" w:cs="Arial"/>
          <w:sz w:val="24"/>
          <w:szCs w:val="24"/>
          <w:lang w:val="en-GB"/>
        </w:rPr>
        <w:t xml:space="preserve"> </w:t>
      </w:r>
      <w:r w:rsidRPr="00CD59CC">
        <w:rPr>
          <w:rFonts w:ascii="Arial" w:hAnsi="Arial" w:cs="Arial"/>
          <w:sz w:val="24"/>
          <w:szCs w:val="24"/>
          <w:lang w:val="en-GB"/>
        </w:rPr>
        <w:t>we</w:t>
      </w:r>
      <w:r w:rsidR="007B7640" w:rsidRPr="00CD59CC">
        <w:rPr>
          <w:rFonts w:ascii="Arial" w:hAnsi="Arial" w:cs="Arial"/>
          <w:sz w:val="24"/>
          <w:szCs w:val="24"/>
          <w:lang w:val="en-GB"/>
        </w:rPr>
        <w:t xml:space="preserve"> </w:t>
      </w:r>
      <w:r w:rsidRPr="00CD59CC">
        <w:rPr>
          <w:rFonts w:ascii="Arial" w:hAnsi="Arial" w:cs="Arial"/>
          <w:sz w:val="24"/>
          <w:szCs w:val="24"/>
          <w:lang w:val="en-GB"/>
        </w:rPr>
        <w:t>have</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call</w:t>
      </w:r>
      <w:r w:rsidR="007B7640" w:rsidRPr="00CD59CC">
        <w:rPr>
          <w:rFonts w:ascii="Arial" w:hAnsi="Arial" w:cs="Arial"/>
          <w:sz w:val="24"/>
          <w:szCs w:val="24"/>
          <w:lang w:val="en-GB"/>
        </w:rPr>
        <w:t xml:space="preserve"> </w:t>
      </w:r>
      <w:r w:rsidRPr="00CD59CC">
        <w:rPr>
          <w:rFonts w:ascii="Arial" w:hAnsi="Arial" w:cs="Arial"/>
          <w:sz w:val="24"/>
          <w:szCs w:val="24"/>
          <w:lang w:val="en-GB"/>
        </w:rPr>
        <w:t>attention</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Articles</w:t>
      </w:r>
      <w:r w:rsidR="007B7640" w:rsidRPr="00CD59CC">
        <w:rPr>
          <w:rFonts w:ascii="Arial" w:hAnsi="Arial" w:cs="Arial"/>
          <w:sz w:val="24"/>
          <w:szCs w:val="24"/>
          <w:lang w:val="en-GB"/>
        </w:rPr>
        <w:t xml:space="preserve"> </w:t>
      </w:r>
      <w:r w:rsidRPr="00CD59CC">
        <w:rPr>
          <w:rFonts w:ascii="Arial" w:hAnsi="Arial" w:cs="Arial"/>
          <w:sz w:val="24"/>
          <w:szCs w:val="24"/>
          <w:lang w:val="en-GB"/>
        </w:rPr>
        <w:t>7</w:t>
      </w:r>
      <w:r w:rsidR="007B7640" w:rsidRPr="00CD59CC">
        <w:rPr>
          <w:rFonts w:ascii="Arial" w:hAnsi="Arial" w:cs="Arial"/>
          <w:sz w:val="24"/>
          <w:szCs w:val="24"/>
          <w:lang w:val="en-GB"/>
        </w:rPr>
        <w:t xml:space="preserve"> </w:t>
      </w:r>
      <w:r w:rsidRPr="00CD59CC">
        <w:rPr>
          <w:rFonts w:ascii="Arial" w:hAnsi="Arial" w:cs="Arial"/>
          <w:sz w:val="24"/>
          <w:szCs w:val="24"/>
          <w:lang w:val="en-GB"/>
        </w:rPr>
        <w:t>(1)</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10</w:t>
      </w:r>
      <w:r w:rsidR="007B7640" w:rsidRPr="00CD59CC">
        <w:rPr>
          <w:rFonts w:ascii="Arial" w:hAnsi="Arial" w:cs="Arial"/>
          <w:sz w:val="24"/>
          <w:szCs w:val="24"/>
          <w:lang w:val="en-GB"/>
        </w:rPr>
        <w:t xml:space="preserve"> </w:t>
      </w:r>
      <w:r w:rsidRPr="00CD59CC">
        <w:rPr>
          <w:rFonts w:ascii="Arial" w:hAnsi="Arial" w:cs="Arial"/>
          <w:sz w:val="24"/>
          <w:szCs w:val="24"/>
          <w:lang w:val="en-GB"/>
        </w:rPr>
        <w:t>(2)</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ETA.</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terms</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Article</w:t>
      </w:r>
      <w:r w:rsidR="007B7640" w:rsidRPr="00CD59CC">
        <w:rPr>
          <w:rFonts w:ascii="Arial" w:hAnsi="Arial" w:cs="Arial"/>
          <w:sz w:val="24"/>
          <w:szCs w:val="24"/>
          <w:lang w:val="en-GB"/>
        </w:rPr>
        <w:t xml:space="preserve"> </w:t>
      </w:r>
      <w:r w:rsidRPr="00CD59CC">
        <w:rPr>
          <w:rFonts w:ascii="Arial" w:hAnsi="Arial" w:cs="Arial"/>
          <w:sz w:val="24"/>
          <w:szCs w:val="24"/>
          <w:lang w:val="en-GB"/>
        </w:rPr>
        <w:t>7</w:t>
      </w:r>
      <w:r w:rsidR="007B7640" w:rsidRPr="00CD59CC">
        <w:rPr>
          <w:rFonts w:ascii="Arial" w:hAnsi="Arial" w:cs="Arial"/>
          <w:sz w:val="24"/>
          <w:szCs w:val="24"/>
          <w:lang w:val="en-GB"/>
        </w:rPr>
        <w:t xml:space="preserve"> </w:t>
      </w:r>
      <w:r w:rsidRPr="00CD59CC">
        <w:rPr>
          <w:rFonts w:ascii="Arial" w:hAnsi="Arial" w:cs="Arial"/>
          <w:sz w:val="24"/>
          <w:szCs w:val="24"/>
          <w:lang w:val="en-GB"/>
        </w:rPr>
        <w:t>(1)</w:t>
      </w:r>
      <w:r w:rsidR="007B7640" w:rsidRPr="00CD59CC">
        <w:rPr>
          <w:rFonts w:ascii="Arial" w:hAnsi="Arial" w:cs="Arial"/>
          <w:sz w:val="24"/>
          <w:szCs w:val="24"/>
          <w:lang w:val="en-GB"/>
        </w:rPr>
        <w:t xml:space="preserve"> </w:t>
      </w:r>
      <w:r w:rsidRPr="00CD59CC">
        <w:rPr>
          <w:rFonts w:ascii="Arial" w:hAnsi="Arial" w:cs="Arial"/>
          <w:sz w:val="24"/>
          <w:szCs w:val="24"/>
          <w:lang w:val="en-GB"/>
        </w:rPr>
        <w:t>segregation</w:t>
      </w:r>
      <w:r w:rsidR="007B7640" w:rsidRPr="00CD59CC">
        <w:rPr>
          <w:rFonts w:ascii="Arial" w:hAnsi="Arial" w:cs="Arial"/>
          <w:sz w:val="24"/>
          <w:szCs w:val="24"/>
          <w:lang w:val="en-GB"/>
        </w:rPr>
        <w:t xml:space="preserve"> </w:t>
      </w:r>
      <w:r w:rsidRPr="00CD59CC">
        <w:rPr>
          <w:rFonts w:ascii="Arial" w:hAnsi="Arial" w:cs="Arial"/>
          <w:sz w:val="24"/>
          <w:szCs w:val="24"/>
          <w:lang w:val="en-GB"/>
        </w:rPr>
        <w:t>shall</w:t>
      </w:r>
      <w:r w:rsidR="007B7640" w:rsidRPr="00CD59CC">
        <w:rPr>
          <w:rFonts w:ascii="Arial" w:hAnsi="Arial" w:cs="Arial"/>
          <w:sz w:val="24"/>
          <w:szCs w:val="24"/>
          <w:lang w:val="en-GB"/>
        </w:rPr>
        <w:t xml:space="preserve"> </w:t>
      </w:r>
      <w:r w:rsidRPr="00CD59CC">
        <w:rPr>
          <w:rFonts w:ascii="Arial" w:hAnsi="Arial" w:cs="Arial"/>
          <w:sz w:val="24"/>
          <w:szCs w:val="24"/>
          <w:lang w:val="en-GB"/>
        </w:rPr>
        <w:t>be</w:t>
      </w:r>
      <w:r w:rsidR="007B7640" w:rsidRPr="00CD59CC">
        <w:rPr>
          <w:rFonts w:ascii="Arial" w:hAnsi="Arial" w:cs="Arial"/>
          <w:sz w:val="24"/>
          <w:szCs w:val="24"/>
          <w:lang w:val="en-GB"/>
        </w:rPr>
        <w:t xml:space="preserve"> </w:t>
      </w:r>
      <w:r w:rsidRPr="00CD59CC">
        <w:rPr>
          <w:rFonts w:ascii="Arial" w:hAnsi="Arial" w:cs="Arial"/>
          <w:sz w:val="24"/>
          <w:szCs w:val="24"/>
          <w:lang w:val="en-GB"/>
        </w:rPr>
        <w:t>regarded</w:t>
      </w:r>
      <w:r w:rsidR="007B7640" w:rsidRPr="00CD59CC">
        <w:rPr>
          <w:rFonts w:ascii="Arial" w:hAnsi="Arial" w:cs="Arial"/>
          <w:sz w:val="24"/>
          <w:szCs w:val="24"/>
          <w:lang w:val="en-GB"/>
        </w:rPr>
        <w:t xml:space="preserve"> </w:t>
      </w:r>
      <w:r w:rsidRPr="00CD59CC">
        <w:rPr>
          <w:rFonts w:ascii="Arial" w:hAnsi="Arial" w:cs="Arial"/>
          <w:sz w:val="24"/>
          <w:szCs w:val="24"/>
          <w:lang w:val="en-GB"/>
        </w:rPr>
        <w:t>as</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form</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breach</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requirement</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equal</w:t>
      </w:r>
      <w:r w:rsidR="007B7640" w:rsidRPr="00CD59CC">
        <w:rPr>
          <w:rFonts w:ascii="Arial" w:hAnsi="Arial" w:cs="Arial"/>
          <w:sz w:val="24"/>
          <w:szCs w:val="24"/>
          <w:lang w:val="en-GB"/>
        </w:rPr>
        <w:t xml:space="preserve"> </w:t>
      </w:r>
      <w:r w:rsidRPr="00CD59CC">
        <w:rPr>
          <w:rFonts w:ascii="Arial" w:hAnsi="Arial" w:cs="Arial"/>
          <w:sz w:val="24"/>
          <w:szCs w:val="24"/>
          <w:lang w:val="en-GB"/>
        </w:rPr>
        <w:t>treatment.</w:t>
      </w:r>
      <w:r w:rsidR="007B7640" w:rsidRPr="00CD59CC">
        <w:rPr>
          <w:rFonts w:ascii="Arial" w:hAnsi="Arial" w:cs="Arial"/>
          <w:sz w:val="24"/>
          <w:szCs w:val="24"/>
          <w:lang w:val="en-GB"/>
        </w:rPr>
        <w:t xml:space="preserve"> </w:t>
      </w:r>
      <w:r w:rsidRPr="00CD59CC">
        <w:rPr>
          <w:rFonts w:ascii="Arial" w:hAnsi="Arial" w:cs="Arial"/>
          <w:sz w:val="24"/>
          <w:szCs w:val="24"/>
          <w:lang w:val="en-GB"/>
        </w:rPr>
        <w:t>Article</w:t>
      </w:r>
      <w:r w:rsidR="007B7640" w:rsidRPr="00CD59CC">
        <w:rPr>
          <w:rFonts w:ascii="Arial" w:hAnsi="Arial" w:cs="Arial"/>
          <w:sz w:val="24"/>
          <w:szCs w:val="24"/>
          <w:lang w:val="en-GB"/>
        </w:rPr>
        <w:t xml:space="preserve"> </w:t>
      </w:r>
      <w:r w:rsidRPr="00CD59CC">
        <w:rPr>
          <w:rFonts w:ascii="Arial" w:hAnsi="Arial" w:cs="Arial"/>
          <w:sz w:val="24"/>
          <w:szCs w:val="24"/>
          <w:lang w:val="en-GB"/>
        </w:rPr>
        <w:t>10</w:t>
      </w:r>
      <w:r w:rsidR="007B7640" w:rsidRPr="00CD59CC">
        <w:rPr>
          <w:rFonts w:ascii="Arial" w:hAnsi="Arial" w:cs="Arial"/>
          <w:sz w:val="24"/>
          <w:szCs w:val="24"/>
          <w:lang w:val="en-GB"/>
        </w:rPr>
        <w:t xml:space="preserve"> </w:t>
      </w:r>
      <w:r w:rsidRPr="00CD59CC">
        <w:rPr>
          <w:rFonts w:ascii="Arial" w:hAnsi="Arial" w:cs="Arial"/>
          <w:sz w:val="24"/>
          <w:szCs w:val="24"/>
          <w:lang w:val="en-GB"/>
        </w:rPr>
        <w:t>(2)</w:t>
      </w:r>
      <w:r w:rsidR="007B7640" w:rsidRPr="00CD59CC">
        <w:rPr>
          <w:rFonts w:ascii="Arial" w:hAnsi="Arial" w:cs="Arial"/>
          <w:sz w:val="24"/>
          <w:szCs w:val="24"/>
          <w:lang w:val="en-GB"/>
        </w:rPr>
        <w:t xml:space="preserve"> </w:t>
      </w:r>
      <w:r w:rsidRPr="00CD59CC">
        <w:rPr>
          <w:rFonts w:ascii="Arial" w:hAnsi="Arial" w:cs="Arial"/>
          <w:sz w:val="24"/>
          <w:szCs w:val="24"/>
          <w:lang w:val="en-GB"/>
        </w:rPr>
        <w:t>claims</w:t>
      </w:r>
      <w:r w:rsidR="007B7640" w:rsidRPr="00CD59CC">
        <w:rPr>
          <w:rFonts w:ascii="Arial" w:hAnsi="Arial" w:cs="Arial"/>
          <w:sz w:val="24"/>
          <w:szCs w:val="24"/>
          <w:lang w:val="en-GB"/>
        </w:rPr>
        <w:t xml:space="preserve"> </w:t>
      </w:r>
      <w:r w:rsidRPr="00CD59CC">
        <w:rPr>
          <w:rFonts w:ascii="Arial" w:hAnsi="Arial" w:cs="Arial"/>
          <w:sz w:val="24"/>
          <w:szCs w:val="24"/>
          <w:lang w:val="en-GB"/>
        </w:rPr>
        <w:t>that</w:t>
      </w:r>
      <w:r w:rsidR="007B7640" w:rsidRPr="00CD59CC">
        <w:rPr>
          <w:rFonts w:ascii="Arial" w:hAnsi="Arial" w:cs="Arial"/>
          <w:sz w:val="24"/>
          <w:szCs w:val="24"/>
          <w:lang w:val="en-GB"/>
        </w:rPr>
        <w:t xml:space="preserve"> </w:t>
      </w:r>
      <w:r w:rsidRPr="00CD59CC">
        <w:rPr>
          <w:rFonts w:ascii="Arial" w:hAnsi="Arial" w:cs="Arial"/>
          <w:sz w:val="24"/>
          <w:szCs w:val="24"/>
          <w:lang w:val="en-GB"/>
        </w:rPr>
        <w:t>“segregation</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behaviour</w:t>
      </w:r>
      <w:r w:rsidR="007B7640" w:rsidRPr="00CD59CC">
        <w:rPr>
          <w:rFonts w:ascii="Arial" w:hAnsi="Arial" w:cs="Arial"/>
          <w:sz w:val="24"/>
          <w:szCs w:val="24"/>
          <w:lang w:val="en-GB"/>
        </w:rPr>
        <w:t xml:space="preserve"> </w:t>
      </w:r>
      <w:r w:rsidRPr="00CD59CC">
        <w:rPr>
          <w:rFonts w:ascii="Arial" w:hAnsi="Arial" w:cs="Arial"/>
          <w:sz w:val="24"/>
          <w:szCs w:val="24"/>
          <w:lang w:val="en-GB"/>
        </w:rPr>
        <w:t>aimed</w:t>
      </w:r>
      <w:r w:rsidR="007B7640" w:rsidRPr="00CD59CC">
        <w:rPr>
          <w:rFonts w:ascii="Arial" w:hAnsi="Arial" w:cs="Arial"/>
          <w:sz w:val="24"/>
          <w:szCs w:val="24"/>
          <w:lang w:val="en-GB"/>
        </w:rPr>
        <w:t xml:space="preserve"> </w:t>
      </w:r>
      <w:r w:rsidRPr="00CD59CC">
        <w:rPr>
          <w:rFonts w:ascii="Arial" w:hAnsi="Arial" w:cs="Arial"/>
          <w:sz w:val="24"/>
          <w:szCs w:val="24"/>
          <w:lang w:val="en-GB"/>
        </w:rPr>
        <w:t>at</w:t>
      </w:r>
      <w:r w:rsidR="007B7640" w:rsidRPr="00CD59CC">
        <w:rPr>
          <w:rFonts w:ascii="Arial" w:hAnsi="Arial" w:cs="Arial"/>
          <w:sz w:val="24"/>
          <w:szCs w:val="24"/>
          <w:lang w:val="en-GB"/>
        </w:rPr>
        <w:t xml:space="preserve"> </w:t>
      </w:r>
      <w:r w:rsidRPr="00CD59CC">
        <w:rPr>
          <w:rFonts w:ascii="Arial" w:hAnsi="Arial" w:cs="Arial"/>
          <w:sz w:val="24"/>
          <w:szCs w:val="24"/>
          <w:lang w:val="en-GB"/>
        </w:rPr>
        <w:t>separating</w:t>
      </w:r>
      <w:r w:rsidR="007B7640" w:rsidRPr="00CD59CC">
        <w:rPr>
          <w:rFonts w:ascii="Arial" w:hAnsi="Arial" w:cs="Arial"/>
          <w:sz w:val="24"/>
          <w:szCs w:val="24"/>
          <w:lang w:val="en-GB"/>
        </w:rPr>
        <w:t xml:space="preserve"> </w:t>
      </w:r>
      <w:r w:rsidRPr="00CD59CC">
        <w:rPr>
          <w:rFonts w:ascii="Arial" w:hAnsi="Arial" w:cs="Arial"/>
          <w:sz w:val="24"/>
          <w:szCs w:val="24"/>
          <w:lang w:val="en-GB"/>
        </w:rPr>
        <w:t>individuals</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group</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persons</w:t>
      </w:r>
      <w:r w:rsidR="007B7640" w:rsidRPr="00CD59CC">
        <w:rPr>
          <w:rFonts w:ascii="Arial" w:hAnsi="Arial" w:cs="Arial"/>
          <w:sz w:val="24"/>
          <w:szCs w:val="24"/>
          <w:lang w:val="en-GB"/>
        </w:rPr>
        <w:t xml:space="preserve"> </w:t>
      </w:r>
      <w:r w:rsidRPr="00CD59CC">
        <w:rPr>
          <w:rFonts w:ascii="Arial" w:hAnsi="Arial" w:cs="Arial"/>
          <w:sz w:val="24"/>
          <w:szCs w:val="24"/>
          <w:lang w:val="en-GB"/>
        </w:rPr>
        <w:t>from</w:t>
      </w:r>
      <w:r w:rsidR="007B7640" w:rsidRPr="00CD59CC">
        <w:rPr>
          <w:rFonts w:ascii="Arial" w:hAnsi="Arial" w:cs="Arial"/>
          <w:sz w:val="24"/>
          <w:szCs w:val="24"/>
          <w:lang w:val="en-GB"/>
        </w:rPr>
        <w:t xml:space="preserve"> </w:t>
      </w:r>
      <w:r w:rsidRPr="00CD59CC">
        <w:rPr>
          <w:rFonts w:ascii="Arial" w:hAnsi="Arial" w:cs="Arial"/>
          <w:sz w:val="24"/>
          <w:szCs w:val="24"/>
          <w:lang w:val="en-GB"/>
        </w:rPr>
        <w:t>other</w:t>
      </w:r>
      <w:r w:rsidR="007B7640" w:rsidRPr="00CD59CC">
        <w:rPr>
          <w:rFonts w:ascii="Arial" w:hAnsi="Arial" w:cs="Arial"/>
          <w:sz w:val="24"/>
          <w:szCs w:val="24"/>
          <w:lang w:val="en-GB"/>
        </w:rPr>
        <w:t xml:space="preserve"> </w:t>
      </w:r>
      <w:r w:rsidRPr="00CD59CC">
        <w:rPr>
          <w:rFonts w:ascii="Arial" w:hAnsi="Arial" w:cs="Arial"/>
          <w:sz w:val="24"/>
          <w:szCs w:val="24"/>
          <w:lang w:val="en-GB"/>
        </w:rPr>
        <w:t>individuals</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another</w:t>
      </w:r>
      <w:r w:rsidR="007B7640" w:rsidRPr="00CD59CC">
        <w:rPr>
          <w:rFonts w:ascii="Arial" w:hAnsi="Arial" w:cs="Arial"/>
          <w:sz w:val="24"/>
          <w:szCs w:val="24"/>
          <w:lang w:val="en-GB"/>
        </w:rPr>
        <w:t xml:space="preserve"> </w:t>
      </w:r>
      <w:r w:rsidRPr="00CD59CC">
        <w:rPr>
          <w:rFonts w:ascii="Arial" w:hAnsi="Arial" w:cs="Arial"/>
          <w:sz w:val="24"/>
          <w:szCs w:val="24"/>
          <w:lang w:val="en-GB"/>
        </w:rPr>
        <w:t>group</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persons</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comparable</w:t>
      </w:r>
      <w:r w:rsidR="007B7640" w:rsidRPr="00CD59CC">
        <w:rPr>
          <w:rFonts w:ascii="Arial" w:hAnsi="Arial" w:cs="Arial"/>
          <w:sz w:val="24"/>
          <w:szCs w:val="24"/>
          <w:lang w:val="en-GB"/>
        </w:rPr>
        <w:t xml:space="preserve"> </w:t>
      </w:r>
      <w:r w:rsidRPr="00CD59CC">
        <w:rPr>
          <w:rFonts w:ascii="Arial" w:hAnsi="Arial" w:cs="Arial"/>
          <w:sz w:val="24"/>
          <w:szCs w:val="24"/>
          <w:lang w:val="en-GB"/>
        </w:rPr>
        <w:t>situation,</w:t>
      </w:r>
      <w:r w:rsidR="007B7640" w:rsidRPr="00CD59CC">
        <w:rPr>
          <w:rFonts w:ascii="Arial" w:hAnsi="Arial" w:cs="Arial"/>
          <w:sz w:val="24"/>
          <w:szCs w:val="24"/>
          <w:lang w:val="en-GB"/>
        </w:rPr>
        <w:t xml:space="preserve"> </w:t>
      </w:r>
      <w:r w:rsidRPr="00CD59CC">
        <w:rPr>
          <w:rFonts w:ascii="Arial" w:hAnsi="Arial" w:cs="Arial"/>
          <w:sz w:val="24"/>
          <w:szCs w:val="24"/>
          <w:lang w:val="en-GB"/>
        </w:rPr>
        <w:t>based</w:t>
      </w:r>
      <w:r w:rsidR="007B7640" w:rsidRPr="00CD59CC">
        <w:rPr>
          <w:rFonts w:ascii="Arial" w:hAnsi="Arial" w:cs="Arial"/>
          <w:sz w:val="24"/>
          <w:szCs w:val="24"/>
          <w:lang w:val="en-GB"/>
        </w:rPr>
        <w:t xml:space="preserve"> </w:t>
      </w:r>
      <w:r w:rsidRPr="00CD59CC">
        <w:rPr>
          <w:rFonts w:ascii="Arial" w:hAnsi="Arial" w:cs="Arial"/>
          <w:sz w:val="24"/>
          <w:szCs w:val="24"/>
          <w:lang w:val="en-GB"/>
        </w:rPr>
        <w:t>on</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characteristic</w:t>
      </w:r>
      <w:r w:rsidR="007B7640" w:rsidRPr="00CD59CC">
        <w:rPr>
          <w:rFonts w:ascii="Arial" w:hAnsi="Arial" w:cs="Arial"/>
          <w:sz w:val="24"/>
          <w:szCs w:val="24"/>
          <w:lang w:val="en-GB"/>
        </w:rPr>
        <w:t xml:space="preserve"> </w:t>
      </w:r>
      <w:r w:rsidRPr="00CD59CC">
        <w:rPr>
          <w:rFonts w:ascii="Arial" w:hAnsi="Arial" w:cs="Arial"/>
          <w:sz w:val="24"/>
          <w:szCs w:val="24"/>
          <w:lang w:val="en-GB"/>
        </w:rPr>
        <w:t>defined</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Article</w:t>
      </w:r>
      <w:r w:rsidR="007B7640" w:rsidRPr="00CD59CC">
        <w:rPr>
          <w:rFonts w:ascii="Arial" w:hAnsi="Arial" w:cs="Arial"/>
          <w:sz w:val="24"/>
          <w:szCs w:val="24"/>
          <w:lang w:val="en-GB"/>
        </w:rPr>
        <w:t xml:space="preserve"> </w:t>
      </w:r>
      <w:r w:rsidRPr="00CD59CC">
        <w:rPr>
          <w:rFonts w:ascii="Arial" w:hAnsi="Arial" w:cs="Arial"/>
          <w:sz w:val="24"/>
          <w:szCs w:val="24"/>
          <w:lang w:val="en-GB"/>
        </w:rPr>
        <w:t>8,</w:t>
      </w:r>
      <w:r w:rsidR="007B7640" w:rsidRPr="00CD59CC">
        <w:rPr>
          <w:rFonts w:ascii="Arial" w:hAnsi="Arial" w:cs="Arial"/>
          <w:sz w:val="24"/>
          <w:szCs w:val="24"/>
          <w:lang w:val="en-GB"/>
        </w:rPr>
        <w:t xml:space="preserve"> </w:t>
      </w:r>
      <w:r w:rsidRPr="00CD59CC">
        <w:rPr>
          <w:rFonts w:ascii="Arial" w:hAnsi="Arial" w:cs="Arial"/>
          <w:sz w:val="24"/>
          <w:szCs w:val="24"/>
          <w:lang w:val="en-GB"/>
        </w:rPr>
        <w:t>without</w:t>
      </w:r>
      <w:r w:rsidR="007B7640" w:rsidRPr="00CD59CC">
        <w:rPr>
          <w:rFonts w:ascii="Arial" w:hAnsi="Arial" w:cs="Arial"/>
          <w:sz w:val="24"/>
          <w:szCs w:val="24"/>
          <w:lang w:val="en-GB"/>
        </w:rPr>
        <w:t xml:space="preserve"> </w:t>
      </w:r>
      <w:r w:rsidRPr="00CD59CC">
        <w:rPr>
          <w:rFonts w:ascii="Arial" w:hAnsi="Arial" w:cs="Arial"/>
          <w:sz w:val="24"/>
          <w:szCs w:val="24"/>
          <w:lang w:val="en-GB"/>
        </w:rPr>
        <w:t>an</w:t>
      </w:r>
      <w:r w:rsidR="007B7640" w:rsidRPr="00CD59CC">
        <w:rPr>
          <w:rFonts w:ascii="Arial" w:hAnsi="Arial" w:cs="Arial"/>
          <w:sz w:val="24"/>
          <w:szCs w:val="24"/>
          <w:lang w:val="en-GB"/>
        </w:rPr>
        <w:t xml:space="preserve"> </w:t>
      </w:r>
      <w:r w:rsidRPr="00CD59CC">
        <w:rPr>
          <w:rFonts w:ascii="Arial" w:hAnsi="Arial" w:cs="Arial"/>
          <w:sz w:val="24"/>
          <w:szCs w:val="24"/>
          <w:lang w:val="en-GB"/>
        </w:rPr>
        <w:t>express</w:t>
      </w:r>
      <w:r w:rsidR="007B7640" w:rsidRPr="00CD59CC">
        <w:rPr>
          <w:rFonts w:ascii="Arial" w:hAnsi="Arial" w:cs="Arial"/>
          <w:sz w:val="24"/>
          <w:szCs w:val="24"/>
          <w:lang w:val="en-GB"/>
        </w:rPr>
        <w:t xml:space="preserve"> </w:t>
      </w:r>
      <w:r w:rsidRPr="00CD59CC">
        <w:rPr>
          <w:rFonts w:ascii="Arial" w:hAnsi="Arial" w:cs="Arial"/>
          <w:sz w:val="24"/>
          <w:szCs w:val="24"/>
          <w:lang w:val="en-GB"/>
        </w:rPr>
        <w:t>authorisation</w:t>
      </w:r>
      <w:r w:rsidR="007B7640" w:rsidRPr="00CD59CC">
        <w:rPr>
          <w:rFonts w:ascii="Arial" w:hAnsi="Arial" w:cs="Arial"/>
          <w:sz w:val="24"/>
          <w:szCs w:val="24"/>
          <w:lang w:val="en-GB"/>
        </w:rPr>
        <w:t xml:space="preserve"> </w:t>
      </w:r>
      <w:r w:rsidRPr="00CD59CC">
        <w:rPr>
          <w:rFonts w:ascii="Arial" w:hAnsi="Arial" w:cs="Arial"/>
          <w:sz w:val="24"/>
          <w:szCs w:val="24"/>
          <w:lang w:val="en-GB"/>
        </w:rPr>
        <w:t>set</w:t>
      </w:r>
      <w:r w:rsidR="007B7640" w:rsidRPr="00CD59CC">
        <w:rPr>
          <w:rFonts w:ascii="Arial" w:hAnsi="Arial" w:cs="Arial"/>
          <w:sz w:val="24"/>
          <w:szCs w:val="24"/>
          <w:lang w:val="en-GB"/>
        </w:rPr>
        <w:t xml:space="preserve"> </w:t>
      </w:r>
      <w:r w:rsidRPr="00CD59CC">
        <w:rPr>
          <w:rFonts w:ascii="Arial" w:hAnsi="Arial" w:cs="Arial"/>
          <w:sz w:val="24"/>
          <w:szCs w:val="24"/>
          <w:lang w:val="en-GB"/>
        </w:rPr>
        <w:t>out</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an</w:t>
      </w:r>
      <w:r w:rsidR="007B7640" w:rsidRPr="00CD59CC">
        <w:rPr>
          <w:rFonts w:ascii="Arial" w:hAnsi="Arial" w:cs="Arial"/>
          <w:sz w:val="24"/>
          <w:szCs w:val="24"/>
          <w:lang w:val="en-GB"/>
        </w:rPr>
        <w:t xml:space="preserve"> </w:t>
      </w:r>
      <w:r w:rsidRPr="00CD59CC">
        <w:rPr>
          <w:rFonts w:ascii="Arial" w:hAnsi="Arial" w:cs="Arial"/>
          <w:sz w:val="24"/>
          <w:szCs w:val="24"/>
          <w:lang w:val="en-GB"/>
        </w:rPr>
        <w:t>Act</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Parliament.”</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provision</w:t>
      </w:r>
      <w:r w:rsidR="007B7640" w:rsidRPr="00CD59CC">
        <w:rPr>
          <w:rFonts w:ascii="Arial" w:hAnsi="Arial" w:cs="Arial"/>
          <w:sz w:val="24"/>
          <w:szCs w:val="24"/>
          <w:lang w:val="en-GB"/>
        </w:rPr>
        <w:t xml:space="preserve"> </w:t>
      </w:r>
      <w:r w:rsidRPr="00CD59CC">
        <w:rPr>
          <w:rFonts w:ascii="Arial" w:hAnsi="Arial" w:cs="Arial"/>
          <w:sz w:val="24"/>
          <w:szCs w:val="24"/>
          <w:lang w:val="en-GB"/>
        </w:rPr>
        <w:t>on</w:t>
      </w:r>
      <w:r w:rsidR="007B7640" w:rsidRPr="00CD59CC">
        <w:rPr>
          <w:rFonts w:ascii="Arial" w:hAnsi="Arial" w:cs="Arial"/>
          <w:sz w:val="24"/>
          <w:szCs w:val="24"/>
          <w:lang w:val="en-GB"/>
        </w:rPr>
        <w:t xml:space="preserve"> </w:t>
      </w:r>
      <w:r w:rsidRPr="00CD59CC">
        <w:rPr>
          <w:rFonts w:ascii="Arial" w:hAnsi="Arial" w:cs="Arial"/>
          <w:sz w:val="24"/>
          <w:szCs w:val="24"/>
          <w:lang w:val="en-GB"/>
        </w:rPr>
        <w:t>segregation</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included</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Act</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clearly</w:t>
      </w:r>
      <w:r w:rsidR="007B7640" w:rsidRPr="00CD59CC">
        <w:rPr>
          <w:rFonts w:ascii="Arial" w:hAnsi="Arial" w:cs="Arial"/>
          <w:sz w:val="24"/>
          <w:szCs w:val="24"/>
          <w:lang w:val="en-GB"/>
        </w:rPr>
        <w:t xml:space="preserve"> </w:t>
      </w:r>
      <w:r w:rsidRPr="00CD59CC">
        <w:rPr>
          <w:rFonts w:ascii="Arial" w:hAnsi="Arial" w:cs="Arial"/>
          <w:sz w:val="24"/>
          <w:szCs w:val="24"/>
          <w:lang w:val="en-GB"/>
        </w:rPr>
        <w:t>deem</w:t>
      </w:r>
      <w:r w:rsidR="007B7640" w:rsidRPr="00CD59CC">
        <w:rPr>
          <w:rFonts w:ascii="Arial" w:hAnsi="Arial" w:cs="Arial"/>
          <w:sz w:val="24"/>
          <w:szCs w:val="24"/>
          <w:lang w:val="en-GB"/>
        </w:rPr>
        <w:t xml:space="preserve"> </w:t>
      </w:r>
      <w:r w:rsidRPr="00CD59CC">
        <w:rPr>
          <w:rFonts w:ascii="Arial" w:hAnsi="Arial" w:cs="Arial"/>
          <w:sz w:val="24"/>
          <w:szCs w:val="24"/>
          <w:lang w:val="en-GB"/>
        </w:rPr>
        <w:t>“equal</w:t>
      </w:r>
      <w:r w:rsidR="007B7640" w:rsidRPr="00CD59CC">
        <w:rPr>
          <w:rFonts w:ascii="Arial" w:hAnsi="Arial" w:cs="Arial"/>
          <w:sz w:val="24"/>
          <w:szCs w:val="24"/>
          <w:lang w:val="en-GB"/>
        </w:rPr>
        <w:t xml:space="preserve"> </w:t>
      </w:r>
      <w:r w:rsidRPr="00CD59CC">
        <w:rPr>
          <w:rFonts w:ascii="Arial" w:hAnsi="Arial" w:cs="Arial"/>
          <w:sz w:val="24"/>
          <w:szCs w:val="24"/>
          <w:lang w:val="en-GB"/>
        </w:rPr>
        <w:t>but</w:t>
      </w:r>
      <w:r w:rsidR="007B7640" w:rsidRPr="00CD59CC">
        <w:rPr>
          <w:rFonts w:ascii="Arial" w:hAnsi="Arial" w:cs="Arial"/>
          <w:sz w:val="24"/>
          <w:szCs w:val="24"/>
          <w:lang w:val="en-GB"/>
        </w:rPr>
        <w:t xml:space="preserve"> </w:t>
      </w:r>
      <w:r w:rsidRPr="00CD59CC">
        <w:rPr>
          <w:rFonts w:ascii="Arial" w:hAnsi="Arial" w:cs="Arial"/>
          <w:sz w:val="24"/>
          <w:szCs w:val="24"/>
          <w:lang w:val="en-GB"/>
        </w:rPr>
        <w:t>separate”</w:t>
      </w:r>
      <w:r w:rsidR="007B7640" w:rsidRPr="00CD59CC">
        <w:rPr>
          <w:rFonts w:ascii="Arial" w:hAnsi="Arial" w:cs="Arial"/>
          <w:sz w:val="24"/>
          <w:szCs w:val="24"/>
          <w:lang w:val="en-GB"/>
        </w:rPr>
        <w:t xml:space="preserve"> </w:t>
      </w:r>
      <w:r w:rsidRPr="00CD59CC">
        <w:rPr>
          <w:rFonts w:ascii="Arial" w:hAnsi="Arial" w:cs="Arial"/>
          <w:sz w:val="24"/>
          <w:szCs w:val="24"/>
          <w:lang w:val="en-GB"/>
        </w:rPr>
        <w:t>type</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behaviours</w:t>
      </w:r>
      <w:r w:rsidR="007B7640" w:rsidRPr="00CD59CC">
        <w:rPr>
          <w:rFonts w:ascii="Arial" w:hAnsi="Arial" w:cs="Arial"/>
          <w:sz w:val="24"/>
          <w:szCs w:val="24"/>
          <w:lang w:val="en-GB"/>
        </w:rPr>
        <w:t xml:space="preserve"> </w:t>
      </w:r>
      <w:r w:rsidRPr="00CD59CC">
        <w:rPr>
          <w:rFonts w:ascii="Arial" w:hAnsi="Arial" w:cs="Arial"/>
          <w:sz w:val="24"/>
          <w:szCs w:val="24"/>
          <w:lang w:val="en-GB"/>
        </w:rPr>
        <w:t>unlawful.</w:t>
      </w:r>
      <w:r w:rsidR="007B7640" w:rsidRPr="00CD59CC">
        <w:rPr>
          <w:rFonts w:ascii="Arial" w:hAnsi="Arial" w:cs="Arial"/>
          <w:sz w:val="24"/>
          <w:szCs w:val="24"/>
          <w:lang w:val="en-GB"/>
        </w:rPr>
        <w:t xml:space="preserve"> </w:t>
      </w:r>
      <w:r w:rsidRPr="00CD59CC">
        <w:rPr>
          <w:rFonts w:ascii="Arial" w:hAnsi="Arial" w:cs="Arial"/>
          <w:sz w:val="24"/>
          <w:szCs w:val="24"/>
          <w:lang w:val="en-GB"/>
        </w:rPr>
        <w:t>If</w:t>
      </w:r>
      <w:r w:rsidR="007B7640" w:rsidRPr="00CD59CC">
        <w:rPr>
          <w:rFonts w:ascii="Arial" w:hAnsi="Arial" w:cs="Arial"/>
          <w:sz w:val="24"/>
          <w:szCs w:val="24"/>
          <w:lang w:val="en-GB"/>
        </w:rPr>
        <w:t xml:space="preserve"> </w:t>
      </w:r>
      <w:r w:rsidRPr="00CD59CC">
        <w:rPr>
          <w:rFonts w:ascii="Arial" w:hAnsi="Arial" w:cs="Arial"/>
          <w:sz w:val="24"/>
          <w:szCs w:val="24"/>
          <w:lang w:val="en-GB"/>
        </w:rPr>
        <w:t>separation</w:t>
      </w:r>
      <w:r w:rsidR="007B7640" w:rsidRPr="00CD59CC">
        <w:rPr>
          <w:rFonts w:ascii="Arial" w:hAnsi="Arial" w:cs="Arial"/>
          <w:sz w:val="24"/>
          <w:szCs w:val="24"/>
          <w:lang w:val="en-GB"/>
        </w:rPr>
        <w:t xml:space="preserve"> </w:t>
      </w:r>
      <w:r w:rsidRPr="00CD59CC">
        <w:rPr>
          <w:rFonts w:ascii="Arial" w:hAnsi="Arial" w:cs="Arial"/>
          <w:sz w:val="24"/>
          <w:szCs w:val="24"/>
          <w:lang w:val="en-GB"/>
        </w:rPr>
        <w:t>also</w:t>
      </w:r>
      <w:r w:rsidR="007B7640" w:rsidRPr="00CD59CC">
        <w:rPr>
          <w:rFonts w:ascii="Arial" w:hAnsi="Arial" w:cs="Arial"/>
          <w:sz w:val="24"/>
          <w:szCs w:val="24"/>
          <w:lang w:val="en-GB"/>
        </w:rPr>
        <w:t xml:space="preserve"> </w:t>
      </w:r>
      <w:r w:rsidRPr="00CD59CC">
        <w:rPr>
          <w:rFonts w:ascii="Arial" w:hAnsi="Arial" w:cs="Arial"/>
          <w:sz w:val="24"/>
          <w:szCs w:val="24"/>
          <w:lang w:val="en-GB"/>
        </w:rPr>
        <w:t>entails</w:t>
      </w:r>
      <w:r w:rsidR="007B7640" w:rsidRPr="00CD59CC">
        <w:rPr>
          <w:rFonts w:ascii="Arial" w:hAnsi="Arial" w:cs="Arial"/>
          <w:sz w:val="24"/>
          <w:szCs w:val="24"/>
          <w:lang w:val="en-GB"/>
        </w:rPr>
        <w:t xml:space="preserve"> </w:t>
      </w:r>
      <w:r w:rsidRPr="00CD59CC">
        <w:rPr>
          <w:rFonts w:ascii="Arial" w:hAnsi="Arial" w:cs="Arial"/>
          <w:sz w:val="24"/>
          <w:szCs w:val="24"/>
          <w:lang w:val="en-GB"/>
        </w:rPr>
        <w:t>some</w:t>
      </w:r>
      <w:r w:rsidR="007B7640" w:rsidRPr="00CD59CC">
        <w:rPr>
          <w:rFonts w:ascii="Arial" w:hAnsi="Arial" w:cs="Arial"/>
          <w:sz w:val="24"/>
          <w:szCs w:val="24"/>
          <w:lang w:val="en-GB"/>
        </w:rPr>
        <w:t xml:space="preserve"> </w:t>
      </w:r>
      <w:r w:rsidRPr="00CD59CC">
        <w:rPr>
          <w:rFonts w:ascii="Arial" w:hAnsi="Arial" w:cs="Arial"/>
          <w:sz w:val="24"/>
          <w:szCs w:val="24"/>
          <w:lang w:val="en-GB"/>
        </w:rPr>
        <w:t>disadvantage</w:t>
      </w:r>
      <w:r w:rsidR="007B7640" w:rsidRPr="00CD59CC">
        <w:rPr>
          <w:rFonts w:ascii="Arial" w:hAnsi="Arial" w:cs="Arial"/>
          <w:sz w:val="24"/>
          <w:szCs w:val="24"/>
          <w:lang w:val="en-GB"/>
        </w:rPr>
        <w:t xml:space="preserve"> </w:t>
      </w:r>
      <w:r w:rsidRPr="00CD59CC">
        <w:rPr>
          <w:rFonts w:ascii="Arial" w:hAnsi="Arial" w:cs="Arial"/>
          <w:sz w:val="24"/>
          <w:szCs w:val="24"/>
          <w:lang w:val="en-GB"/>
        </w:rPr>
        <w:t>(e.g.</w:t>
      </w:r>
      <w:r w:rsidR="007B7640" w:rsidRPr="00CD59CC">
        <w:rPr>
          <w:rFonts w:ascii="Arial" w:hAnsi="Arial" w:cs="Arial"/>
          <w:sz w:val="24"/>
          <w:szCs w:val="24"/>
          <w:lang w:val="en-GB"/>
        </w:rPr>
        <w:t xml:space="preserve"> </w:t>
      </w:r>
      <w:r w:rsidRPr="00CD59CC">
        <w:rPr>
          <w:rFonts w:ascii="Arial" w:hAnsi="Arial" w:cs="Arial"/>
          <w:sz w:val="24"/>
          <w:szCs w:val="24"/>
          <w:lang w:val="en-GB"/>
        </w:rPr>
        <w:t>lower</w:t>
      </w:r>
      <w:r w:rsidR="007B7640" w:rsidRPr="00CD59CC">
        <w:rPr>
          <w:rFonts w:ascii="Arial" w:hAnsi="Arial" w:cs="Arial"/>
          <w:sz w:val="24"/>
          <w:szCs w:val="24"/>
          <w:lang w:val="en-GB"/>
        </w:rPr>
        <w:t xml:space="preserve"> </w:t>
      </w:r>
      <w:r w:rsidRPr="00CD59CC">
        <w:rPr>
          <w:rFonts w:ascii="Arial" w:hAnsi="Arial" w:cs="Arial"/>
          <w:sz w:val="24"/>
          <w:szCs w:val="24"/>
          <w:lang w:val="en-GB"/>
        </w:rPr>
        <w:t>level</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for</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separated</w:t>
      </w:r>
      <w:r w:rsidR="007B7640" w:rsidRPr="00CD59CC">
        <w:rPr>
          <w:rFonts w:ascii="Arial" w:hAnsi="Arial" w:cs="Arial"/>
          <w:sz w:val="24"/>
          <w:szCs w:val="24"/>
          <w:lang w:val="en-GB"/>
        </w:rPr>
        <w:t xml:space="preserve"> </w:t>
      </w:r>
      <w:r w:rsidRPr="00CD59CC">
        <w:rPr>
          <w:rFonts w:ascii="Arial" w:hAnsi="Arial" w:cs="Arial"/>
          <w:sz w:val="24"/>
          <w:szCs w:val="24"/>
          <w:lang w:val="en-GB"/>
        </w:rPr>
        <w:t>Roma</w:t>
      </w:r>
      <w:r w:rsidR="007B7640" w:rsidRPr="00CD59CC">
        <w:rPr>
          <w:rFonts w:ascii="Arial" w:hAnsi="Arial" w:cs="Arial"/>
          <w:sz w:val="24"/>
          <w:szCs w:val="24"/>
          <w:lang w:val="en-GB"/>
        </w:rPr>
        <w:t xml:space="preserve"> </w:t>
      </w:r>
      <w:r w:rsidRPr="00CD59CC">
        <w:rPr>
          <w:rFonts w:ascii="Arial" w:hAnsi="Arial" w:cs="Arial"/>
          <w:sz w:val="24"/>
          <w:szCs w:val="24"/>
          <w:lang w:val="en-GB"/>
        </w:rPr>
        <w:t>class</w:t>
      </w:r>
      <w:r w:rsidR="007B7640" w:rsidRPr="00CD59CC">
        <w:rPr>
          <w:rFonts w:ascii="Arial" w:hAnsi="Arial" w:cs="Arial"/>
          <w:sz w:val="24"/>
          <w:szCs w:val="24"/>
          <w:lang w:val="en-GB"/>
        </w:rPr>
        <w:t xml:space="preserve"> </w:t>
      </w:r>
      <w:r w:rsidRPr="00CD59CC">
        <w:rPr>
          <w:rFonts w:ascii="Arial" w:hAnsi="Arial" w:cs="Arial"/>
          <w:sz w:val="24"/>
          <w:szCs w:val="24"/>
          <w:lang w:val="en-GB"/>
        </w:rPr>
        <w:t>within</w:t>
      </w:r>
      <w:r w:rsidR="007B7640" w:rsidRPr="00CD59CC">
        <w:rPr>
          <w:rFonts w:ascii="Arial" w:hAnsi="Arial" w:cs="Arial"/>
          <w:sz w:val="24"/>
          <w:szCs w:val="24"/>
          <w:lang w:val="en-GB"/>
        </w:rPr>
        <w:t xml:space="preserve"> </w:t>
      </w:r>
      <w:r w:rsidRPr="00CD59CC">
        <w:rPr>
          <w:rFonts w:ascii="Arial" w:hAnsi="Arial" w:cs="Arial"/>
          <w:sz w:val="24"/>
          <w:szCs w:val="24"/>
          <w:lang w:val="en-GB"/>
        </w:rPr>
        <w:t>an</w:t>
      </w:r>
      <w:r w:rsidR="007B7640" w:rsidRPr="00CD59CC">
        <w:rPr>
          <w:rFonts w:ascii="Arial" w:hAnsi="Arial" w:cs="Arial"/>
          <w:sz w:val="24"/>
          <w:szCs w:val="24"/>
          <w:lang w:val="en-GB"/>
        </w:rPr>
        <w:t xml:space="preserve"> </w:t>
      </w:r>
      <w:r w:rsidRPr="00CD59CC">
        <w:rPr>
          <w:rFonts w:ascii="Arial" w:hAnsi="Arial" w:cs="Arial"/>
          <w:sz w:val="24"/>
          <w:szCs w:val="24"/>
          <w:lang w:val="en-GB"/>
        </w:rPr>
        <w:t>elementary</w:t>
      </w:r>
      <w:r w:rsidR="007B7640" w:rsidRPr="00CD59CC">
        <w:rPr>
          <w:rFonts w:ascii="Arial" w:hAnsi="Arial" w:cs="Arial"/>
          <w:sz w:val="24"/>
          <w:szCs w:val="24"/>
          <w:lang w:val="en-GB"/>
        </w:rPr>
        <w:t xml:space="preserve"> </w:t>
      </w:r>
      <w:r w:rsidRPr="00CD59CC">
        <w:rPr>
          <w:rFonts w:ascii="Arial" w:hAnsi="Arial" w:cs="Arial"/>
          <w:sz w:val="24"/>
          <w:szCs w:val="24"/>
          <w:lang w:val="en-GB"/>
        </w:rPr>
        <w:t>school),</w:t>
      </w:r>
      <w:r w:rsidR="007B7640" w:rsidRPr="00CD59CC">
        <w:rPr>
          <w:rFonts w:ascii="Arial" w:hAnsi="Arial" w:cs="Arial"/>
          <w:sz w:val="24"/>
          <w:szCs w:val="24"/>
          <w:lang w:val="en-GB"/>
        </w:rPr>
        <w:t xml:space="preserve"> </w:t>
      </w:r>
      <w:r w:rsidRPr="00CD59CC">
        <w:rPr>
          <w:rFonts w:ascii="Arial" w:hAnsi="Arial" w:cs="Arial"/>
          <w:sz w:val="24"/>
          <w:szCs w:val="24"/>
          <w:lang w:val="en-GB"/>
        </w:rPr>
        <w:t>direct</w:t>
      </w:r>
      <w:r w:rsidR="007B7640" w:rsidRPr="00CD59CC">
        <w:rPr>
          <w:rFonts w:ascii="Arial" w:hAnsi="Arial" w:cs="Arial"/>
          <w:sz w:val="24"/>
          <w:szCs w:val="24"/>
          <w:lang w:val="en-GB"/>
        </w:rPr>
        <w:t xml:space="preserve"> </w:t>
      </w:r>
      <w:r w:rsidRPr="00CD59CC">
        <w:rPr>
          <w:rFonts w:ascii="Arial" w:hAnsi="Arial" w:cs="Arial"/>
          <w:sz w:val="24"/>
          <w:szCs w:val="24"/>
          <w:lang w:val="en-GB"/>
        </w:rPr>
        <w:t>discrimination</w:t>
      </w:r>
      <w:r w:rsidR="007B7640" w:rsidRPr="00CD59CC">
        <w:rPr>
          <w:rFonts w:ascii="Arial" w:hAnsi="Arial" w:cs="Arial"/>
          <w:sz w:val="24"/>
          <w:szCs w:val="24"/>
          <w:lang w:val="en-GB"/>
        </w:rPr>
        <w:t xml:space="preserve"> </w:t>
      </w:r>
      <w:r w:rsidRPr="00CD59CC">
        <w:rPr>
          <w:rFonts w:ascii="Arial" w:hAnsi="Arial" w:cs="Arial"/>
          <w:sz w:val="24"/>
          <w:szCs w:val="24"/>
          <w:lang w:val="en-GB"/>
        </w:rPr>
        <w:t>can</w:t>
      </w:r>
      <w:r w:rsidR="007B7640" w:rsidRPr="00CD59CC">
        <w:rPr>
          <w:rFonts w:ascii="Arial" w:hAnsi="Arial" w:cs="Arial"/>
          <w:sz w:val="24"/>
          <w:szCs w:val="24"/>
          <w:lang w:val="en-GB"/>
        </w:rPr>
        <w:t xml:space="preserve"> </w:t>
      </w:r>
      <w:r w:rsidRPr="00CD59CC">
        <w:rPr>
          <w:rFonts w:ascii="Arial" w:hAnsi="Arial" w:cs="Arial"/>
          <w:sz w:val="24"/>
          <w:szCs w:val="24"/>
          <w:lang w:val="en-GB"/>
        </w:rPr>
        <w:t>be</w:t>
      </w:r>
      <w:r w:rsidR="007B7640" w:rsidRPr="00CD59CC">
        <w:rPr>
          <w:rFonts w:ascii="Arial" w:hAnsi="Arial" w:cs="Arial"/>
          <w:sz w:val="24"/>
          <w:szCs w:val="24"/>
          <w:lang w:val="en-GB"/>
        </w:rPr>
        <w:t xml:space="preserve"> </w:t>
      </w:r>
      <w:r w:rsidRPr="00CD59CC">
        <w:rPr>
          <w:rFonts w:ascii="Arial" w:hAnsi="Arial" w:cs="Arial"/>
          <w:sz w:val="24"/>
          <w:szCs w:val="24"/>
          <w:lang w:val="en-GB"/>
        </w:rPr>
        <w:t>applied,</w:t>
      </w:r>
      <w:r w:rsidR="007B7640" w:rsidRPr="00CD59CC">
        <w:rPr>
          <w:rFonts w:ascii="Arial" w:hAnsi="Arial" w:cs="Arial"/>
          <w:sz w:val="24"/>
          <w:szCs w:val="24"/>
          <w:lang w:val="en-GB"/>
        </w:rPr>
        <w:t xml:space="preserve"> </w:t>
      </w:r>
      <w:r w:rsidRPr="00CD59CC">
        <w:rPr>
          <w:rFonts w:ascii="Arial" w:hAnsi="Arial" w:cs="Arial"/>
          <w:sz w:val="24"/>
          <w:szCs w:val="24"/>
          <w:lang w:val="en-GB"/>
        </w:rPr>
        <w:t>if</w:t>
      </w:r>
      <w:r w:rsidR="007B7640" w:rsidRPr="00CD59CC">
        <w:rPr>
          <w:rFonts w:ascii="Arial" w:hAnsi="Arial" w:cs="Arial"/>
          <w:sz w:val="24"/>
          <w:szCs w:val="24"/>
          <w:lang w:val="en-GB"/>
        </w:rPr>
        <w:t xml:space="preserve"> </w:t>
      </w:r>
      <w:r w:rsidRPr="00CD59CC">
        <w:rPr>
          <w:rFonts w:ascii="Arial" w:hAnsi="Arial" w:cs="Arial"/>
          <w:sz w:val="24"/>
          <w:szCs w:val="24"/>
          <w:lang w:val="en-GB"/>
        </w:rPr>
        <w:t>however</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given</w:t>
      </w:r>
      <w:r w:rsidR="007B7640" w:rsidRPr="00CD59CC">
        <w:rPr>
          <w:rFonts w:ascii="Arial" w:hAnsi="Arial" w:cs="Arial"/>
          <w:sz w:val="24"/>
          <w:szCs w:val="24"/>
          <w:lang w:val="en-GB"/>
        </w:rPr>
        <w:t xml:space="preserve"> </w:t>
      </w:r>
      <w:r w:rsidRPr="00CD59CC">
        <w:rPr>
          <w:rFonts w:ascii="Arial" w:hAnsi="Arial" w:cs="Arial"/>
          <w:sz w:val="24"/>
          <w:szCs w:val="24"/>
          <w:lang w:val="en-GB"/>
        </w:rPr>
        <w:t>case</w:t>
      </w:r>
      <w:r w:rsidR="007B7640" w:rsidRPr="00CD59CC">
        <w:rPr>
          <w:rFonts w:ascii="Arial" w:hAnsi="Arial" w:cs="Arial"/>
          <w:sz w:val="24"/>
          <w:szCs w:val="24"/>
          <w:lang w:val="en-GB"/>
        </w:rPr>
        <w:t xml:space="preserve"> </w:t>
      </w:r>
      <w:r w:rsidRPr="00CD59CC">
        <w:rPr>
          <w:rFonts w:ascii="Arial" w:hAnsi="Arial" w:cs="Arial"/>
          <w:sz w:val="24"/>
          <w:szCs w:val="24"/>
          <w:lang w:val="en-GB"/>
        </w:rPr>
        <w:t>it</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difficult</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prove</w:t>
      </w:r>
      <w:r w:rsidR="007B7640" w:rsidRPr="00CD59CC">
        <w:rPr>
          <w:rFonts w:ascii="Arial" w:hAnsi="Arial" w:cs="Arial"/>
          <w:sz w:val="24"/>
          <w:szCs w:val="24"/>
          <w:lang w:val="en-GB"/>
        </w:rPr>
        <w:t xml:space="preserve"> </w:t>
      </w:r>
      <w:r w:rsidRPr="00CD59CC">
        <w:rPr>
          <w:rFonts w:ascii="Arial" w:hAnsi="Arial" w:cs="Arial"/>
          <w:sz w:val="24"/>
          <w:szCs w:val="24"/>
          <w:lang w:val="en-GB"/>
        </w:rPr>
        <w:t>that</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separated</w:t>
      </w:r>
      <w:r w:rsidR="007B7640" w:rsidRPr="00CD59CC">
        <w:rPr>
          <w:rFonts w:ascii="Arial" w:hAnsi="Arial" w:cs="Arial"/>
          <w:sz w:val="24"/>
          <w:szCs w:val="24"/>
          <w:lang w:val="en-GB"/>
        </w:rPr>
        <w:t xml:space="preserve"> </w:t>
      </w:r>
      <w:r w:rsidRPr="00CD59CC">
        <w:rPr>
          <w:rFonts w:ascii="Arial" w:hAnsi="Arial" w:cs="Arial"/>
          <w:sz w:val="24"/>
          <w:szCs w:val="24"/>
          <w:lang w:val="en-GB"/>
        </w:rPr>
        <w:t>group</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Roma</w:t>
      </w:r>
      <w:r w:rsidR="007B7640" w:rsidRPr="00CD59CC">
        <w:rPr>
          <w:rFonts w:ascii="Arial" w:hAnsi="Arial" w:cs="Arial"/>
          <w:sz w:val="24"/>
          <w:szCs w:val="24"/>
          <w:lang w:val="en-GB"/>
        </w:rPr>
        <w:t xml:space="preserve"> </w:t>
      </w:r>
      <w:r w:rsidRPr="00CD59CC">
        <w:rPr>
          <w:rFonts w:ascii="Arial" w:hAnsi="Arial" w:cs="Arial"/>
          <w:sz w:val="24"/>
          <w:szCs w:val="24"/>
          <w:lang w:val="en-GB"/>
        </w:rPr>
        <w:t>class)</w:t>
      </w:r>
      <w:r w:rsidR="007B7640" w:rsidRPr="00CD59CC">
        <w:rPr>
          <w:rFonts w:ascii="Arial" w:hAnsi="Arial" w:cs="Arial"/>
          <w:sz w:val="24"/>
          <w:szCs w:val="24"/>
          <w:lang w:val="en-GB"/>
        </w:rPr>
        <w:t xml:space="preserve"> </w:t>
      </w:r>
      <w:r w:rsidRPr="00CD59CC">
        <w:rPr>
          <w:rFonts w:ascii="Arial" w:hAnsi="Arial" w:cs="Arial"/>
          <w:sz w:val="24"/>
          <w:szCs w:val="24"/>
          <w:lang w:val="en-GB"/>
        </w:rPr>
        <w:t>suffers</w:t>
      </w:r>
      <w:r w:rsidR="007B7640" w:rsidRPr="00CD59CC">
        <w:rPr>
          <w:rFonts w:ascii="Arial" w:hAnsi="Arial" w:cs="Arial"/>
          <w:sz w:val="24"/>
          <w:szCs w:val="24"/>
          <w:lang w:val="en-GB"/>
        </w:rPr>
        <w:t xml:space="preserve"> </w:t>
      </w:r>
      <w:r w:rsidRPr="00CD59CC">
        <w:rPr>
          <w:rFonts w:ascii="Arial" w:hAnsi="Arial" w:cs="Arial"/>
          <w:sz w:val="24"/>
          <w:szCs w:val="24"/>
          <w:lang w:val="en-GB"/>
        </w:rPr>
        <w:t>disadvantages</w:t>
      </w:r>
      <w:r w:rsidR="007B7640" w:rsidRPr="00CD59CC">
        <w:rPr>
          <w:rFonts w:ascii="Arial" w:hAnsi="Arial" w:cs="Arial"/>
          <w:sz w:val="24"/>
          <w:szCs w:val="24"/>
          <w:lang w:val="en-GB"/>
        </w:rPr>
        <w:t xml:space="preserve"> </w:t>
      </w:r>
      <w:r w:rsidRPr="00CD59CC">
        <w:rPr>
          <w:rFonts w:ascii="Arial" w:hAnsi="Arial" w:cs="Arial"/>
          <w:sz w:val="24"/>
          <w:szCs w:val="24"/>
          <w:lang w:val="en-GB"/>
        </w:rPr>
        <w:t>other</w:t>
      </w:r>
      <w:r w:rsidR="007B7640" w:rsidRPr="00CD59CC">
        <w:rPr>
          <w:rFonts w:ascii="Arial" w:hAnsi="Arial" w:cs="Arial"/>
          <w:sz w:val="24"/>
          <w:szCs w:val="24"/>
          <w:lang w:val="en-GB"/>
        </w:rPr>
        <w:t xml:space="preserve"> </w:t>
      </w:r>
      <w:r w:rsidRPr="00CD59CC">
        <w:rPr>
          <w:rFonts w:ascii="Arial" w:hAnsi="Arial" w:cs="Arial"/>
          <w:sz w:val="24"/>
          <w:szCs w:val="24"/>
          <w:lang w:val="en-GB"/>
        </w:rPr>
        <w:t>than</w:t>
      </w:r>
      <w:r w:rsidR="007B7640" w:rsidRPr="00CD59CC">
        <w:rPr>
          <w:rFonts w:ascii="Arial" w:hAnsi="Arial" w:cs="Arial"/>
          <w:sz w:val="24"/>
          <w:szCs w:val="24"/>
          <w:lang w:val="en-GB"/>
        </w:rPr>
        <w:t xml:space="preserve"> </w:t>
      </w:r>
      <w:r w:rsidRPr="00CD59CC">
        <w:rPr>
          <w:rFonts w:ascii="Arial" w:hAnsi="Arial" w:cs="Arial"/>
          <w:sz w:val="24"/>
          <w:szCs w:val="24"/>
          <w:lang w:val="en-GB"/>
        </w:rPr>
        <w:t>stemming</w:t>
      </w:r>
      <w:r w:rsidR="007B7640" w:rsidRPr="00CD59CC">
        <w:rPr>
          <w:rFonts w:ascii="Arial" w:hAnsi="Arial" w:cs="Arial"/>
          <w:sz w:val="24"/>
          <w:szCs w:val="24"/>
          <w:lang w:val="en-GB"/>
        </w:rPr>
        <w:t xml:space="preserve"> </w:t>
      </w:r>
      <w:r w:rsidRPr="00CD59CC">
        <w:rPr>
          <w:rFonts w:ascii="Arial" w:hAnsi="Arial" w:cs="Arial"/>
          <w:sz w:val="24"/>
          <w:szCs w:val="24"/>
          <w:lang w:val="en-GB"/>
        </w:rPr>
        <w:t>from</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nature</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such</w:t>
      </w:r>
      <w:r w:rsidR="007B7640" w:rsidRPr="00CD59CC">
        <w:rPr>
          <w:rFonts w:ascii="Arial" w:hAnsi="Arial" w:cs="Arial"/>
          <w:sz w:val="24"/>
          <w:szCs w:val="24"/>
          <w:lang w:val="en-GB"/>
        </w:rPr>
        <w:t xml:space="preserve"> </w:t>
      </w:r>
      <w:r w:rsidRPr="00CD59CC">
        <w:rPr>
          <w:rFonts w:ascii="Arial" w:hAnsi="Arial" w:cs="Arial"/>
          <w:sz w:val="24"/>
          <w:szCs w:val="24"/>
          <w:lang w:val="en-GB"/>
        </w:rPr>
        <w:t>separation,</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provision</w:t>
      </w:r>
      <w:r w:rsidR="007B7640" w:rsidRPr="00CD59CC">
        <w:rPr>
          <w:rFonts w:ascii="Arial" w:hAnsi="Arial" w:cs="Arial"/>
          <w:sz w:val="24"/>
          <w:szCs w:val="24"/>
          <w:lang w:val="en-GB"/>
        </w:rPr>
        <w:t xml:space="preserve"> </w:t>
      </w:r>
      <w:r w:rsidRPr="00CD59CC">
        <w:rPr>
          <w:rFonts w:ascii="Arial" w:hAnsi="Arial" w:cs="Arial"/>
          <w:sz w:val="24"/>
          <w:szCs w:val="24"/>
          <w:lang w:val="en-GB"/>
        </w:rPr>
        <w:t>on</w:t>
      </w:r>
      <w:r w:rsidR="007B7640" w:rsidRPr="00CD59CC">
        <w:rPr>
          <w:rFonts w:ascii="Arial" w:hAnsi="Arial" w:cs="Arial"/>
          <w:sz w:val="24"/>
          <w:szCs w:val="24"/>
          <w:lang w:val="en-GB"/>
        </w:rPr>
        <w:t xml:space="preserve"> </w:t>
      </w:r>
      <w:r w:rsidRPr="00CD59CC">
        <w:rPr>
          <w:rFonts w:ascii="Arial" w:hAnsi="Arial" w:cs="Arial"/>
          <w:sz w:val="24"/>
          <w:szCs w:val="24"/>
          <w:lang w:val="en-GB"/>
        </w:rPr>
        <w:t>segregation</w:t>
      </w:r>
      <w:r w:rsidR="007B7640" w:rsidRPr="00CD59CC">
        <w:rPr>
          <w:rFonts w:ascii="Arial" w:hAnsi="Arial" w:cs="Arial"/>
          <w:sz w:val="24"/>
          <w:szCs w:val="24"/>
          <w:lang w:val="en-GB"/>
        </w:rPr>
        <w:t xml:space="preserve"> </w:t>
      </w:r>
      <w:r w:rsidRPr="00CD59CC">
        <w:rPr>
          <w:rFonts w:ascii="Arial" w:hAnsi="Arial" w:cs="Arial"/>
          <w:sz w:val="24"/>
          <w:szCs w:val="24"/>
          <w:lang w:val="en-GB"/>
        </w:rPr>
        <w:t>may</w:t>
      </w:r>
      <w:r w:rsidR="007B7640" w:rsidRPr="00CD59CC">
        <w:rPr>
          <w:rFonts w:ascii="Arial" w:hAnsi="Arial" w:cs="Arial"/>
          <w:sz w:val="24"/>
          <w:szCs w:val="24"/>
          <w:lang w:val="en-GB"/>
        </w:rPr>
        <w:t xml:space="preserve"> </w:t>
      </w:r>
      <w:r w:rsidRPr="00CD59CC">
        <w:rPr>
          <w:rFonts w:ascii="Arial" w:hAnsi="Arial" w:cs="Arial"/>
          <w:sz w:val="24"/>
          <w:szCs w:val="24"/>
          <w:lang w:val="en-GB"/>
        </w:rPr>
        <w:t>be</w:t>
      </w:r>
      <w:r w:rsidR="007B7640" w:rsidRPr="00CD59CC">
        <w:rPr>
          <w:rFonts w:ascii="Arial" w:hAnsi="Arial" w:cs="Arial"/>
          <w:sz w:val="24"/>
          <w:szCs w:val="24"/>
          <w:lang w:val="en-GB"/>
        </w:rPr>
        <w:t xml:space="preserve"> </w:t>
      </w:r>
      <w:r w:rsidRPr="00CD59CC">
        <w:rPr>
          <w:rFonts w:ascii="Arial" w:hAnsi="Arial" w:cs="Arial"/>
          <w:sz w:val="24"/>
          <w:szCs w:val="24"/>
          <w:lang w:val="en-GB"/>
        </w:rPr>
        <w:t>relied</w:t>
      </w:r>
      <w:r w:rsidR="007B7640" w:rsidRPr="00CD59CC">
        <w:rPr>
          <w:rFonts w:ascii="Arial" w:hAnsi="Arial" w:cs="Arial"/>
          <w:sz w:val="24"/>
          <w:szCs w:val="24"/>
          <w:lang w:val="en-GB"/>
        </w:rPr>
        <w:t xml:space="preserve"> </w:t>
      </w:r>
      <w:r w:rsidRPr="00CD59CC">
        <w:rPr>
          <w:rFonts w:ascii="Arial" w:hAnsi="Arial" w:cs="Arial"/>
          <w:sz w:val="24"/>
          <w:szCs w:val="24"/>
          <w:lang w:val="en-GB"/>
        </w:rPr>
        <w:t>on.</w:t>
      </w:r>
      <w:r w:rsidR="007B7640" w:rsidRPr="00CD59CC">
        <w:rPr>
          <w:rFonts w:ascii="Arial" w:hAnsi="Arial" w:cs="Arial"/>
          <w:sz w:val="24"/>
          <w:szCs w:val="24"/>
          <w:lang w:val="en-GB"/>
        </w:rPr>
        <w:t xml:space="preserve"> </w:t>
      </w:r>
      <w:r w:rsidRPr="00CD59CC">
        <w:rPr>
          <w:rFonts w:ascii="Arial" w:hAnsi="Arial" w:cs="Arial"/>
          <w:sz w:val="24"/>
          <w:szCs w:val="24"/>
          <w:lang w:val="en-GB"/>
        </w:rPr>
        <w:t>This</w:t>
      </w:r>
      <w:r w:rsidR="007B7640" w:rsidRPr="00CD59CC">
        <w:rPr>
          <w:rFonts w:ascii="Arial" w:hAnsi="Arial" w:cs="Arial"/>
          <w:sz w:val="24"/>
          <w:szCs w:val="24"/>
          <w:lang w:val="en-GB"/>
        </w:rPr>
        <w:t xml:space="preserve"> </w:t>
      </w:r>
      <w:r w:rsidRPr="00CD59CC">
        <w:rPr>
          <w:rFonts w:ascii="Arial" w:hAnsi="Arial" w:cs="Arial"/>
          <w:sz w:val="24"/>
          <w:szCs w:val="24"/>
          <w:lang w:val="en-GB"/>
        </w:rPr>
        <w:t>rule</w:t>
      </w:r>
      <w:r w:rsidR="007B7640" w:rsidRPr="00CD59CC">
        <w:rPr>
          <w:rFonts w:ascii="Arial" w:hAnsi="Arial" w:cs="Arial"/>
          <w:sz w:val="24"/>
          <w:szCs w:val="24"/>
          <w:lang w:val="en-GB"/>
        </w:rPr>
        <w:t xml:space="preserve"> </w:t>
      </w:r>
      <w:r w:rsidRPr="00CD59CC">
        <w:rPr>
          <w:rFonts w:ascii="Arial" w:hAnsi="Arial" w:cs="Arial"/>
          <w:sz w:val="24"/>
          <w:szCs w:val="24"/>
          <w:lang w:val="en-GB"/>
        </w:rPr>
        <w:t>exempts</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victims</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such</w:t>
      </w:r>
      <w:r w:rsidR="007B7640" w:rsidRPr="00CD59CC">
        <w:rPr>
          <w:rFonts w:ascii="Arial" w:hAnsi="Arial" w:cs="Arial"/>
          <w:sz w:val="24"/>
          <w:szCs w:val="24"/>
          <w:lang w:val="en-GB"/>
        </w:rPr>
        <w:t xml:space="preserve"> </w:t>
      </w:r>
      <w:r w:rsidRPr="00CD59CC">
        <w:rPr>
          <w:rFonts w:ascii="Arial" w:hAnsi="Arial" w:cs="Arial"/>
          <w:sz w:val="24"/>
          <w:szCs w:val="24"/>
          <w:lang w:val="en-GB"/>
        </w:rPr>
        <w:t>practices</w:t>
      </w:r>
      <w:r w:rsidR="007B7640" w:rsidRPr="00CD59CC">
        <w:rPr>
          <w:rFonts w:ascii="Arial" w:hAnsi="Arial" w:cs="Arial"/>
          <w:sz w:val="24"/>
          <w:szCs w:val="24"/>
          <w:lang w:val="en-GB"/>
        </w:rPr>
        <w:t xml:space="preserve"> </w:t>
      </w:r>
      <w:r w:rsidRPr="00CD59CC">
        <w:rPr>
          <w:rFonts w:ascii="Arial" w:hAnsi="Arial" w:cs="Arial"/>
          <w:sz w:val="24"/>
          <w:szCs w:val="24"/>
          <w:lang w:val="en-GB"/>
        </w:rPr>
        <w:t>from</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obligation</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prove</w:t>
      </w:r>
      <w:r w:rsidR="007B7640" w:rsidRPr="00CD59CC">
        <w:rPr>
          <w:rFonts w:ascii="Arial" w:hAnsi="Arial" w:cs="Arial"/>
          <w:sz w:val="24"/>
          <w:szCs w:val="24"/>
          <w:lang w:val="en-GB"/>
        </w:rPr>
        <w:t xml:space="preserve"> </w:t>
      </w:r>
      <w:r w:rsidRPr="00CD59CC">
        <w:rPr>
          <w:rFonts w:ascii="Arial" w:hAnsi="Arial" w:cs="Arial"/>
          <w:sz w:val="24"/>
          <w:szCs w:val="24"/>
          <w:lang w:val="en-GB"/>
        </w:rPr>
        <w:t>that</w:t>
      </w:r>
      <w:r w:rsidR="007B7640" w:rsidRPr="00CD59CC">
        <w:rPr>
          <w:rFonts w:ascii="Arial" w:hAnsi="Arial" w:cs="Arial"/>
          <w:sz w:val="24"/>
          <w:szCs w:val="24"/>
          <w:lang w:val="en-GB"/>
        </w:rPr>
        <w:t xml:space="preserve"> </w:t>
      </w:r>
      <w:r w:rsidRPr="00CD59CC">
        <w:rPr>
          <w:rFonts w:ascii="Arial" w:hAnsi="Arial" w:cs="Arial"/>
          <w:sz w:val="24"/>
          <w:szCs w:val="24"/>
          <w:lang w:val="en-GB"/>
        </w:rPr>
        <w:t>segregation</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itself</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disadvantage,</w:t>
      </w:r>
      <w:r w:rsidR="007B7640" w:rsidRPr="00CD59CC">
        <w:rPr>
          <w:rFonts w:ascii="Arial" w:hAnsi="Arial" w:cs="Arial"/>
          <w:sz w:val="24"/>
          <w:szCs w:val="24"/>
          <w:lang w:val="en-GB"/>
        </w:rPr>
        <w:t xml:space="preserve"> </w:t>
      </w:r>
      <w:r w:rsidRPr="00CD59CC">
        <w:rPr>
          <w:rFonts w:ascii="Arial" w:hAnsi="Arial" w:cs="Arial"/>
          <w:sz w:val="24"/>
          <w:szCs w:val="24"/>
          <w:lang w:val="en-GB"/>
        </w:rPr>
        <w:t>therefore</w:t>
      </w:r>
      <w:r w:rsidR="007B7640" w:rsidRPr="00CD59CC">
        <w:rPr>
          <w:rFonts w:ascii="Arial" w:hAnsi="Arial" w:cs="Arial"/>
          <w:sz w:val="24"/>
          <w:szCs w:val="24"/>
          <w:lang w:val="en-GB"/>
        </w:rPr>
        <w:t xml:space="preserve"> </w:t>
      </w:r>
      <w:r w:rsidRPr="00CD59CC">
        <w:rPr>
          <w:rFonts w:ascii="Arial" w:hAnsi="Arial" w:cs="Arial"/>
          <w:sz w:val="24"/>
          <w:szCs w:val="24"/>
          <w:lang w:val="en-GB"/>
        </w:rPr>
        <w:t>it</w:t>
      </w:r>
      <w:r w:rsidR="007B7640" w:rsidRPr="00CD59CC">
        <w:rPr>
          <w:rFonts w:ascii="Arial" w:hAnsi="Arial" w:cs="Arial"/>
          <w:sz w:val="24"/>
          <w:szCs w:val="24"/>
          <w:lang w:val="en-GB"/>
        </w:rPr>
        <w:t xml:space="preserve"> </w:t>
      </w:r>
      <w:r w:rsidRPr="00CD59CC">
        <w:rPr>
          <w:rFonts w:ascii="Arial" w:hAnsi="Arial" w:cs="Arial"/>
          <w:sz w:val="24"/>
          <w:szCs w:val="24"/>
          <w:lang w:val="en-GB"/>
        </w:rPr>
        <w:t>may</w:t>
      </w:r>
      <w:r w:rsidR="007B7640" w:rsidRPr="00CD59CC">
        <w:rPr>
          <w:rFonts w:ascii="Arial" w:hAnsi="Arial" w:cs="Arial"/>
          <w:sz w:val="24"/>
          <w:szCs w:val="24"/>
          <w:lang w:val="en-GB"/>
        </w:rPr>
        <w:t xml:space="preserve"> </w:t>
      </w:r>
      <w:r w:rsidRPr="00CD59CC">
        <w:rPr>
          <w:rFonts w:ascii="Arial" w:hAnsi="Arial" w:cs="Arial"/>
          <w:sz w:val="24"/>
          <w:szCs w:val="24"/>
          <w:lang w:val="en-GB"/>
        </w:rPr>
        <w:t>be</w:t>
      </w:r>
      <w:r w:rsidR="007B7640" w:rsidRPr="00CD59CC">
        <w:rPr>
          <w:rFonts w:ascii="Arial" w:hAnsi="Arial" w:cs="Arial"/>
          <w:sz w:val="24"/>
          <w:szCs w:val="24"/>
          <w:lang w:val="en-GB"/>
        </w:rPr>
        <w:t xml:space="preserve"> </w:t>
      </w:r>
      <w:r w:rsidRPr="00CD59CC">
        <w:rPr>
          <w:rFonts w:ascii="Arial" w:hAnsi="Arial" w:cs="Arial"/>
          <w:sz w:val="24"/>
          <w:szCs w:val="24"/>
          <w:lang w:val="en-GB"/>
        </w:rPr>
        <w:t>regarded</w:t>
      </w:r>
      <w:r w:rsidR="007B7640" w:rsidRPr="00CD59CC">
        <w:rPr>
          <w:rFonts w:ascii="Arial" w:hAnsi="Arial" w:cs="Arial"/>
          <w:sz w:val="24"/>
          <w:szCs w:val="24"/>
          <w:lang w:val="en-GB"/>
        </w:rPr>
        <w:t xml:space="preserve"> </w:t>
      </w:r>
      <w:r w:rsidRPr="00CD59CC">
        <w:rPr>
          <w:rFonts w:ascii="Arial" w:hAnsi="Arial" w:cs="Arial"/>
          <w:sz w:val="24"/>
          <w:szCs w:val="24"/>
          <w:lang w:val="en-GB"/>
        </w:rPr>
        <w:t>as</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further</w:t>
      </w:r>
      <w:r w:rsidR="007B7640" w:rsidRPr="00CD59CC">
        <w:rPr>
          <w:rFonts w:ascii="Arial" w:hAnsi="Arial" w:cs="Arial"/>
          <w:sz w:val="24"/>
          <w:szCs w:val="24"/>
          <w:lang w:val="en-GB"/>
        </w:rPr>
        <w:t xml:space="preserve"> </w:t>
      </w:r>
      <w:r w:rsidRPr="00CD59CC">
        <w:rPr>
          <w:rFonts w:ascii="Arial" w:hAnsi="Arial" w:cs="Arial"/>
          <w:sz w:val="24"/>
          <w:szCs w:val="24"/>
          <w:lang w:val="en-GB"/>
        </w:rPr>
        <w:t>easing</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rules</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evidencing</w:t>
      </w:r>
      <w:r w:rsidR="007B7640" w:rsidRPr="00CD59CC">
        <w:rPr>
          <w:rFonts w:ascii="Arial" w:hAnsi="Arial" w:cs="Arial"/>
          <w:sz w:val="24"/>
          <w:szCs w:val="24"/>
          <w:lang w:val="en-GB"/>
        </w:rPr>
        <w:t xml:space="preserve"> </w:t>
      </w:r>
      <w:r w:rsidRPr="00CD59CC">
        <w:rPr>
          <w:rFonts w:ascii="Arial" w:hAnsi="Arial" w:cs="Arial"/>
          <w:sz w:val="24"/>
          <w:szCs w:val="24"/>
          <w:lang w:val="en-GB"/>
        </w:rPr>
        <w:t>compared</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reversed</w:t>
      </w:r>
      <w:r w:rsidR="007B7640" w:rsidRPr="00CD59CC">
        <w:rPr>
          <w:rFonts w:ascii="Arial" w:hAnsi="Arial" w:cs="Arial"/>
          <w:sz w:val="24"/>
          <w:szCs w:val="24"/>
          <w:lang w:val="en-GB"/>
        </w:rPr>
        <w:t xml:space="preserve"> </w:t>
      </w:r>
      <w:r w:rsidRPr="00CD59CC">
        <w:rPr>
          <w:rFonts w:ascii="Arial" w:hAnsi="Arial" w:cs="Arial"/>
          <w:bCs/>
          <w:sz w:val="24"/>
          <w:szCs w:val="24"/>
          <w:lang w:val="en-GB"/>
        </w:rPr>
        <w:t>burden</w:t>
      </w:r>
      <w:r w:rsidR="007B7640" w:rsidRPr="00CD59CC">
        <w:rPr>
          <w:rFonts w:ascii="Arial" w:hAnsi="Arial" w:cs="Arial"/>
          <w:bCs/>
          <w:sz w:val="24"/>
          <w:szCs w:val="24"/>
          <w:lang w:val="en-GB"/>
        </w:rPr>
        <w:t xml:space="preserve"> </w:t>
      </w:r>
      <w:r w:rsidRPr="00CD59CC">
        <w:rPr>
          <w:rFonts w:ascii="Arial" w:hAnsi="Arial" w:cs="Arial"/>
          <w:bCs/>
          <w:sz w:val="24"/>
          <w:szCs w:val="24"/>
          <w:lang w:val="en-GB"/>
        </w:rPr>
        <w:t>of</w:t>
      </w:r>
      <w:r w:rsidR="007B7640" w:rsidRPr="00CD59CC">
        <w:rPr>
          <w:rFonts w:ascii="Arial" w:hAnsi="Arial" w:cs="Arial"/>
          <w:bCs/>
          <w:sz w:val="24"/>
          <w:szCs w:val="24"/>
          <w:lang w:val="en-GB"/>
        </w:rPr>
        <w:t xml:space="preserve"> </w:t>
      </w:r>
      <w:r w:rsidRPr="00CD59CC">
        <w:rPr>
          <w:rFonts w:ascii="Arial" w:hAnsi="Arial" w:cs="Arial"/>
          <w:bCs/>
          <w:sz w:val="24"/>
          <w:szCs w:val="24"/>
          <w:lang w:val="en-GB"/>
        </w:rPr>
        <w:t>proof</w:t>
      </w:r>
      <w:r w:rsidR="007B7640" w:rsidRPr="00CD59CC">
        <w:rPr>
          <w:rFonts w:ascii="Arial" w:hAnsi="Arial" w:cs="Arial"/>
          <w:bCs/>
          <w:sz w:val="24"/>
          <w:szCs w:val="24"/>
          <w:lang w:val="en-GB"/>
        </w:rPr>
        <w:t xml:space="preserve"> </w:t>
      </w:r>
      <w:r w:rsidRPr="00CD59CC">
        <w:rPr>
          <w:rFonts w:ascii="Arial" w:hAnsi="Arial" w:cs="Arial"/>
          <w:bCs/>
          <w:sz w:val="24"/>
          <w:szCs w:val="24"/>
          <w:lang w:val="en-GB"/>
        </w:rPr>
        <w:t>(see</w:t>
      </w:r>
      <w:r w:rsidR="007B7640" w:rsidRPr="00CD59CC">
        <w:rPr>
          <w:rFonts w:ascii="Arial" w:hAnsi="Arial" w:cs="Arial"/>
          <w:bCs/>
          <w:sz w:val="24"/>
          <w:szCs w:val="24"/>
          <w:lang w:val="en-GB"/>
        </w:rPr>
        <w:t xml:space="preserve"> </w:t>
      </w:r>
      <w:r w:rsidRPr="00CD59CC">
        <w:rPr>
          <w:rFonts w:ascii="Arial" w:hAnsi="Arial" w:cs="Arial"/>
          <w:bCs/>
          <w:sz w:val="24"/>
          <w:szCs w:val="24"/>
          <w:lang w:val="en-GB"/>
        </w:rPr>
        <w:t>Section</w:t>
      </w:r>
      <w:r w:rsidR="007B7640" w:rsidRPr="00CD59CC">
        <w:rPr>
          <w:rFonts w:ascii="Arial" w:hAnsi="Arial" w:cs="Arial"/>
          <w:bCs/>
          <w:sz w:val="24"/>
          <w:szCs w:val="24"/>
          <w:lang w:val="en-GB"/>
        </w:rPr>
        <w:t xml:space="preserve"> </w:t>
      </w:r>
      <w:r w:rsidRPr="00CD59CC">
        <w:rPr>
          <w:rFonts w:ascii="Arial" w:hAnsi="Arial" w:cs="Arial"/>
          <w:bCs/>
          <w:sz w:val="24"/>
          <w:szCs w:val="24"/>
          <w:lang w:val="en-GB"/>
        </w:rPr>
        <w:t>6.3).</w:t>
      </w:r>
      <w:r w:rsidR="007B7640" w:rsidRPr="00CD59CC">
        <w:rPr>
          <w:rFonts w:ascii="Arial" w:hAnsi="Arial" w:cs="Arial"/>
          <w:bCs/>
          <w:sz w:val="24"/>
          <w:szCs w:val="24"/>
          <w:lang w:val="en-GB"/>
        </w:rPr>
        <w:t xml:space="preserve"> </w:t>
      </w:r>
    </w:p>
    <w:p w14:paraId="0A06EA63" w14:textId="77777777" w:rsidR="007F2EEE" w:rsidRPr="00CD59CC" w:rsidRDefault="007F2EEE" w:rsidP="00CD59CC">
      <w:pPr>
        <w:pStyle w:val="Fszveg"/>
        <w:spacing w:line="240" w:lineRule="auto"/>
        <w:jc w:val="left"/>
        <w:rPr>
          <w:rFonts w:ascii="Arial" w:hAnsi="Arial" w:cs="Arial"/>
          <w:sz w:val="24"/>
          <w:szCs w:val="24"/>
          <w:lang w:val="en-GB"/>
        </w:rPr>
      </w:pPr>
    </w:p>
    <w:p w14:paraId="465A7F01" w14:textId="77777777" w:rsidR="007F2EEE" w:rsidRPr="00CD59CC" w:rsidRDefault="007F2EEE" w:rsidP="00CD59CC">
      <w:pPr>
        <w:pStyle w:val="Header"/>
        <w:tabs>
          <w:tab w:val="clear" w:pos="4153"/>
          <w:tab w:val="clear" w:pos="8306"/>
        </w:tabs>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its</w:t>
      </w:r>
      <w:r w:rsidR="007B7640" w:rsidRPr="00CD59CC">
        <w:rPr>
          <w:rFonts w:ascii="Arial" w:hAnsi="Arial" w:cs="Arial"/>
        </w:rPr>
        <w:t xml:space="preserve"> </w:t>
      </w:r>
      <w:r w:rsidRPr="00CD59CC">
        <w:rPr>
          <w:rFonts w:ascii="Arial" w:hAnsi="Arial" w:cs="Arial"/>
        </w:rPr>
        <w:t>chapter</w:t>
      </w:r>
      <w:r w:rsidR="007B7640" w:rsidRPr="00CD59CC">
        <w:rPr>
          <w:rFonts w:ascii="Arial" w:hAnsi="Arial" w:cs="Arial"/>
        </w:rPr>
        <w:t xml:space="preserve"> </w:t>
      </w:r>
      <w:r w:rsidRPr="00CD59CC">
        <w:rPr>
          <w:rFonts w:ascii="Arial" w:hAnsi="Arial" w:cs="Arial"/>
        </w:rPr>
        <w:t>entitled</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training”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ETA</w:t>
      </w:r>
      <w:r w:rsidR="007B7640" w:rsidRPr="00CD59CC">
        <w:rPr>
          <w:rFonts w:ascii="Arial" w:hAnsi="Arial" w:cs="Arial"/>
        </w:rPr>
        <w:t xml:space="preserve"> </w:t>
      </w:r>
      <w:r w:rsidRPr="00CD59CC">
        <w:rPr>
          <w:rFonts w:ascii="Arial" w:hAnsi="Arial" w:cs="Arial"/>
        </w:rPr>
        <w:t>provides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following.</w:t>
      </w:r>
      <w:r w:rsidR="007B7640" w:rsidRPr="00CD59CC">
        <w:rPr>
          <w:rFonts w:ascii="Arial" w:hAnsi="Arial" w:cs="Arial"/>
        </w:rPr>
        <w:t xml:space="preserve"> </w:t>
      </w:r>
      <w:r w:rsidRPr="00CD59CC">
        <w:rPr>
          <w:rFonts w:ascii="Arial" w:hAnsi="Arial" w:cs="Arial"/>
        </w:rPr>
        <w:t>Under</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27</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extends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any</w:t>
      </w:r>
      <w:r w:rsidR="007B7640" w:rsidRPr="00CD59CC">
        <w:rPr>
          <w:rFonts w:ascii="Arial" w:hAnsi="Arial" w:cs="Arial"/>
        </w:rPr>
        <w:t xml:space="preserve"> </w:t>
      </w:r>
      <w:r w:rsidRPr="00CD59CC">
        <w:rPr>
          <w:rFonts w:ascii="Arial" w:hAnsi="Arial" w:cs="Arial"/>
        </w:rPr>
        <w:t>care,</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training</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carried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accordance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requirements</w:t>
      </w:r>
      <w:r w:rsidR="007B7640" w:rsidRPr="00CD59CC">
        <w:rPr>
          <w:rFonts w:ascii="Arial" w:hAnsi="Arial" w:cs="Arial"/>
        </w:rPr>
        <w:t xml:space="preserve"> </w:t>
      </w:r>
      <w:r w:rsidRPr="00CD59CC">
        <w:rPr>
          <w:rFonts w:ascii="Arial" w:hAnsi="Arial" w:cs="Arial"/>
        </w:rPr>
        <w:t>approved</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ordered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b)</w:t>
      </w:r>
      <w:r w:rsidR="007B7640" w:rsidRPr="00CD59CC">
        <w:rPr>
          <w:rFonts w:ascii="Arial" w:hAnsi="Arial" w:cs="Arial"/>
        </w:rPr>
        <w:t xml:space="preserve"> </w:t>
      </w:r>
      <w:r w:rsidRPr="00CD59CC">
        <w:rPr>
          <w:rFonts w:ascii="Arial" w:hAnsi="Arial" w:cs="Arial"/>
        </w:rPr>
        <w:t>whose</w:t>
      </w:r>
      <w:r w:rsidR="007B7640" w:rsidRPr="00CD59CC">
        <w:rPr>
          <w:rFonts w:ascii="Arial" w:hAnsi="Arial" w:cs="Arial"/>
        </w:rPr>
        <w:t xml:space="preserve"> </w:t>
      </w:r>
      <w:r w:rsidRPr="00CD59CC">
        <w:rPr>
          <w:rFonts w:ascii="Arial" w:hAnsi="Arial" w:cs="Arial"/>
        </w:rPr>
        <w:t>organisation</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supported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ba)</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direct</w:t>
      </w:r>
      <w:r w:rsidR="007B7640" w:rsidRPr="00CD59CC">
        <w:rPr>
          <w:rFonts w:ascii="Arial" w:hAnsi="Arial" w:cs="Arial"/>
        </w:rPr>
        <w:t xml:space="preserve"> </w:t>
      </w:r>
      <w:r w:rsidRPr="00CD59CC">
        <w:rPr>
          <w:rFonts w:ascii="Arial" w:hAnsi="Arial" w:cs="Arial"/>
        </w:rPr>
        <w:t>normative</w:t>
      </w:r>
      <w:r w:rsidR="007B7640" w:rsidRPr="00CD59CC">
        <w:rPr>
          <w:rFonts w:ascii="Arial" w:hAnsi="Arial" w:cs="Arial"/>
        </w:rPr>
        <w:t xml:space="preserve"> </w:t>
      </w:r>
      <w:r w:rsidRPr="00CD59CC">
        <w:rPr>
          <w:rFonts w:ascii="Arial" w:hAnsi="Arial" w:cs="Arial"/>
        </w:rPr>
        <w:t>budgetary</w:t>
      </w:r>
      <w:r w:rsidR="007B7640" w:rsidRPr="00CD59CC">
        <w:rPr>
          <w:rFonts w:ascii="Arial" w:hAnsi="Arial" w:cs="Arial"/>
        </w:rPr>
        <w:t xml:space="preserve"> </w:t>
      </w:r>
      <w:r w:rsidRPr="00CD59CC">
        <w:rPr>
          <w:rFonts w:ascii="Arial" w:hAnsi="Arial" w:cs="Arial"/>
        </w:rPr>
        <w:t>subsidy,</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bb)</w:t>
      </w:r>
      <w:r w:rsidR="007B7640" w:rsidRPr="00CD59CC">
        <w:rPr>
          <w:rFonts w:ascii="Arial" w:hAnsi="Arial" w:cs="Arial"/>
        </w:rPr>
        <w:t xml:space="preserve"> </w:t>
      </w:r>
      <w:r w:rsidRPr="00CD59CC">
        <w:rPr>
          <w:rFonts w:ascii="Arial" w:hAnsi="Arial" w:cs="Arial"/>
        </w:rPr>
        <w:t>indirectly,</w:t>
      </w:r>
      <w:r w:rsidR="007B7640" w:rsidRPr="00CD59CC">
        <w:rPr>
          <w:rFonts w:ascii="Arial" w:hAnsi="Arial" w:cs="Arial"/>
        </w:rPr>
        <w:t xml:space="preserve"> </w:t>
      </w:r>
      <w:r w:rsidRPr="00CD59CC">
        <w:rPr>
          <w:rFonts w:ascii="Arial" w:hAnsi="Arial" w:cs="Arial"/>
        </w:rPr>
        <w:t>especially</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releasing</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clearing</w:t>
      </w:r>
      <w:r w:rsidR="007B7640" w:rsidRPr="00CD59CC">
        <w:rPr>
          <w:rFonts w:ascii="Arial" w:hAnsi="Arial" w:cs="Arial"/>
        </w:rPr>
        <w:t xml:space="preserve"> </w:t>
      </w:r>
      <w:r w:rsidRPr="00CD59CC">
        <w:rPr>
          <w:rFonts w:ascii="Arial" w:hAnsi="Arial" w:cs="Arial"/>
        </w:rPr>
        <w:t>taxes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tax</w:t>
      </w:r>
      <w:r w:rsidR="007B7640" w:rsidRPr="00CD59CC">
        <w:rPr>
          <w:rFonts w:ascii="Arial" w:hAnsi="Arial" w:cs="Arial"/>
        </w:rPr>
        <w:t xml:space="preserve"> </w:t>
      </w:r>
      <w:r w:rsidRPr="00CD59CC">
        <w:rPr>
          <w:rFonts w:ascii="Arial" w:hAnsi="Arial" w:cs="Arial"/>
        </w:rPr>
        <w:t>credit</w:t>
      </w:r>
      <w:r w:rsidR="007B7640" w:rsidRPr="00CD59CC">
        <w:rPr>
          <w:rFonts w:ascii="Arial" w:hAnsi="Arial" w:cs="Arial"/>
        </w:rPr>
        <w:t xml:space="preserve"> </w:t>
      </w:r>
      <w:r w:rsidRPr="00CD59CC">
        <w:rPr>
          <w:rFonts w:ascii="Arial" w:hAnsi="Arial" w:cs="Arial"/>
        </w:rPr>
        <w:t>(hereinafter</w:t>
      </w:r>
      <w:r w:rsidR="007B7640" w:rsidRPr="00CD59CC">
        <w:rPr>
          <w:rFonts w:ascii="Arial" w:hAnsi="Arial" w:cs="Arial"/>
        </w:rPr>
        <w:t xml:space="preserve"> </w:t>
      </w:r>
      <w:r w:rsidRPr="00CD59CC">
        <w:rPr>
          <w:rFonts w:ascii="Arial" w:hAnsi="Arial" w:cs="Arial"/>
        </w:rPr>
        <w:t>collectively:</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p>
    <w:p w14:paraId="18C71532" w14:textId="77777777" w:rsidR="007F2EEE" w:rsidRPr="00CD59CC" w:rsidRDefault="007F2EEE" w:rsidP="00CD59CC">
      <w:pPr>
        <w:pStyle w:val="Header"/>
        <w:tabs>
          <w:tab w:val="clear" w:pos="4153"/>
          <w:tab w:val="clear" w:pos="8306"/>
        </w:tabs>
        <w:rPr>
          <w:rFonts w:ascii="Arial" w:hAnsi="Arial" w:cs="Arial"/>
        </w:rPr>
      </w:pPr>
    </w:p>
    <w:p w14:paraId="2884CBC0" w14:textId="77777777" w:rsidR="007F2EEE" w:rsidRDefault="007F2EEE" w:rsidP="00CD59CC">
      <w:pPr>
        <w:pStyle w:val="Header"/>
        <w:tabs>
          <w:tab w:val="clear" w:pos="4153"/>
          <w:tab w:val="clear" w:pos="8306"/>
        </w:tabs>
        <w:rPr>
          <w:rFonts w:ascii="Arial" w:hAnsi="Arial" w:cs="Arial"/>
        </w:rPr>
      </w:pPr>
      <w:r w:rsidRPr="00CD59CC">
        <w:rPr>
          <w:rFonts w:ascii="Arial" w:hAnsi="Arial" w:cs="Arial"/>
        </w:rPr>
        <w:t>Pursuant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27</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principle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equal</w:t>
      </w:r>
      <w:r w:rsidR="007B7640" w:rsidRPr="00CD59CC">
        <w:rPr>
          <w:rFonts w:ascii="Arial" w:hAnsi="Arial" w:cs="Arial"/>
        </w:rPr>
        <w:t xml:space="preserve"> </w:t>
      </w:r>
      <w:r w:rsidRPr="00CD59CC">
        <w:rPr>
          <w:rFonts w:ascii="Arial" w:hAnsi="Arial" w:cs="Arial"/>
        </w:rPr>
        <w:t>treatment</w:t>
      </w:r>
      <w:r w:rsidR="007B7640" w:rsidRPr="00CD59CC">
        <w:rPr>
          <w:rFonts w:ascii="Arial" w:hAnsi="Arial" w:cs="Arial"/>
        </w:rPr>
        <w:t xml:space="preserve"> </w:t>
      </w:r>
      <w:r w:rsidRPr="00CD59CC">
        <w:rPr>
          <w:rFonts w:ascii="Arial" w:hAnsi="Arial" w:cs="Arial"/>
        </w:rPr>
        <w:t>shall</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enforced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relation</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defined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particularly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p>
    <w:p w14:paraId="09893B27" w14:textId="77777777" w:rsidR="002803A1" w:rsidRPr="00CD59CC" w:rsidRDefault="002803A1" w:rsidP="00CD59CC">
      <w:pPr>
        <w:pStyle w:val="Header"/>
        <w:tabs>
          <w:tab w:val="clear" w:pos="4153"/>
          <w:tab w:val="clear" w:pos="8306"/>
        </w:tabs>
        <w:rPr>
          <w:rFonts w:ascii="Arial" w:hAnsi="Arial" w:cs="Arial"/>
        </w:rPr>
      </w:pPr>
    </w:p>
    <w:p w14:paraId="70AEF5B2" w14:textId="77777777" w:rsidR="007F2EEE" w:rsidRPr="00CD59CC" w:rsidRDefault="007F2EEE" w:rsidP="007B4138">
      <w:pPr>
        <w:pStyle w:val="Fszveg"/>
        <w:numPr>
          <w:ilvl w:val="0"/>
          <w:numId w:val="52"/>
        </w:numPr>
        <w:tabs>
          <w:tab w:val="left" w:pos="567"/>
        </w:tabs>
        <w:spacing w:line="240" w:lineRule="auto"/>
        <w:jc w:val="left"/>
        <w:rPr>
          <w:rFonts w:ascii="Arial" w:hAnsi="Arial" w:cs="Arial"/>
          <w:sz w:val="24"/>
          <w:szCs w:val="24"/>
          <w:lang w:val="en-GB"/>
        </w:rPr>
      </w:pPr>
      <w:r w:rsidRPr="00CD59CC">
        <w:rPr>
          <w:rFonts w:ascii="Arial" w:hAnsi="Arial" w:cs="Arial"/>
          <w:sz w:val="24"/>
          <w:szCs w:val="24"/>
          <w:lang w:val="en-GB"/>
        </w:rPr>
        <w:t>determining</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conditions</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accessing</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assessing</w:t>
      </w:r>
      <w:r w:rsidR="007B7640" w:rsidRPr="00CD59CC">
        <w:rPr>
          <w:rFonts w:ascii="Arial" w:hAnsi="Arial" w:cs="Arial"/>
          <w:sz w:val="24"/>
          <w:szCs w:val="24"/>
          <w:lang w:val="en-GB"/>
        </w:rPr>
        <w:t xml:space="preserve"> </w:t>
      </w:r>
      <w:r w:rsidRPr="00CD59CC">
        <w:rPr>
          <w:rFonts w:ascii="Arial" w:hAnsi="Arial" w:cs="Arial"/>
          <w:sz w:val="24"/>
          <w:szCs w:val="24"/>
          <w:lang w:val="en-GB"/>
        </w:rPr>
        <w:t>applications;</w:t>
      </w:r>
    </w:p>
    <w:p w14:paraId="0314A627" w14:textId="77777777" w:rsidR="007F2EEE" w:rsidRPr="00CD59CC" w:rsidRDefault="007F2EEE" w:rsidP="007B4138">
      <w:pPr>
        <w:pStyle w:val="Fszveg"/>
        <w:numPr>
          <w:ilvl w:val="0"/>
          <w:numId w:val="52"/>
        </w:numPr>
        <w:tabs>
          <w:tab w:val="left" w:pos="567"/>
        </w:tabs>
        <w:spacing w:line="240" w:lineRule="auto"/>
        <w:jc w:val="left"/>
        <w:rPr>
          <w:rFonts w:ascii="Arial" w:hAnsi="Arial" w:cs="Arial"/>
          <w:sz w:val="24"/>
          <w:szCs w:val="24"/>
          <w:lang w:val="en-GB"/>
        </w:rPr>
      </w:pPr>
      <w:r w:rsidRPr="00CD59CC">
        <w:rPr>
          <w:rFonts w:ascii="Arial" w:hAnsi="Arial" w:cs="Arial"/>
          <w:sz w:val="24"/>
          <w:szCs w:val="24"/>
          <w:lang w:val="en-GB"/>
        </w:rPr>
        <w:lastRenderedPageBreak/>
        <w:t>defining</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setting</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requirements</w:t>
      </w:r>
      <w:r w:rsidR="007B7640" w:rsidRPr="00CD59CC">
        <w:rPr>
          <w:rFonts w:ascii="Arial" w:hAnsi="Arial" w:cs="Arial"/>
          <w:sz w:val="24"/>
          <w:szCs w:val="24"/>
          <w:lang w:val="en-GB"/>
        </w:rPr>
        <w:t xml:space="preserve"> </w:t>
      </w:r>
      <w:r w:rsidRPr="00CD59CC">
        <w:rPr>
          <w:rFonts w:ascii="Arial" w:hAnsi="Arial" w:cs="Arial"/>
          <w:sz w:val="24"/>
          <w:szCs w:val="24"/>
          <w:lang w:val="en-GB"/>
        </w:rPr>
        <w:t>for</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p>
    <w:p w14:paraId="4A36DCA4" w14:textId="77777777" w:rsidR="007F2EEE" w:rsidRPr="00CD59CC" w:rsidRDefault="007F2EEE" w:rsidP="007B4138">
      <w:pPr>
        <w:pStyle w:val="Fszveg"/>
        <w:numPr>
          <w:ilvl w:val="0"/>
          <w:numId w:val="52"/>
        </w:numPr>
        <w:tabs>
          <w:tab w:val="left" w:pos="567"/>
        </w:tabs>
        <w:spacing w:line="240" w:lineRule="auto"/>
        <w:jc w:val="left"/>
        <w:rPr>
          <w:rFonts w:ascii="Arial" w:hAnsi="Arial" w:cs="Arial"/>
          <w:sz w:val="24"/>
          <w:szCs w:val="24"/>
          <w:lang w:val="en-GB"/>
        </w:rPr>
      </w:pPr>
      <w:r w:rsidRPr="00CD59CC">
        <w:rPr>
          <w:rFonts w:ascii="Arial" w:hAnsi="Arial" w:cs="Arial"/>
          <w:sz w:val="24"/>
          <w:szCs w:val="24"/>
          <w:lang w:val="en-GB"/>
        </w:rPr>
        <w:t>performance</w:t>
      </w:r>
      <w:r w:rsidR="007B7640" w:rsidRPr="00CD59CC">
        <w:rPr>
          <w:rFonts w:ascii="Arial" w:hAnsi="Arial" w:cs="Arial"/>
          <w:sz w:val="24"/>
          <w:szCs w:val="24"/>
          <w:lang w:val="en-GB"/>
        </w:rPr>
        <w:t xml:space="preserve"> </w:t>
      </w:r>
      <w:r w:rsidRPr="00CD59CC">
        <w:rPr>
          <w:rFonts w:ascii="Arial" w:hAnsi="Arial" w:cs="Arial"/>
          <w:sz w:val="24"/>
          <w:szCs w:val="24"/>
          <w:lang w:val="en-GB"/>
        </w:rPr>
        <w:t>evaluation;</w:t>
      </w:r>
    </w:p>
    <w:p w14:paraId="35BB5B72" w14:textId="77777777" w:rsidR="007F2EEE" w:rsidRPr="00CD59CC" w:rsidRDefault="007F2EEE" w:rsidP="007B4138">
      <w:pPr>
        <w:pStyle w:val="Fszveg"/>
        <w:numPr>
          <w:ilvl w:val="0"/>
          <w:numId w:val="52"/>
        </w:numPr>
        <w:tabs>
          <w:tab w:val="left" w:pos="567"/>
        </w:tabs>
        <w:spacing w:line="240" w:lineRule="auto"/>
        <w:jc w:val="left"/>
        <w:rPr>
          <w:rFonts w:ascii="Arial" w:hAnsi="Arial" w:cs="Arial"/>
          <w:sz w:val="24"/>
          <w:szCs w:val="24"/>
          <w:lang w:val="en-GB"/>
        </w:rPr>
      </w:pPr>
      <w:r w:rsidRPr="00CD59CC">
        <w:rPr>
          <w:rFonts w:ascii="Arial" w:hAnsi="Arial" w:cs="Arial"/>
          <w:sz w:val="24"/>
          <w:szCs w:val="24"/>
          <w:lang w:val="en-GB"/>
        </w:rPr>
        <w:t>providing</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using</w:t>
      </w:r>
      <w:r w:rsidR="007B7640" w:rsidRPr="00CD59CC">
        <w:rPr>
          <w:rFonts w:ascii="Arial" w:hAnsi="Arial" w:cs="Arial"/>
          <w:sz w:val="24"/>
          <w:szCs w:val="24"/>
          <w:lang w:val="en-GB"/>
        </w:rPr>
        <w:t xml:space="preserve"> </w:t>
      </w:r>
      <w:r w:rsidRPr="00CD59CC">
        <w:rPr>
          <w:rFonts w:ascii="Arial" w:hAnsi="Arial" w:cs="Arial"/>
          <w:sz w:val="24"/>
          <w:szCs w:val="24"/>
          <w:lang w:val="en-GB"/>
        </w:rPr>
        <w:t>services</w:t>
      </w:r>
      <w:r w:rsidR="007B7640" w:rsidRPr="00CD59CC">
        <w:rPr>
          <w:rFonts w:ascii="Arial" w:hAnsi="Arial" w:cs="Arial"/>
          <w:sz w:val="24"/>
          <w:szCs w:val="24"/>
          <w:lang w:val="en-GB"/>
        </w:rPr>
        <w:t xml:space="preserve"> </w:t>
      </w:r>
      <w:r w:rsidRPr="00CD59CC">
        <w:rPr>
          <w:rFonts w:ascii="Arial" w:hAnsi="Arial" w:cs="Arial"/>
          <w:sz w:val="24"/>
          <w:szCs w:val="24"/>
          <w:lang w:val="en-GB"/>
        </w:rPr>
        <w:t>related</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p>
    <w:p w14:paraId="6FAFE30D" w14:textId="77777777" w:rsidR="007F2EEE" w:rsidRPr="00CD59CC" w:rsidRDefault="007F2EEE" w:rsidP="007B4138">
      <w:pPr>
        <w:pStyle w:val="Fszveg"/>
        <w:numPr>
          <w:ilvl w:val="0"/>
          <w:numId w:val="52"/>
        </w:numPr>
        <w:tabs>
          <w:tab w:val="left" w:pos="567"/>
        </w:tabs>
        <w:spacing w:line="240" w:lineRule="auto"/>
        <w:jc w:val="left"/>
        <w:rPr>
          <w:rFonts w:ascii="Arial" w:hAnsi="Arial" w:cs="Arial"/>
          <w:sz w:val="24"/>
          <w:szCs w:val="24"/>
          <w:lang w:val="en-GB"/>
        </w:rPr>
      </w:pPr>
      <w:r w:rsidRPr="00CD59CC">
        <w:rPr>
          <w:rFonts w:ascii="Arial" w:hAnsi="Arial" w:cs="Arial"/>
          <w:sz w:val="24"/>
          <w:szCs w:val="24"/>
          <w:lang w:val="en-GB"/>
        </w:rPr>
        <w:t>access</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benefits</w:t>
      </w:r>
      <w:r w:rsidR="007B7640" w:rsidRPr="00CD59CC">
        <w:rPr>
          <w:rFonts w:ascii="Arial" w:hAnsi="Arial" w:cs="Arial"/>
          <w:sz w:val="24"/>
          <w:szCs w:val="24"/>
          <w:lang w:val="en-GB"/>
        </w:rPr>
        <w:t xml:space="preserve"> </w:t>
      </w:r>
      <w:r w:rsidRPr="00CD59CC">
        <w:rPr>
          <w:rFonts w:ascii="Arial" w:hAnsi="Arial" w:cs="Arial"/>
          <w:sz w:val="24"/>
          <w:szCs w:val="24"/>
          <w:lang w:val="en-GB"/>
        </w:rPr>
        <w:t>related</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p>
    <w:p w14:paraId="49A6643B" w14:textId="77777777" w:rsidR="007F2EEE" w:rsidRPr="00CD59CC" w:rsidRDefault="007F2EEE" w:rsidP="007B4138">
      <w:pPr>
        <w:pStyle w:val="Fszveg"/>
        <w:numPr>
          <w:ilvl w:val="0"/>
          <w:numId w:val="52"/>
        </w:numPr>
        <w:tabs>
          <w:tab w:val="left" w:pos="567"/>
        </w:tabs>
        <w:spacing w:line="240" w:lineRule="auto"/>
        <w:jc w:val="left"/>
        <w:rPr>
          <w:rFonts w:ascii="Arial" w:hAnsi="Arial" w:cs="Arial"/>
          <w:sz w:val="24"/>
          <w:szCs w:val="24"/>
          <w:lang w:val="en-GB"/>
        </w:rPr>
      </w:pPr>
      <w:r w:rsidRPr="00CD59CC">
        <w:rPr>
          <w:rFonts w:ascii="Arial" w:hAnsi="Arial" w:cs="Arial"/>
          <w:sz w:val="24"/>
          <w:szCs w:val="24"/>
          <w:lang w:val="en-GB"/>
        </w:rPr>
        <w:t>accommodation</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supplement</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dormitories;</w:t>
      </w:r>
    </w:p>
    <w:p w14:paraId="0F6004AD" w14:textId="77777777" w:rsidR="007F2EEE" w:rsidRPr="00CD59CC" w:rsidRDefault="007F2EEE" w:rsidP="007B4138">
      <w:pPr>
        <w:pStyle w:val="Fszveg"/>
        <w:numPr>
          <w:ilvl w:val="0"/>
          <w:numId w:val="52"/>
        </w:numPr>
        <w:tabs>
          <w:tab w:val="left" w:pos="567"/>
        </w:tabs>
        <w:spacing w:line="240" w:lineRule="auto"/>
        <w:jc w:val="left"/>
        <w:rPr>
          <w:rFonts w:ascii="Arial" w:hAnsi="Arial" w:cs="Arial"/>
          <w:sz w:val="24"/>
          <w:szCs w:val="24"/>
          <w:lang w:val="en-GB"/>
        </w:rPr>
      </w:pPr>
      <w:r w:rsidRPr="00CD59CC">
        <w:rPr>
          <w:rFonts w:ascii="Arial" w:hAnsi="Arial" w:cs="Arial"/>
          <w:sz w:val="24"/>
          <w:szCs w:val="24"/>
          <w:lang w:val="en-GB"/>
        </w:rPr>
        <w:t>issuing</w:t>
      </w:r>
      <w:r w:rsidR="007B7640" w:rsidRPr="00CD59CC">
        <w:rPr>
          <w:rFonts w:ascii="Arial" w:hAnsi="Arial" w:cs="Arial"/>
          <w:sz w:val="24"/>
          <w:szCs w:val="24"/>
          <w:lang w:val="en-GB"/>
        </w:rPr>
        <w:t xml:space="preserve"> </w:t>
      </w:r>
      <w:r w:rsidRPr="00CD59CC">
        <w:rPr>
          <w:rFonts w:ascii="Arial" w:hAnsi="Arial" w:cs="Arial"/>
          <w:sz w:val="24"/>
          <w:szCs w:val="24"/>
          <w:lang w:val="en-GB"/>
        </w:rPr>
        <w:t>certificates</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diplomas</w:t>
      </w:r>
      <w:r w:rsidR="007B7640" w:rsidRPr="00CD59CC">
        <w:rPr>
          <w:rFonts w:ascii="Arial" w:hAnsi="Arial" w:cs="Arial"/>
          <w:sz w:val="24"/>
          <w:szCs w:val="24"/>
          <w:lang w:val="en-GB"/>
        </w:rPr>
        <w:t xml:space="preserve"> </w:t>
      </w:r>
      <w:r w:rsidRPr="00CD59CC">
        <w:rPr>
          <w:rFonts w:ascii="Arial" w:hAnsi="Arial" w:cs="Arial"/>
          <w:sz w:val="24"/>
          <w:szCs w:val="24"/>
          <w:lang w:val="en-GB"/>
        </w:rPr>
        <w:t>obtainable</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p>
    <w:p w14:paraId="71A02122" w14:textId="77777777" w:rsidR="007F2EEE" w:rsidRPr="00CD59CC" w:rsidRDefault="007F2EEE" w:rsidP="007B4138">
      <w:pPr>
        <w:pStyle w:val="Fszveg"/>
        <w:numPr>
          <w:ilvl w:val="0"/>
          <w:numId w:val="52"/>
        </w:numPr>
        <w:tabs>
          <w:tab w:val="left" w:pos="567"/>
        </w:tabs>
        <w:spacing w:line="240" w:lineRule="auto"/>
        <w:jc w:val="left"/>
        <w:rPr>
          <w:rFonts w:ascii="Arial" w:hAnsi="Arial" w:cs="Arial"/>
          <w:sz w:val="24"/>
          <w:szCs w:val="24"/>
          <w:lang w:val="en-GB"/>
        </w:rPr>
      </w:pPr>
      <w:r w:rsidRPr="00CD59CC">
        <w:rPr>
          <w:rFonts w:ascii="Arial" w:hAnsi="Arial" w:cs="Arial"/>
          <w:sz w:val="24"/>
          <w:szCs w:val="24"/>
          <w:lang w:val="en-GB"/>
        </w:rPr>
        <w:t>access</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vocational</w:t>
      </w:r>
      <w:r w:rsidR="007B7640" w:rsidRPr="00CD59CC">
        <w:rPr>
          <w:rFonts w:ascii="Arial" w:hAnsi="Arial" w:cs="Arial"/>
          <w:sz w:val="24"/>
          <w:szCs w:val="24"/>
          <w:lang w:val="en-GB"/>
        </w:rPr>
        <w:t xml:space="preserve"> </w:t>
      </w:r>
      <w:r w:rsidRPr="00CD59CC">
        <w:rPr>
          <w:rFonts w:ascii="Arial" w:hAnsi="Arial" w:cs="Arial"/>
          <w:sz w:val="24"/>
          <w:szCs w:val="24"/>
          <w:lang w:val="en-GB"/>
        </w:rPr>
        <w:t>guidance;</w:t>
      </w:r>
      <w:r w:rsidR="007B7640" w:rsidRPr="00CD59CC">
        <w:rPr>
          <w:rFonts w:ascii="Arial" w:hAnsi="Arial" w:cs="Arial"/>
          <w:sz w:val="24"/>
          <w:szCs w:val="24"/>
          <w:lang w:val="en-GB"/>
        </w:rPr>
        <w:t xml:space="preserve"> </w:t>
      </w:r>
      <w:r w:rsidRPr="00CD59CC">
        <w:rPr>
          <w:rFonts w:ascii="Arial" w:hAnsi="Arial" w:cs="Arial"/>
          <w:sz w:val="24"/>
          <w:szCs w:val="24"/>
          <w:lang w:val="en-GB"/>
        </w:rPr>
        <w:t>and</w:t>
      </w:r>
    </w:p>
    <w:p w14:paraId="27240FB6" w14:textId="77777777" w:rsidR="007F2EEE" w:rsidRPr="00CD59CC" w:rsidRDefault="007F2EEE" w:rsidP="007B4138">
      <w:pPr>
        <w:pStyle w:val="Fszveg"/>
        <w:numPr>
          <w:ilvl w:val="0"/>
          <w:numId w:val="52"/>
        </w:numPr>
        <w:tabs>
          <w:tab w:val="left" w:pos="567"/>
        </w:tabs>
        <w:spacing w:line="240" w:lineRule="auto"/>
        <w:jc w:val="left"/>
        <w:rPr>
          <w:rFonts w:ascii="Arial" w:hAnsi="Arial" w:cs="Arial"/>
          <w:sz w:val="24"/>
          <w:szCs w:val="24"/>
          <w:lang w:val="en-GB"/>
        </w:rPr>
      </w:pP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termination</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relationship</w:t>
      </w:r>
      <w:r w:rsidR="007B7640" w:rsidRPr="00CD59CC">
        <w:rPr>
          <w:rFonts w:ascii="Arial" w:hAnsi="Arial" w:cs="Arial"/>
          <w:sz w:val="24"/>
          <w:szCs w:val="24"/>
          <w:lang w:val="en-GB"/>
        </w:rPr>
        <w:t xml:space="preserve"> </w:t>
      </w:r>
      <w:r w:rsidRPr="00CD59CC">
        <w:rPr>
          <w:rFonts w:ascii="Arial" w:hAnsi="Arial" w:cs="Arial"/>
          <w:sz w:val="24"/>
          <w:szCs w:val="24"/>
          <w:lang w:val="en-GB"/>
        </w:rPr>
        <w:t>related</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participation</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p>
    <w:p w14:paraId="2D7B846C" w14:textId="77777777" w:rsidR="007F2EEE" w:rsidRPr="00CD59CC" w:rsidRDefault="007F2EEE" w:rsidP="00CD59CC">
      <w:pPr>
        <w:pStyle w:val="Fszveg"/>
        <w:spacing w:line="240" w:lineRule="auto"/>
        <w:jc w:val="left"/>
        <w:rPr>
          <w:rFonts w:ascii="Arial" w:hAnsi="Arial" w:cs="Arial"/>
          <w:sz w:val="24"/>
          <w:szCs w:val="24"/>
          <w:lang w:val="en-GB"/>
        </w:rPr>
      </w:pPr>
    </w:p>
    <w:p w14:paraId="7693EBC3" w14:textId="77777777" w:rsidR="007F2EEE" w:rsidRPr="00CD59CC" w:rsidRDefault="007F2EEE" w:rsidP="00CD59CC">
      <w:pPr>
        <w:pStyle w:val="Fszveg"/>
        <w:spacing w:line="240" w:lineRule="auto"/>
        <w:jc w:val="left"/>
        <w:rPr>
          <w:rFonts w:ascii="Arial" w:hAnsi="Arial" w:cs="Arial"/>
          <w:sz w:val="24"/>
          <w:szCs w:val="24"/>
          <w:lang w:val="en-GB"/>
        </w:rPr>
      </w:pPr>
      <w:r w:rsidRPr="00CD59CC">
        <w:rPr>
          <w:rFonts w:ascii="Arial" w:hAnsi="Arial" w:cs="Arial"/>
          <w:sz w:val="24"/>
          <w:szCs w:val="24"/>
          <w:lang w:val="en-GB"/>
        </w:rPr>
        <w:t>Paragraph</w:t>
      </w:r>
      <w:r w:rsidR="007B7640" w:rsidRPr="00CD59CC">
        <w:rPr>
          <w:rFonts w:ascii="Arial" w:hAnsi="Arial" w:cs="Arial"/>
          <w:sz w:val="24"/>
          <w:szCs w:val="24"/>
          <w:lang w:val="en-GB"/>
        </w:rPr>
        <w:t xml:space="preserve"> </w:t>
      </w:r>
      <w:r w:rsidRPr="00CD59CC">
        <w:rPr>
          <w:rFonts w:ascii="Arial" w:hAnsi="Arial" w:cs="Arial"/>
          <w:sz w:val="24"/>
          <w:szCs w:val="24"/>
          <w:lang w:val="en-GB"/>
        </w:rPr>
        <w:t>(3)</w:t>
      </w:r>
      <w:r w:rsidR="007B7640" w:rsidRPr="00CD59CC">
        <w:rPr>
          <w:rFonts w:ascii="Arial" w:hAnsi="Arial" w:cs="Arial"/>
          <w:sz w:val="24"/>
          <w:szCs w:val="24"/>
          <w:lang w:val="en-GB"/>
        </w:rPr>
        <w:t xml:space="preserve"> </w:t>
      </w:r>
      <w:r w:rsidRPr="00CD59CC">
        <w:rPr>
          <w:rFonts w:ascii="Arial" w:hAnsi="Arial" w:cs="Arial"/>
          <w:sz w:val="24"/>
          <w:szCs w:val="24"/>
          <w:lang w:val="en-GB"/>
        </w:rPr>
        <w:t>does</w:t>
      </w:r>
      <w:r w:rsidR="007B7640" w:rsidRPr="00CD59CC">
        <w:rPr>
          <w:rFonts w:ascii="Arial" w:hAnsi="Arial" w:cs="Arial"/>
          <w:sz w:val="24"/>
          <w:szCs w:val="24"/>
          <w:lang w:val="en-GB"/>
        </w:rPr>
        <w:t xml:space="preserve"> </w:t>
      </w:r>
      <w:r w:rsidRPr="00CD59CC">
        <w:rPr>
          <w:rFonts w:ascii="Arial" w:hAnsi="Arial" w:cs="Arial"/>
          <w:sz w:val="24"/>
          <w:szCs w:val="24"/>
          <w:lang w:val="en-GB"/>
        </w:rPr>
        <w:t>not</w:t>
      </w:r>
      <w:r w:rsidR="007B7640" w:rsidRPr="00CD59CC">
        <w:rPr>
          <w:rFonts w:ascii="Arial" w:hAnsi="Arial" w:cs="Arial"/>
          <w:sz w:val="24"/>
          <w:szCs w:val="24"/>
          <w:lang w:val="en-GB"/>
        </w:rPr>
        <w:t xml:space="preserve"> </w:t>
      </w:r>
      <w:r w:rsidRPr="00CD59CC">
        <w:rPr>
          <w:rFonts w:ascii="Arial" w:hAnsi="Arial" w:cs="Arial"/>
          <w:sz w:val="24"/>
          <w:szCs w:val="24"/>
          <w:lang w:val="en-GB"/>
        </w:rPr>
        <w:t>only</w:t>
      </w:r>
      <w:r w:rsidR="007B7640" w:rsidRPr="00CD59CC">
        <w:rPr>
          <w:rFonts w:ascii="Arial" w:hAnsi="Arial" w:cs="Arial"/>
          <w:sz w:val="24"/>
          <w:szCs w:val="24"/>
          <w:lang w:val="en-GB"/>
        </w:rPr>
        <w:t xml:space="preserve"> </w:t>
      </w:r>
      <w:r w:rsidRPr="00CD59CC">
        <w:rPr>
          <w:rFonts w:ascii="Arial" w:hAnsi="Arial" w:cs="Arial"/>
          <w:sz w:val="24"/>
          <w:szCs w:val="24"/>
          <w:lang w:val="en-GB"/>
        </w:rPr>
        <w:t>prohibit</w:t>
      </w:r>
      <w:r w:rsidR="007B7640" w:rsidRPr="00CD59CC">
        <w:rPr>
          <w:rFonts w:ascii="Arial" w:hAnsi="Arial" w:cs="Arial"/>
          <w:sz w:val="24"/>
          <w:szCs w:val="24"/>
          <w:lang w:val="en-GB"/>
        </w:rPr>
        <w:t xml:space="preserve"> </w:t>
      </w:r>
      <w:r w:rsidRPr="00CD59CC">
        <w:rPr>
          <w:rFonts w:ascii="Arial" w:hAnsi="Arial" w:cs="Arial"/>
          <w:sz w:val="24"/>
          <w:szCs w:val="24"/>
          <w:lang w:val="en-GB"/>
        </w:rPr>
        <w:t>segregation</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an</w:t>
      </w:r>
      <w:r w:rsidR="007B7640" w:rsidRPr="00CD59CC">
        <w:rPr>
          <w:rFonts w:ascii="Arial" w:hAnsi="Arial" w:cs="Arial"/>
          <w:sz w:val="24"/>
          <w:szCs w:val="24"/>
          <w:lang w:val="en-GB"/>
        </w:rPr>
        <w:t xml:space="preserve"> </w:t>
      </w:r>
      <w:r w:rsidRPr="00CD59CC">
        <w:rPr>
          <w:rFonts w:ascii="Arial" w:hAnsi="Arial" w:cs="Arial"/>
          <w:sz w:val="24"/>
          <w:szCs w:val="24"/>
          <w:lang w:val="en-GB"/>
        </w:rPr>
        <w:t>educational</w:t>
      </w:r>
      <w:r w:rsidR="007B7640" w:rsidRPr="00CD59CC">
        <w:rPr>
          <w:rFonts w:ascii="Arial" w:hAnsi="Arial" w:cs="Arial"/>
          <w:sz w:val="24"/>
          <w:szCs w:val="24"/>
          <w:lang w:val="en-GB"/>
        </w:rPr>
        <w:t xml:space="preserve"> </w:t>
      </w:r>
      <w:r w:rsidRPr="00CD59CC">
        <w:rPr>
          <w:rFonts w:ascii="Arial" w:hAnsi="Arial" w:cs="Arial"/>
          <w:sz w:val="24"/>
          <w:szCs w:val="24"/>
          <w:lang w:val="en-GB"/>
        </w:rPr>
        <w:t>institution,</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division,</w:t>
      </w:r>
      <w:r w:rsidR="007B7640" w:rsidRPr="00CD59CC">
        <w:rPr>
          <w:rFonts w:ascii="Arial" w:hAnsi="Arial" w:cs="Arial"/>
          <w:sz w:val="24"/>
          <w:szCs w:val="24"/>
          <w:lang w:val="en-GB"/>
        </w:rPr>
        <w:t xml:space="preserve"> </w:t>
      </w:r>
      <w:r w:rsidRPr="00CD59CC">
        <w:rPr>
          <w:rFonts w:ascii="Arial" w:hAnsi="Arial" w:cs="Arial"/>
          <w:sz w:val="24"/>
          <w:szCs w:val="24"/>
          <w:lang w:val="en-GB"/>
        </w:rPr>
        <w:t>class</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group</w:t>
      </w:r>
      <w:r w:rsidR="007B7640" w:rsidRPr="00CD59CC">
        <w:rPr>
          <w:rFonts w:ascii="Arial" w:hAnsi="Arial" w:cs="Arial"/>
          <w:sz w:val="24"/>
          <w:szCs w:val="24"/>
          <w:lang w:val="en-GB"/>
        </w:rPr>
        <w:t xml:space="preserve"> </w:t>
      </w:r>
      <w:r w:rsidRPr="00CD59CC">
        <w:rPr>
          <w:rFonts w:ascii="Arial" w:hAnsi="Arial" w:cs="Arial"/>
          <w:sz w:val="24"/>
          <w:szCs w:val="24"/>
          <w:lang w:val="en-GB"/>
        </w:rPr>
        <w:t>within</w:t>
      </w:r>
      <w:r w:rsidR="007B7640" w:rsidRPr="00CD59CC">
        <w:rPr>
          <w:rFonts w:ascii="Arial" w:hAnsi="Arial" w:cs="Arial"/>
          <w:sz w:val="24"/>
          <w:szCs w:val="24"/>
          <w:lang w:val="en-GB"/>
        </w:rPr>
        <w:t xml:space="preserve"> </w:t>
      </w:r>
      <w:r w:rsidRPr="00CD59CC">
        <w:rPr>
          <w:rFonts w:ascii="Arial" w:hAnsi="Arial" w:cs="Arial"/>
          <w:sz w:val="24"/>
          <w:szCs w:val="24"/>
          <w:lang w:val="en-GB"/>
        </w:rPr>
        <w:t>such</w:t>
      </w:r>
      <w:r w:rsidR="007B7640" w:rsidRPr="00CD59CC">
        <w:rPr>
          <w:rFonts w:ascii="Arial" w:hAnsi="Arial" w:cs="Arial"/>
          <w:sz w:val="24"/>
          <w:szCs w:val="24"/>
          <w:lang w:val="en-GB"/>
        </w:rPr>
        <w:t xml:space="preserve"> </w:t>
      </w:r>
      <w:r w:rsidRPr="00CD59CC">
        <w:rPr>
          <w:rFonts w:ascii="Arial" w:hAnsi="Arial" w:cs="Arial"/>
          <w:sz w:val="24"/>
          <w:szCs w:val="24"/>
          <w:lang w:val="en-GB"/>
        </w:rPr>
        <w:t>an</w:t>
      </w:r>
      <w:r w:rsidR="007B7640" w:rsidRPr="00CD59CC">
        <w:rPr>
          <w:rFonts w:ascii="Arial" w:hAnsi="Arial" w:cs="Arial"/>
          <w:sz w:val="24"/>
          <w:szCs w:val="24"/>
          <w:lang w:val="en-GB"/>
        </w:rPr>
        <w:t xml:space="preserve"> </w:t>
      </w:r>
      <w:r w:rsidRPr="00CD59CC">
        <w:rPr>
          <w:rFonts w:ascii="Arial" w:hAnsi="Arial" w:cs="Arial"/>
          <w:sz w:val="24"/>
          <w:szCs w:val="24"/>
          <w:lang w:val="en-GB"/>
        </w:rPr>
        <w:t>educational</w:t>
      </w:r>
      <w:r w:rsidR="007B7640" w:rsidRPr="00CD59CC">
        <w:rPr>
          <w:rFonts w:ascii="Arial" w:hAnsi="Arial" w:cs="Arial"/>
          <w:sz w:val="24"/>
          <w:szCs w:val="24"/>
          <w:lang w:val="en-GB"/>
        </w:rPr>
        <w:t xml:space="preserve"> </w:t>
      </w:r>
      <w:r w:rsidRPr="00CD59CC">
        <w:rPr>
          <w:rFonts w:ascii="Arial" w:hAnsi="Arial" w:cs="Arial"/>
          <w:sz w:val="24"/>
          <w:szCs w:val="24"/>
          <w:lang w:val="en-GB"/>
        </w:rPr>
        <w:t>institution,</w:t>
      </w:r>
      <w:r w:rsidR="007B7640" w:rsidRPr="00CD59CC">
        <w:rPr>
          <w:rFonts w:ascii="Arial" w:hAnsi="Arial" w:cs="Arial"/>
          <w:sz w:val="24"/>
          <w:szCs w:val="24"/>
          <w:lang w:val="en-GB"/>
        </w:rPr>
        <w:t xml:space="preserve"> </w:t>
      </w:r>
      <w:r w:rsidRPr="00CD59CC">
        <w:rPr>
          <w:rFonts w:ascii="Arial" w:hAnsi="Arial" w:cs="Arial"/>
          <w:sz w:val="24"/>
          <w:szCs w:val="24"/>
          <w:lang w:val="en-GB"/>
        </w:rPr>
        <w:t>but</w:t>
      </w:r>
      <w:r w:rsidR="007B7640" w:rsidRPr="00CD59CC">
        <w:rPr>
          <w:rFonts w:ascii="Arial" w:hAnsi="Arial" w:cs="Arial"/>
          <w:sz w:val="24"/>
          <w:szCs w:val="24"/>
          <w:lang w:val="en-GB"/>
        </w:rPr>
        <w:t xml:space="preserve"> </w:t>
      </w:r>
      <w:r w:rsidRPr="00CD59CC">
        <w:rPr>
          <w:rFonts w:ascii="Arial" w:hAnsi="Arial" w:cs="Arial"/>
          <w:sz w:val="24"/>
          <w:szCs w:val="24"/>
          <w:lang w:val="en-GB"/>
        </w:rPr>
        <w:t>perceives</w:t>
      </w:r>
      <w:r w:rsidR="007B7640" w:rsidRPr="00CD59CC">
        <w:rPr>
          <w:rFonts w:ascii="Arial" w:hAnsi="Arial" w:cs="Arial"/>
          <w:sz w:val="24"/>
          <w:szCs w:val="24"/>
          <w:lang w:val="en-GB"/>
        </w:rPr>
        <w:t xml:space="preserve"> </w:t>
      </w:r>
      <w:r w:rsidRPr="00CD59CC">
        <w:rPr>
          <w:rFonts w:ascii="Arial" w:hAnsi="Arial" w:cs="Arial"/>
          <w:sz w:val="24"/>
          <w:szCs w:val="24"/>
          <w:lang w:val="en-GB"/>
        </w:rPr>
        <w:t>as</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form</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discrimination</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limited</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care</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educational</w:t>
      </w:r>
      <w:r w:rsidR="007B7640" w:rsidRPr="00CD59CC">
        <w:rPr>
          <w:rFonts w:ascii="Arial" w:hAnsi="Arial" w:cs="Arial"/>
          <w:sz w:val="24"/>
          <w:szCs w:val="24"/>
          <w:lang w:val="en-GB"/>
        </w:rPr>
        <w:t xml:space="preserve"> </w:t>
      </w:r>
      <w:r w:rsidRPr="00CD59CC">
        <w:rPr>
          <w:rFonts w:ascii="Arial" w:hAnsi="Arial" w:cs="Arial"/>
          <w:sz w:val="24"/>
          <w:szCs w:val="24"/>
          <w:lang w:val="en-GB"/>
        </w:rPr>
        <w:t>system,</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care</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educational</w:t>
      </w:r>
      <w:r w:rsidR="007B7640" w:rsidRPr="00CD59CC">
        <w:rPr>
          <w:rFonts w:ascii="Arial" w:hAnsi="Arial" w:cs="Arial"/>
          <w:sz w:val="24"/>
          <w:szCs w:val="24"/>
          <w:lang w:val="en-GB"/>
        </w:rPr>
        <w:t xml:space="preserve"> </w:t>
      </w:r>
      <w:r w:rsidRPr="00CD59CC">
        <w:rPr>
          <w:rFonts w:ascii="Arial" w:hAnsi="Arial" w:cs="Arial"/>
          <w:sz w:val="24"/>
          <w:szCs w:val="24"/>
          <w:lang w:val="en-GB"/>
        </w:rPr>
        <w:t>system</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institution</w:t>
      </w:r>
      <w:r w:rsidR="007B7640" w:rsidRPr="00CD59CC">
        <w:rPr>
          <w:rFonts w:ascii="Arial" w:hAnsi="Arial" w:cs="Arial"/>
          <w:sz w:val="24"/>
          <w:szCs w:val="24"/>
          <w:lang w:val="en-GB"/>
        </w:rPr>
        <w:t xml:space="preserve"> </w:t>
      </w:r>
      <w:r w:rsidRPr="00CD59CC">
        <w:rPr>
          <w:rFonts w:ascii="Arial" w:hAnsi="Arial" w:cs="Arial"/>
          <w:sz w:val="24"/>
          <w:szCs w:val="24"/>
          <w:lang w:val="en-GB"/>
        </w:rPr>
        <w:t>created</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maintained</w:t>
      </w:r>
      <w:r w:rsidR="007B7640" w:rsidRPr="00CD59CC">
        <w:rPr>
          <w:rFonts w:ascii="Arial" w:hAnsi="Arial" w:cs="Arial"/>
          <w:sz w:val="24"/>
          <w:szCs w:val="24"/>
          <w:lang w:val="en-GB"/>
        </w:rPr>
        <w:t xml:space="preserve"> </w:t>
      </w:r>
      <w:r w:rsidRPr="00CD59CC">
        <w:rPr>
          <w:rFonts w:ascii="Arial" w:hAnsi="Arial" w:cs="Arial"/>
          <w:sz w:val="24"/>
          <w:szCs w:val="24"/>
          <w:lang w:val="en-GB"/>
        </w:rPr>
        <w:t>according</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standards</w:t>
      </w:r>
      <w:r w:rsidR="007B7640" w:rsidRPr="00CD59CC">
        <w:rPr>
          <w:rFonts w:ascii="Arial" w:hAnsi="Arial" w:cs="Arial"/>
          <w:sz w:val="24"/>
          <w:szCs w:val="24"/>
          <w:lang w:val="en-GB"/>
        </w:rPr>
        <w:t xml:space="preserve"> </w:t>
      </w:r>
      <w:r w:rsidRPr="00CD59CC">
        <w:rPr>
          <w:rFonts w:ascii="Arial" w:hAnsi="Arial" w:cs="Arial"/>
          <w:sz w:val="24"/>
          <w:szCs w:val="24"/>
          <w:lang w:val="en-GB"/>
        </w:rPr>
        <w:t>that</w:t>
      </w:r>
      <w:r w:rsidR="007B7640" w:rsidRPr="00CD59CC">
        <w:rPr>
          <w:rFonts w:ascii="Arial" w:hAnsi="Arial" w:cs="Arial"/>
          <w:sz w:val="24"/>
          <w:szCs w:val="24"/>
          <w:lang w:val="en-GB"/>
        </w:rPr>
        <w:t xml:space="preserve"> </w:t>
      </w:r>
      <w:r w:rsidRPr="00CD59CC">
        <w:rPr>
          <w:rFonts w:ascii="Arial" w:hAnsi="Arial" w:cs="Arial"/>
          <w:sz w:val="24"/>
          <w:szCs w:val="24"/>
          <w:lang w:val="en-GB"/>
        </w:rPr>
        <w:t>do</w:t>
      </w:r>
      <w:r w:rsidR="007B7640" w:rsidRPr="00CD59CC">
        <w:rPr>
          <w:rFonts w:ascii="Arial" w:hAnsi="Arial" w:cs="Arial"/>
          <w:sz w:val="24"/>
          <w:szCs w:val="24"/>
          <w:lang w:val="en-GB"/>
        </w:rPr>
        <w:t xml:space="preserve"> </w:t>
      </w:r>
      <w:r w:rsidRPr="00CD59CC">
        <w:rPr>
          <w:rFonts w:ascii="Arial" w:hAnsi="Arial" w:cs="Arial"/>
          <w:sz w:val="24"/>
          <w:szCs w:val="24"/>
          <w:lang w:val="en-GB"/>
        </w:rPr>
        <w:t>not</w:t>
      </w:r>
      <w:r w:rsidR="007B7640" w:rsidRPr="00CD59CC">
        <w:rPr>
          <w:rFonts w:ascii="Arial" w:hAnsi="Arial" w:cs="Arial"/>
          <w:sz w:val="24"/>
          <w:szCs w:val="24"/>
          <w:lang w:val="en-GB"/>
        </w:rPr>
        <w:t xml:space="preserve"> </w:t>
      </w:r>
      <w:r w:rsidRPr="00CD59CC">
        <w:rPr>
          <w:rFonts w:ascii="Arial" w:hAnsi="Arial" w:cs="Arial"/>
          <w:sz w:val="24"/>
          <w:szCs w:val="24"/>
          <w:lang w:val="en-GB"/>
        </w:rPr>
        <w:t>reach</w:t>
      </w:r>
      <w:r w:rsidR="007B7640" w:rsidRPr="00CD59CC">
        <w:rPr>
          <w:rFonts w:ascii="Arial" w:hAnsi="Arial" w:cs="Arial"/>
          <w:sz w:val="24"/>
          <w:szCs w:val="24"/>
          <w:lang w:val="en-GB"/>
        </w:rPr>
        <w:t xml:space="preserve"> </w:t>
      </w:r>
      <w:r w:rsidRPr="00CD59CC">
        <w:rPr>
          <w:rFonts w:ascii="Arial" w:hAnsi="Arial" w:cs="Arial"/>
          <w:sz w:val="24"/>
          <w:szCs w:val="24"/>
          <w:lang w:val="en-GB"/>
        </w:rPr>
        <w:t>accepted</w:t>
      </w:r>
      <w:r w:rsidR="007B7640" w:rsidRPr="00CD59CC">
        <w:rPr>
          <w:rFonts w:ascii="Arial" w:hAnsi="Arial" w:cs="Arial"/>
          <w:sz w:val="24"/>
          <w:szCs w:val="24"/>
          <w:lang w:val="en-GB"/>
        </w:rPr>
        <w:t xml:space="preserve"> </w:t>
      </w:r>
      <w:r w:rsidRPr="00CD59CC">
        <w:rPr>
          <w:rFonts w:ascii="Arial" w:hAnsi="Arial" w:cs="Arial"/>
          <w:sz w:val="24"/>
          <w:szCs w:val="24"/>
          <w:lang w:val="en-GB"/>
        </w:rPr>
        <w:t>professional</w:t>
      </w:r>
      <w:r w:rsidR="007B7640" w:rsidRPr="00CD59CC">
        <w:rPr>
          <w:rFonts w:ascii="Arial" w:hAnsi="Arial" w:cs="Arial"/>
          <w:sz w:val="24"/>
          <w:szCs w:val="24"/>
          <w:lang w:val="en-GB"/>
        </w:rPr>
        <w:t xml:space="preserve"> </w:t>
      </w:r>
      <w:r w:rsidRPr="00CD59CC">
        <w:rPr>
          <w:rFonts w:ascii="Arial" w:hAnsi="Arial" w:cs="Arial"/>
          <w:sz w:val="24"/>
          <w:szCs w:val="24"/>
          <w:lang w:val="en-GB"/>
        </w:rPr>
        <w:t>requirements</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do</w:t>
      </w:r>
      <w:r w:rsidR="007B7640" w:rsidRPr="00CD59CC">
        <w:rPr>
          <w:rFonts w:ascii="Arial" w:hAnsi="Arial" w:cs="Arial"/>
          <w:sz w:val="24"/>
          <w:szCs w:val="24"/>
          <w:lang w:val="en-GB"/>
        </w:rPr>
        <w:t xml:space="preserve"> </w:t>
      </w:r>
      <w:r w:rsidRPr="00CD59CC">
        <w:rPr>
          <w:rFonts w:ascii="Arial" w:hAnsi="Arial" w:cs="Arial"/>
          <w:sz w:val="24"/>
          <w:szCs w:val="24"/>
          <w:lang w:val="en-GB"/>
        </w:rPr>
        <w:t>not</w:t>
      </w:r>
      <w:r w:rsidR="007B7640" w:rsidRPr="00CD59CC">
        <w:rPr>
          <w:rFonts w:ascii="Arial" w:hAnsi="Arial" w:cs="Arial"/>
          <w:sz w:val="24"/>
          <w:szCs w:val="24"/>
          <w:lang w:val="en-GB"/>
        </w:rPr>
        <w:t xml:space="preserve"> </w:t>
      </w:r>
      <w:r w:rsidRPr="00CD59CC">
        <w:rPr>
          <w:rFonts w:ascii="Arial" w:hAnsi="Arial" w:cs="Arial"/>
          <w:sz w:val="24"/>
          <w:szCs w:val="24"/>
          <w:lang w:val="en-GB"/>
        </w:rPr>
        <w:t>meet</w:t>
      </w:r>
      <w:r w:rsidR="007B7640" w:rsidRPr="00CD59CC">
        <w:rPr>
          <w:rFonts w:ascii="Arial" w:hAnsi="Arial" w:cs="Arial"/>
          <w:sz w:val="24"/>
          <w:szCs w:val="24"/>
          <w:lang w:val="en-GB"/>
        </w:rPr>
        <w:t xml:space="preserve"> </w:t>
      </w:r>
      <w:r w:rsidRPr="00CD59CC">
        <w:rPr>
          <w:rFonts w:ascii="Arial" w:hAnsi="Arial" w:cs="Arial"/>
          <w:sz w:val="24"/>
          <w:szCs w:val="24"/>
          <w:lang w:val="en-GB"/>
        </w:rPr>
        <w:t>professional</w:t>
      </w:r>
      <w:r w:rsidR="007B7640" w:rsidRPr="00CD59CC">
        <w:rPr>
          <w:rFonts w:ascii="Arial" w:hAnsi="Arial" w:cs="Arial"/>
          <w:sz w:val="24"/>
          <w:szCs w:val="24"/>
          <w:lang w:val="en-GB"/>
        </w:rPr>
        <w:t xml:space="preserve"> </w:t>
      </w:r>
      <w:r w:rsidRPr="00CD59CC">
        <w:rPr>
          <w:rFonts w:ascii="Arial" w:hAnsi="Arial" w:cs="Arial"/>
          <w:sz w:val="24"/>
          <w:szCs w:val="24"/>
          <w:lang w:val="en-GB"/>
        </w:rPr>
        <w:t>rules,</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thus</w:t>
      </w:r>
      <w:r w:rsidR="007B7640" w:rsidRPr="00CD59CC">
        <w:rPr>
          <w:rFonts w:ascii="Arial" w:hAnsi="Arial" w:cs="Arial"/>
          <w:sz w:val="24"/>
          <w:szCs w:val="24"/>
          <w:lang w:val="en-GB"/>
        </w:rPr>
        <w:t xml:space="preserve"> </w:t>
      </w:r>
      <w:r w:rsidRPr="00CD59CC">
        <w:rPr>
          <w:rFonts w:ascii="Arial" w:hAnsi="Arial" w:cs="Arial"/>
          <w:sz w:val="24"/>
          <w:szCs w:val="24"/>
          <w:lang w:val="en-GB"/>
        </w:rPr>
        <w:t>do</w:t>
      </w:r>
      <w:r w:rsidR="007B7640" w:rsidRPr="00CD59CC">
        <w:rPr>
          <w:rFonts w:ascii="Arial" w:hAnsi="Arial" w:cs="Arial"/>
          <w:sz w:val="24"/>
          <w:szCs w:val="24"/>
          <w:lang w:val="en-GB"/>
        </w:rPr>
        <w:t xml:space="preserve"> </w:t>
      </w:r>
      <w:r w:rsidRPr="00CD59CC">
        <w:rPr>
          <w:rFonts w:ascii="Arial" w:hAnsi="Arial" w:cs="Arial"/>
          <w:sz w:val="24"/>
          <w:szCs w:val="24"/>
          <w:lang w:val="en-GB"/>
        </w:rPr>
        <w:t>not</w:t>
      </w:r>
      <w:r w:rsidR="007B7640" w:rsidRPr="00CD59CC">
        <w:rPr>
          <w:rFonts w:ascii="Arial" w:hAnsi="Arial" w:cs="Arial"/>
          <w:sz w:val="24"/>
          <w:szCs w:val="24"/>
          <w:lang w:val="en-GB"/>
        </w:rPr>
        <w:t xml:space="preserve"> </w:t>
      </w:r>
      <w:r w:rsidRPr="00CD59CC">
        <w:rPr>
          <w:rFonts w:ascii="Arial" w:hAnsi="Arial" w:cs="Arial"/>
          <w:sz w:val="24"/>
          <w:szCs w:val="24"/>
          <w:lang w:val="en-GB"/>
        </w:rPr>
        <w:t>ensure</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reasonably</w:t>
      </w:r>
      <w:r w:rsidR="007B7640" w:rsidRPr="00CD59CC">
        <w:rPr>
          <w:rFonts w:ascii="Arial" w:hAnsi="Arial" w:cs="Arial"/>
          <w:sz w:val="24"/>
          <w:szCs w:val="24"/>
          <w:lang w:val="en-GB"/>
        </w:rPr>
        <w:t xml:space="preserve"> </w:t>
      </w:r>
      <w:r w:rsidRPr="00CD59CC">
        <w:rPr>
          <w:rFonts w:ascii="Arial" w:hAnsi="Arial" w:cs="Arial"/>
          <w:sz w:val="24"/>
          <w:szCs w:val="24"/>
          <w:lang w:val="en-GB"/>
        </w:rPr>
        <w:t>expectable</w:t>
      </w:r>
      <w:r w:rsidR="007B7640" w:rsidRPr="00CD59CC">
        <w:rPr>
          <w:rFonts w:ascii="Arial" w:hAnsi="Arial" w:cs="Arial"/>
          <w:sz w:val="24"/>
          <w:szCs w:val="24"/>
          <w:lang w:val="en-GB"/>
        </w:rPr>
        <w:t xml:space="preserve"> </w:t>
      </w:r>
      <w:r w:rsidRPr="00CD59CC">
        <w:rPr>
          <w:rFonts w:ascii="Arial" w:hAnsi="Arial" w:cs="Arial"/>
          <w:sz w:val="24"/>
          <w:szCs w:val="24"/>
          <w:lang w:val="en-GB"/>
        </w:rPr>
        <w:t>opportunity</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prepare</w:t>
      </w:r>
      <w:r w:rsidR="007B7640" w:rsidRPr="00CD59CC">
        <w:rPr>
          <w:rFonts w:ascii="Arial" w:hAnsi="Arial" w:cs="Arial"/>
          <w:sz w:val="24"/>
          <w:szCs w:val="24"/>
          <w:lang w:val="en-GB"/>
        </w:rPr>
        <w:t xml:space="preserve"> </w:t>
      </w:r>
      <w:r w:rsidRPr="00CD59CC">
        <w:rPr>
          <w:rFonts w:ascii="Arial" w:hAnsi="Arial" w:cs="Arial"/>
          <w:sz w:val="24"/>
          <w:szCs w:val="24"/>
          <w:lang w:val="en-GB"/>
        </w:rPr>
        <w:t>for</w:t>
      </w:r>
      <w:r w:rsidR="007B7640" w:rsidRPr="00CD59CC">
        <w:rPr>
          <w:rFonts w:ascii="Arial" w:hAnsi="Arial" w:cs="Arial"/>
          <w:sz w:val="24"/>
          <w:szCs w:val="24"/>
          <w:lang w:val="en-GB"/>
        </w:rPr>
        <w:t xml:space="preserve"> </w:t>
      </w:r>
      <w:r w:rsidRPr="00CD59CC">
        <w:rPr>
          <w:rFonts w:ascii="Arial" w:hAnsi="Arial" w:cs="Arial"/>
          <w:sz w:val="24"/>
          <w:szCs w:val="24"/>
          <w:lang w:val="en-GB"/>
        </w:rPr>
        <w:t>state</w:t>
      </w:r>
      <w:r w:rsidR="007B7640" w:rsidRPr="00CD59CC">
        <w:rPr>
          <w:rFonts w:ascii="Arial" w:hAnsi="Arial" w:cs="Arial"/>
          <w:sz w:val="24"/>
          <w:szCs w:val="24"/>
          <w:lang w:val="en-GB"/>
        </w:rPr>
        <w:t xml:space="preserve"> </w:t>
      </w:r>
      <w:r w:rsidRPr="00CD59CC">
        <w:rPr>
          <w:rFonts w:ascii="Arial" w:hAnsi="Arial" w:cs="Arial"/>
          <w:sz w:val="24"/>
          <w:szCs w:val="24"/>
          <w:lang w:val="en-GB"/>
        </w:rPr>
        <w:t>exams.</w:t>
      </w:r>
      <w:r w:rsidR="007B7640" w:rsidRPr="00CD59CC">
        <w:rPr>
          <w:rFonts w:ascii="Arial" w:hAnsi="Arial" w:cs="Arial"/>
          <w:sz w:val="24"/>
          <w:szCs w:val="24"/>
          <w:lang w:val="en-GB"/>
        </w:rPr>
        <w:t xml:space="preserve"> </w:t>
      </w:r>
    </w:p>
    <w:p w14:paraId="23C89173" w14:textId="77777777" w:rsidR="007F2EEE" w:rsidRPr="00CD59CC" w:rsidRDefault="007F2EEE" w:rsidP="00CD59CC">
      <w:pPr>
        <w:pStyle w:val="Fszveg"/>
        <w:spacing w:line="240" w:lineRule="auto"/>
        <w:jc w:val="left"/>
        <w:rPr>
          <w:rFonts w:ascii="Arial" w:hAnsi="Arial" w:cs="Arial"/>
          <w:sz w:val="24"/>
          <w:szCs w:val="24"/>
          <w:lang w:val="en-GB"/>
        </w:rPr>
      </w:pPr>
    </w:p>
    <w:p w14:paraId="6080BB1F" w14:textId="77777777" w:rsidR="007F2EEE" w:rsidRPr="00CD59CC" w:rsidRDefault="007F2EEE" w:rsidP="00CD59CC">
      <w:pPr>
        <w:pStyle w:val="Fszveg"/>
        <w:spacing w:line="240" w:lineRule="auto"/>
        <w:jc w:val="left"/>
        <w:rPr>
          <w:rFonts w:ascii="Arial" w:hAnsi="Arial" w:cs="Arial"/>
          <w:sz w:val="24"/>
          <w:szCs w:val="24"/>
          <w:lang w:val="en-GB"/>
        </w:rPr>
      </w:pPr>
      <w:r w:rsidRPr="00CD59CC">
        <w:rPr>
          <w:rFonts w:ascii="Arial" w:hAnsi="Arial" w:cs="Arial"/>
          <w:sz w:val="24"/>
          <w:szCs w:val="24"/>
          <w:lang w:val="en-GB"/>
        </w:rPr>
        <w:t>Paragraph</w:t>
      </w:r>
      <w:r w:rsidR="007B7640" w:rsidRPr="00CD59CC">
        <w:rPr>
          <w:rFonts w:ascii="Arial" w:hAnsi="Arial" w:cs="Arial"/>
          <w:sz w:val="24"/>
          <w:szCs w:val="24"/>
          <w:lang w:val="en-GB"/>
        </w:rPr>
        <w:t xml:space="preserve"> </w:t>
      </w:r>
      <w:r w:rsidRPr="00CD59CC">
        <w:rPr>
          <w:rFonts w:ascii="Arial" w:hAnsi="Arial" w:cs="Arial"/>
          <w:sz w:val="24"/>
          <w:szCs w:val="24"/>
          <w:lang w:val="en-GB"/>
        </w:rPr>
        <w:t>(4)</w:t>
      </w:r>
      <w:r w:rsidR="007B7640" w:rsidRPr="00CD59CC">
        <w:rPr>
          <w:rFonts w:ascii="Arial" w:hAnsi="Arial" w:cs="Arial"/>
          <w:sz w:val="24"/>
          <w:szCs w:val="24"/>
          <w:lang w:val="en-GB"/>
        </w:rPr>
        <w:t xml:space="preserve"> </w:t>
      </w:r>
      <w:r w:rsidRPr="00CD59CC">
        <w:rPr>
          <w:rFonts w:ascii="Arial" w:hAnsi="Arial" w:cs="Arial"/>
          <w:sz w:val="24"/>
          <w:szCs w:val="24"/>
          <w:lang w:val="en-GB"/>
        </w:rPr>
        <w:t>declares</w:t>
      </w:r>
      <w:r w:rsidR="007B7640" w:rsidRPr="00CD59CC">
        <w:rPr>
          <w:rFonts w:ascii="Arial" w:hAnsi="Arial" w:cs="Arial"/>
          <w:sz w:val="24"/>
          <w:szCs w:val="24"/>
          <w:lang w:val="en-GB"/>
        </w:rPr>
        <w:t xml:space="preserve"> </w:t>
      </w:r>
      <w:r w:rsidRPr="00CD59CC">
        <w:rPr>
          <w:rFonts w:ascii="Arial" w:hAnsi="Arial" w:cs="Arial"/>
          <w:sz w:val="24"/>
          <w:szCs w:val="24"/>
          <w:lang w:val="en-GB"/>
        </w:rPr>
        <w:t>that</w:t>
      </w:r>
      <w:r w:rsidR="007B7640" w:rsidRPr="00CD59CC">
        <w:rPr>
          <w:rFonts w:ascii="Arial" w:hAnsi="Arial" w:cs="Arial"/>
          <w:sz w:val="24"/>
          <w:szCs w:val="24"/>
          <w:lang w:val="en-GB"/>
        </w:rPr>
        <w:t xml:space="preserve"> </w:t>
      </w:r>
      <w:r w:rsidRPr="00CD59CC">
        <w:rPr>
          <w:rFonts w:ascii="Arial" w:hAnsi="Arial" w:cs="Arial"/>
          <w:sz w:val="24"/>
          <w:szCs w:val="24"/>
          <w:lang w:val="en-GB"/>
        </w:rPr>
        <w:t>educational</w:t>
      </w:r>
      <w:r w:rsidR="007B7640" w:rsidRPr="00CD59CC">
        <w:rPr>
          <w:rFonts w:ascii="Arial" w:hAnsi="Arial" w:cs="Arial"/>
          <w:sz w:val="24"/>
          <w:szCs w:val="24"/>
          <w:lang w:val="en-GB"/>
        </w:rPr>
        <w:t xml:space="preserve"> </w:t>
      </w:r>
      <w:r w:rsidRPr="00CD59CC">
        <w:rPr>
          <w:rFonts w:ascii="Arial" w:hAnsi="Arial" w:cs="Arial"/>
          <w:sz w:val="24"/>
          <w:szCs w:val="24"/>
          <w:lang w:val="en-GB"/>
        </w:rPr>
        <w:t>institutions</w:t>
      </w:r>
      <w:r w:rsidR="007B7640" w:rsidRPr="00CD59CC">
        <w:rPr>
          <w:rFonts w:ascii="Arial" w:hAnsi="Arial" w:cs="Arial"/>
          <w:sz w:val="24"/>
          <w:szCs w:val="24"/>
          <w:lang w:val="en-GB"/>
        </w:rPr>
        <w:t xml:space="preserve"> </w:t>
      </w:r>
      <w:r w:rsidRPr="00CD59CC">
        <w:rPr>
          <w:rFonts w:ascii="Arial" w:hAnsi="Arial" w:cs="Arial"/>
          <w:sz w:val="24"/>
          <w:szCs w:val="24"/>
          <w:lang w:val="en-GB"/>
        </w:rPr>
        <w:t>shall</w:t>
      </w:r>
      <w:r w:rsidR="007B7640" w:rsidRPr="00CD59CC">
        <w:rPr>
          <w:rFonts w:ascii="Arial" w:hAnsi="Arial" w:cs="Arial"/>
          <w:sz w:val="24"/>
          <w:szCs w:val="24"/>
          <w:lang w:val="en-GB"/>
        </w:rPr>
        <w:t xml:space="preserve"> </w:t>
      </w:r>
      <w:r w:rsidRPr="00CD59CC">
        <w:rPr>
          <w:rFonts w:ascii="Arial" w:hAnsi="Arial" w:cs="Arial"/>
          <w:sz w:val="24"/>
          <w:szCs w:val="24"/>
          <w:lang w:val="en-GB"/>
        </w:rPr>
        <w:t>not</w:t>
      </w:r>
      <w:r w:rsidR="007B7640" w:rsidRPr="00CD59CC">
        <w:rPr>
          <w:rFonts w:ascii="Arial" w:hAnsi="Arial" w:cs="Arial"/>
          <w:sz w:val="24"/>
          <w:szCs w:val="24"/>
          <w:lang w:val="en-GB"/>
        </w:rPr>
        <w:t xml:space="preserve"> </w:t>
      </w:r>
      <w:r w:rsidRPr="00CD59CC">
        <w:rPr>
          <w:rFonts w:ascii="Arial" w:hAnsi="Arial" w:cs="Arial"/>
          <w:sz w:val="24"/>
          <w:szCs w:val="24"/>
          <w:lang w:val="en-GB"/>
        </w:rPr>
        <w:t>have</w:t>
      </w:r>
      <w:r w:rsidR="007B7640" w:rsidRPr="00CD59CC">
        <w:rPr>
          <w:rFonts w:ascii="Arial" w:hAnsi="Arial" w:cs="Arial"/>
          <w:sz w:val="24"/>
          <w:szCs w:val="24"/>
          <w:lang w:val="en-GB"/>
        </w:rPr>
        <w:t xml:space="preserve"> </w:t>
      </w:r>
      <w:r w:rsidRPr="00CD59CC">
        <w:rPr>
          <w:rFonts w:ascii="Arial" w:hAnsi="Arial" w:cs="Arial"/>
          <w:sz w:val="24"/>
          <w:szCs w:val="24"/>
          <w:lang w:val="en-GB"/>
        </w:rPr>
        <w:t>groups</w:t>
      </w:r>
      <w:r w:rsidR="007B7640" w:rsidRPr="00CD59CC">
        <w:rPr>
          <w:rFonts w:ascii="Arial" w:hAnsi="Arial" w:cs="Arial"/>
          <w:sz w:val="24"/>
          <w:szCs w:val="24"/>
          <w:lang w:val="en-GB"/>
        </w:rPr>
        <w:t xml:space="preserve"> </w:t>
      </w:r>
      <w:r w:rsidRPr="00CD59CC">
        <w:rPr>
          <w:rFonts w:ascii="Arial" w:hAnsi="Arial" w:cs="Arial"/>
          <w:sz w:val="24"/>
          <w:szCs w:val="24"/>
          <w:lang w:val="en-GB"/>
        </w:rPr>
        <w:t>pursuing</w:t>
      </w:r>
      <w:r w:rsidR="007B7640" w:rsidRPr="00CD59CC">
        <w:rPr>
          <w:rFonts w:ascii="Arial" w:hAnsi="Arial" w:cs="Arial"/>
          <w:sz w:val="24"/>
          <w:szCs w:val="24"/>
          <w:lang w:val="en-GB"/>
        </w:rPr>
        <w:t xml:space="preserve"> </w:t>
      </w:r>
      <w:r w:rsidRPr="00CD59CC">
        <w:rPr>
          <w:rFonts w:ascii="Arial" w:hAnsi="Arial" w:cs="Arial"/>
          <w:sz w:val="24"/>
          <w:szCs w:val="24"/>
          <w:lang w:val="en-GB"/>
        </w:rPr>
        <w:t>extracurricular</w:t>
      </w:r>
      <w:r w:rsidR="007B7640" w:rsidRPr="00CD59CC">
        <w:rPr>
          <w:rFonts w:ascii="Arial" w:hAnsi="Arial" w:cs="Arial"/>
          <w:sz w:val="24"/>
          <w:szCs w:val="24"/>
          <w:lang w:val="en-GB"/>
        </w:rPr>
        <w:t xml:space="preserve"> </w:t>
      </w:r>
      <w:r w:rsidRPr="00CD59CC">
        <w:rPr>
          <w:rFonts w:ascii="Arial" w:hAnsi="Arial" w:cs="Arial"/>
          <w:sz w:val="24"/>
          <w:szCs w:val="24"/>
          <w:lang w:val="en-GB"/>
        </w:rPr>
        <w:t>activities,</w:t>
      </w:r>
      <w:r w:rsidR="007B7640" w:rsidRPr="00CD59CC">
        <w:rPr>
          <w:rFonts w:ascii="Arial" w:hAnsi="Arial" w:cs="Arial"/>
          <w:sz w:val="24"/>
          <w:szCs w:val="24"/>
          <w:lang w:val="en-GB"/>
        </w:rPr>
        <w:t xml:space="preserve"> </w:t>
      </w:r>
      <w:r w:rsidRPr="00CD59CC">
        <w:rPr>
          <w:rFonts w:ascii="Arial" w:hAnsi="Arial" w:cs="Arial"/>
          <w:sz w:val="24"/>
          <w:szCs w:val="24"/>
          <w:lang w:val="en-GB"/>
        </w:rPr>
        <w:t>pupil</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student</w:t>
      </w:r>
      <w:r w:rsidR="007B7640" w:rsidRPr="00CD59CC">
        <w:rPr>
          <w:rFonts w:ascii="Arial" w:hAnsi="Arial" w:cs="Arial"/>
          <w:sz w:val="24"/>
          <w:szCs w:val="24"/>
          <w:lang w:val="en-GB"/>
        </w:rPr>
        <w:t xml:space="preserve"> </w:t>
      </w:r>
      <w:r w:rsidRPr="00CD59CC">
        <w:rPr>
          <w:rFonts w:ascii="Arial" w:hAnsi="Arial" w:cs="Arial"/>
          <w:sz w:val="24"/>
          <w:szCs w:val="24"/>
          <w:lang w:val="en-GB"/>
        </w:rPr>
        <w:t>societies</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other</w:t>
      </w:r>
      <w:r w:rsidR="007B7640" w:rsidRPr="00CD59CC">
        <w:rPr>
          <w:rFonts w:ascii="Arial" w:hAnsi="Arial" w:cs="Arial"/>
          <w:sz w:val="24"/>
          <w:szCs w:val="24"/>
          <w:lang w:val="en-GB"/>
        </w:rPr>
        <w:t xml:space="preserve"> </w:t>
      </w:r>
      <w:r w:rsidRPr="00CD59CC">
        <w:rPr>
          <w:rFonts w:ascii="Arial" w:hAnsi="Arial" w:cs="Arial"/>
          <w:sz w:val="24"/>
          <w:szCs w:val="24"/>
          <w:lang w:val="en-GB"/>
        </w:rPr>
        <w:t>organisations</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pupils,</w:t>
      </w:r>
      <w:r w:rsidR="007B7640" w:rsidRPr="00CD59CC">
        <w:rPr>
          <w:rFonts w:ascii="Arial" w:hAnsi="Arial" w:cs="Arial"/>
          <w:sz w:val="24"/>
          <w:szCs w:val="24"/>
          <w:lang w:val="en-GB"/>
        </w:rPr>
        <w:t xml:space="preserve"> </w:t>
      </w:r>
      <w:r w:rsidRPr="00CD59CC">
        <w:rPr>
          <w:rFonts w:ascii="Arial" w:hAnsi="Arial" w:cs="Arial"/>
          <w:sz w:val="24"/>
          <w:szCs w:val="24"/>
          <w:lang w:val="en-GB"/>
        </w:rPr>
        <w:t>students</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parents</w:t>
      </w:r>
      <w:r w:rsidR="007B7640" w:rsidRPr="00CD59CC">
        <w:rPr>
          <w:rFonts w:ascii="Arial" w:hAnsi="Arial" w:cs="Arial"/>
          <w:sz w:val="24"/>
          <w:szCs w:val="24"/>
          <w:lang w:val="en-GB"/>
        </w:rPr>
        <w:t xml:space="preserve"> </w:t>
      </w:r>
      <w:r w:rsidRPr="00CD59CC">
        <w:rPr>
          <w:rFonts w:ascii="Arial" w:hAnsi="Arial" w:cs="Arial"/>
          <w:sz w:val="24"/>
          <w:szCs w:val="24"/>
          <w:lang w:val="en-GB"/>
        </w:rPr>
        <w:t>whose</w:t>
      </w:r>
      <w:r w:rsidR="007B7640" w:rsidRPr="00CD59CC">
        <w:rPr>
          <w:rFonts w:ascii="Arial" w:hAnsi="Arial" w:cs="Arial"/>
          <w:sz w:val="24"/>
          <w:szCs w:val="24"/>
          <w:lang w:val="en-GB"/>
        </w:rPr>
        <w:t xml:space="preserve"> </w:t>
      </w:r>
      <w:r w:rsidRPr="00CD59CC">
        <w:rPr>
          <w:rFonts w:ascii="Arial" w:hAnsi="Arial" w:cs="Arial"/>
          <w:sz w:val="24"/>
          <w:szCs w:val="24"/>
          <w:lang w:val="en-GB"/>
        </w:rPr>
        <w:t>objective</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discredit,</w:t>
      </w:r>
      <w:r w:rsidR="007B7640" w:rsidRPr="00CD59CC">
        <w:rPr>
          <w:rFonts w:ascii="Arial" w:hAnsi="Arial" w:cs="Arial"/>
          <w:sz w:val="24"/>
          <w:szCs w:val="24"/>
          <w:lang w:val="en-GB"/>
        </w:rPr>
        <w:t xml:space="preserve"> </w:t>
      </w:r>
      <w:r w:rsidRPr="00CD59CC">
        <w:rPr>
          <w:rFonts w:ascii="Arial" w:hAnsi="Arial" w:cs="Arial"/>
          <w:sz w:val="24"/>
          <w:szCs w:val="24"/>
          <w:lang w:val="en-GB"/>
        </w:rPr>
        <w:t>stigmatise</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exclude</w:t>
      </w:r>
      <w:r w:rsidR="007B7640" w:rsidRPr="00CD59CC">
        <w:rPr>
          <w:rFonts w:ascii="Arial" w:hAnsi="Arial" w:cs="Arial"/>
          <w:sz w:val="24"/>
          <w:szCs w:val="24"/>
          <w:lang w:val="en-GB"/>
        </w:rPr>
        <w:t xml:space="preserve"> </w:t>
      </w:r>
      <w:r w:rsidRPr="00CD59CC">
        <w:rPr>
          <w:rFonts w:ascii="Arial" w:hAnsi="Arial" w:cs="Arial"/>
          <w:sz w:val="24"/>
          <w:szCs w:val="24"/>
          <w:lang w:val="en-GB"/>
        </w:rPr>
        <w:t>individuals</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groups.</w:t>
      </w:r>
      <w:r w:rsidR="007B7640" w:rsidRPr="00CD59CC">
        <w:rPr>
          <w:rFonts w:ascii="Arial" w:hAnsi="Arial" w:cs="Arial"/>
          <w:sz w:val="24"/>
          <w:szCs w:val="24"/>
          <w:lang w:val="en-GB"/>
        </w:rPr>
        <w:t xml:space="preserve"> </w:t>
      </w:r>
    </w:p>
    <w:p w14:paraId="45978601" w14:textId="77777777" w:rsidR="007F2EEE" w:rsidRPr="00CD59CC" w:rsidRDefault="007F2EEE" w:rsidP="00CD59CC">
      <w:pPr>
        <w:pStyle w:val="Fszveg"/>
        <w:spacing w:line="240" w:lineRule="auto"/>
        <w:jc w:val="left"/>
        <w:rPr>
          <w:rFonts w:ascii="Arial" w:hAnsi="Arial" w:cs="Arial"/>
          <w:sz w:val="24"/>
          <w:szCs w:val="24"/>
          <w:lang w:val="en-GB"/>
        </w:rPr>
      </w:pPr>
    </w:p>
    <w:p w14:paraId="60FCA3DC" w14:textId="77777777" w:rsidR="007F2EEE" w:rsidRPr="00CD59CC" w:rsidRDefault="007F2EEE" w:rsidP="00CD59CC">
      <w:pPr>
        <w:pStyle w:val="Fszveg"/>
        <w:spacing w:line="240" w:lineRule="auto"/>
        <w:jc w:val="left"/>
        <w:rPr>
          <w:rFonts w:ascii="Arial" w:hAnsi="Arial" w:cs="Arial"/>
          <w:sz w:val="24"/>
          <w:szCs w:val="24"/>
          <w:lang w:val="en-GB"/>
        </w:rPr>
      </w:pPr>
      <w:r w:rsidRPr="00CD59CC">
        <w:rPr>
          <w:rFonts w:ascii="Arial" w:hAnsi="Arial" w:cs="Arial"/>
          <w:sz w:val="24"/>
          <w:szCs w:val="24"/>
          <w:lang w:val="en-GB"/>
        </w:rPr>
        <w:t>Pursuant</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Article</w:t>
      </w:r>
      <w:r w:rsidR="007B7640" w:rsidRPr="00CD59CC">
        <w:rPr>
          <w:rFonts w:ascii="Arial" w:hAnsi="Arial" w:cs="Arial"/>
          <w:sz w:val="24"/>
          <w:szCs w:val="24"/>
          <w:lang w:val="en-GB"/>
        </w:rPr>
        <w:t xml:space="preserve"> </w:t>
      </w:r>
      <w:r w:rsidRPr="00CD59CC">
        <w:rPr>
          <w:rFonts w:ascii="Arial" w:hAnsi="Arial" w:cs="Arial"/>
          <w:sz w:val="24"/>
          <w:szCs w:val="24"/>
          <w:lang w:val="en-GB"/>
        </w:rPr>
        <w:t>28</w:t>
      </w:r>
      <w:r w:rsidR="007B7640" w:rsidRPr="00CD59CC">
        <w:rPr>
          <w:rFonts w:ascii="Arial" w:hAnsi="Arial" w:cs="Arial"/>
          <w:sz w:val="24"/>
          <w:szCs w:val="24"/>
          <w:lang w:val="en-GB"/>
        </w:rPr>
        <w:t xml:space="preserve"> </w:t>
      </w:r>
      <w:r w:rsidRPr="00CD59CC">
        <w:rPr>
          <w:rFonts w:ascii="Arial" w:hAnsi="Arial" w:cs="Arial"/>
          <w:sz w:val="24"/>
          <w:szCs w:val="24"/>
          <w:lang w:val="en-GB"/>
        </w:rPr>
        <w:t>Paragraph</w:t>
      </w:r>
      <w:r w:rsidR="007B7640" w:rsidRPr="00CD59CC">
        <w:rPr>
          <w:rFonts w:ascii="Arial" w:hAnsi="Arial" w:cs="Arial"/>
          <w:sz w:val="24"/>
          <w:szCs w:val="24"/>
          <w:lang w:val="en-GB"/>
        </w:rPr>
        <w:t xml:space="preserve"> </w:t>
      </w:r>
      <w:r w:rsidRPr="00CD59CC">
        <w:rPr>
          <w:rFonts w:ascii="Arial" w:hAnsi="Arial" w:cs="Arial"/>
          <w:sz w:val="24"/>
          <w:szCs w:val="24"/>
          <w:lang w:val="en-GB"/>
        </w:rPr>
        <w:t>(1)</w:t>
      </w:r>
      <w:r w:rsidR="007B7640" w:rsidRPr="00CD59CC">
        <w:rPr>
          <w:rFonts w:ascii="Arial" w:hAnsi="Arial" w:cs="Arial"/>
          <w:sz w:val="24"/>
          <w:szCs w:val="24"/>
          <w:lang w:val="en-GB"/>
        </w:rPr>
        <w:t xml:space="preserve"> </w:t>
      </w:r>
      <w:r w:rsidRPr="00CD59CC">
        <w:rPr>
          <w:rFonts w:ascii="Arial" w:hAnsi="Arial" w:cs="Arial"/>
          <w:sz w:val="24"/>
          <w:szCs w:val="24"/>
          <w:lang w:val="en-GB"/>
        </w:rPr>
        <w:t>if</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only</w:t>
      </w:r>
      <w:r w:rsidR="007B7640" w:rsidRPr="00CD59CC">
        <w:rPr>
          <w:rFonts w:ascii="Arial" w:hAnsi="Arial" w:cs="Arial"/>
          <w:sz w:val="24"/>
          <w:szCs w:val="24"/>
          <w:lang w:val="en-GB"/>
        </w:rPr>
        <w:t xml:space="preserve"> </w:t>
      </w:r>
      <w:r w:rsidRPr="00CD59CC">
        <w:rPr>
          <w:rFonts w:ascii="Arial" w:hAnsi="Arial" w:cs="Arial"/>
          <w:sz w:val="24"/>
          <w:szCs w:val="24"/>
          <w:lang w:val="en-GB"/>
        </w:rPr>
        <w:t>organised</w:t>
      </w:r>
      <w:r w:rsidR="007B7640" w:rsidRPr="00CD59CC">
        <w:rPr>
          <w:rFonts w:ascii="Arial" w:hAnsi="Arial" w:cs="Arial"/>
          <w:sz w:val="24"/>
          <w:szCs w:val="24"/>
          <w:lang w:val="en-GB"/>
        </w:rPr>
        <w:t xml:space="preserve"> </w:t>
      </w:r>
      <w:r w:rsidRPr="00CD59CC">
        <w:rPr>
          <w:rFonts w:ascii="Arial" w:hAnsi="Arial" w:cs="Arial"/>
          <w:sz w:val="24"/>
          <w:szCs w:val="24"/>
          <w:lang w:val="en-GB"/>
        </w:rPr>
        <w:t>for</w:t>
      </w:r>
      <w:r w:rsidR="007B7640" w:rsidRPr="00CD59CC">
        <w:rPr>
          <w:rFonts w:ascii="Arial" w:hAnsi="Arial" w:cs="Arial"/>
          <w:sz w:val="24"/>
          <w:szCs w:val="24"/>
          <w:lang w:val="en-GB"/>
        </w:rPr>
        <w:t xml:space="preserve"> </w:t>
      </w:r>
      <w:r w:rsidRPr="00CD59CC">
        <w:rPr>
          <w:rFonts w:ascii="Arial" w:hAnsi="Arial" w:cs="Arial"/>
          <w:sz w:val="24"/>
          <w:szCs w:val="24"/>
          <w:lang w:val="en-GB"/>
        </w:rPr>
        <w:t>students</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one</w:t>
      </w:r>
      <w:r w:rsidR="007B7640" w:rsidRPr="00CD59CC">
        <w:rPr>
          <w:rFonts w:ascii="Arial" w:hAnsi="Arial" w:cs="Arial"/>
          <w:sz w:val="24"/>
          <w:szCs w:val="24"/>
          <w:lang w:val="en-GB"/>
        </w:rPr>
        <w:t xml:space="preserve"> </w:t>
      </w:r>
      <w:r w:rsidRPr="00CD59CC">
        <w:rPr>
          <w:rFonts w:ascii="Arial" w:hAnsi="Arial" w:cs="Arial"/>
          <w:sz w:val="24"/>
          <w:szCs w:val="24"/>
          <w:lang w:val="en-GB"/>
        </w:rPr>
        <w:t>sex,</w:t>
      </w:r>
      <w:r w:rsidR="007B7640" w:rsidRPr="00CD59CC">
        <w:rPr>
          <w:rFonts w:ascii="Arial" w:hAnsi="Arial" w:cs="Arial"/>
          <w:sz w:val="24"/>
          <w:szCs w:val="24"/>
          <w:lang w:val="en-GB"/>
        </w:rPr>
        <w:t xml:space="preserve"> </w:t>
      </w:r>
      <w:r w:rsidRPr="00CD59CC">
        <w:rPr>
          <w:rFonts w:ascii="Arial" w:hAnsi="Arial" w:cs="Arial"/>
          <w:sz w:val="24"/>
          <w:szCs w:val="24"/>
          <w:lang w:val="en-GB"/>
        </w:rPr>
        <w:t>it</w:t>
      </w:r>
      <w:r w:rsidR="007B7640" w:rsidRPr="00CD59CC">
        <w:rPr>
          <w:rFonts w:ascii="Arial" w:hAnsi="Arial" w:cs="Arial"/>
          <w:sz w:val="24"/>
          <w:szCs w:val="24"/>
          <w:lang w:val="en-GB"/>
        </w:rPr>
        <w:t xml:space="preserve"> </w:t>
      </w:r>
      <w:r w:rsidRPr="00CD59CC">
        <w:rPr>
          <w:rFonts w:ascii="Arial" w:hAnsi="Arial" w:cs="Arial"/>
          <w:sz w:val="24"/>
          <w:szCs w:val="24"/>
          <w:lang w:val="en-GB"/>
        </w:rPr>
        <w:t>does</w:t>
      </w:r>
      <w:r w:rsidR="007B7640" w:rsidRPr="00CD59CC">
        <w:rPr>
          <w:rFonts w:ascii="Arial" w:hAnsi="Arial" w:cs="Arial"/>
          <w:sz w:val="24"/>
          <w:szCs w:val="24"/>
          <w:lang w:val="en-GB"/>
        </w:rPr>
        <w:t xml:space="preserve"> </w:t>
      </w:r>
      <w:r w:rsidRPr="00CD59CC">
        <w:rPr>
          <w:rFonts w:ascii="Arial" w:hAnsi="Arial" w:cs="Arial"/>
          <w:sz w:val="24"/>
          <w:szCs w:val="24"/>
          <w:lang w:val="en-GB"/>
        </w:rPr>
        <w:t>not</w:t>
      </w:r>
      <w:r w:rsidR="007B7640" w:rsidRPr="00CD59CC">
        <w:rPr>
          <w:rFonts w:ascii="Arial" w:hAnsi="Arial" w:cs="Arial"/>
          <w:sz w:val="24"/>
          <w:szCs w:val="24"/>
          <w:lang w:val="en-GB"/>
        </w:rPr>
        <w:t xml:space="preserve"> </w:t>
      </w:r>
      <w:r w:rsidRPr="00CD59CC">
        <w:rPr>
          <w:rFonts w:ascii="Arial" w:hAnsi="Arial" w:cs="Arial"/>
          <w:sz w:val="24"/>
          <w:szCs w:val="24"/>
          <w:lang w:val="en-GB"/>
        </w:rPr>
        <w:t>violate</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principle</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equal</w:t>
      </w:r>
      <w:r w:rsidR="007B7640" w:rsidRPr="00CD59CC">
        <w:rPr>
          <w:rFonts w:ascii="Arial" w:hAnsi="Arial" w:cs="Arial"/>
          <w:sz w:val="24"/>
          <w:szCs w:val="24"/>
          <w:lang w:val="en-GB"/>
        </w:rPr>
        <w:t xml:space="preserve"> </w:t>
      </w:r>
      <w:r w:rsidRPr="00CD59CC">
        <w:rPr>
          <w:rFonts w:ascii="Arial" w:hAnsi="Arial" w:cs="Arial"/>
          <w:sz w:val="24"/>
          <w:szCs w:val="24"/>
          <w:lang w:val="en-GB"/>
        </w:rPr>
        <w:t>treatment,</w:t>
      </w:r>
      <w:r w:rsidR="007B7640" w:rsidRPr="00CD59CC">
        <w:rPr>
          <w:rFonts w:ascii="Arial" w:hAnsi="Arial" w:cs="Arial"/>
          <w:sz w:val="24"/>
          <w:szCs w:val="24"/>
          <w:lang w:val="en-GB"/>
        </w:rPr>
        <w:t xml:space="preserve"> </w:t>
      </w:r>
      <w:r w:rsidRPr="00CD59CC">
        <w:rPr>
          <w:rFonts w:ascii="Arial" w:hAnsi="Arial" w:cs="Arial"/>
          <w:sz w:val="24"/>
          <w:szCs w:val="24"/>
          <w:lang w:val="en-GB"/>
        </w:rPr>
        <w:t>provided</w:t>
      </w:r>
      <w:r w:rsidR="007B7640" w:rsidRPr="00CD59CC">
        <w:rPr>
          <w:rFonts w:ascii="Arial" w:hAnsi="Arial" w:cs="Arial"/>
          <w:sz w:val="24"/>
          <w:szCs w:val="24"/>
          <w:lang w:val="en-GB"/>
        </w:rPr>
        <w:t xml:space="preserve"> </w:t>
      </w:r>
      <w:r w:rsidRPr="00CD59CC">
        <w:rPr>
          <w:rFonts w:ascii="Arial" w:hAnsi="Arial" w:cs="Arial"/>
          <w:sz w:val="24"/>
          <w:szCs w:val="24"/>
          <w:lang w:val="en-GB"/>
        </w:rPr>
        <w:t>that</w:t>
      </w:r>
      <w:r w:rsidR="007B7640" w:rsidRPr="00CD59CC">
        <w:rPr>
          <w:rFonts w:ascii="Arial" w:hAnsi="Arial" w:cs="Arial"/>
          <w:sz w:val="24"/>
          <w:szCs w:val="24"/>
          <w:lang w:val="en-GB"/>
        </w:rPr>
        <w:t xml:space="preserve"> </w:t>
      </w:r>
      <w:r w:rsidRPr="00CD59CC">
        <w:rPr>
          <w:rFonts w:ascii="Arial" w:hAnsi="Arial" w:cs="Arial"/>
          <w:sz w:val="24"/>
          <w:szCs w:val="24"/>
          <w:lang w:val="en-GB"/>
        </w:rPr>
        <w:t>participation</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such</w:t>
      </w:r>
      <w:r w:rsidR="007B7640" w:rsidRPr="00CD59CC">
        <w:rPr>
          <w:rFonts w:ascii="Arial" w:hAnsi="Arial" w:cs="Arial"/>
          <w:sz w:val="24"/>
          <w:szCs w:val="24"/>
          <w:lang w:val="en-GB"/>
        </w:rPr>
        <w:t xml:space="preserve"> </w:t>
      </w:r>
      <w:r w:rsidRPr="00CD59CC">
        <w:rPr>
          <w:rFonts w:ascii="Arial" w:hAnsi="Arial" w:cs="Arial"/>
          <w:sz w:val="24"/>
          <w:szCs w:val="24"/>
          <w:lang w:val="en-GB"/>
        </w:rPr>
        <w:t>an</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voluntary,</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will</w:t>
      </w:r>
      <w:r w:rsidR="007B7640" w:rsidRPr="00CD59CC">
        <w:rPr>
          <w:rFonts w:ascii="Arial" w:hAnsi="Arial" w:cs="Arial"/>
          <w:sz w:val="24"/>
          <w:szCs w:val="24"/>
          <w:lang w:val="en-GB"/>
        </w:rPr>
        <w:t xml:space="preserve"> </w:t>
      </w:r>
      <w:r w:rsidRPr="00CD59CC">
        <w:rPr>
          <w:rFonts w:ascii="Arial" w:hAnsi="Arial" w:cs="Arial"/>
          <w:sz w:val="24"/>
          <w:szCs w:val="24"/>
          <w:lang w:val="en-GB"/>
        </w:rPr>
        <w:t>not</w:t>
      </w:r>
      <w:r w:rsidR="007B7640" w:rsidRPr="00CD59CC">
        <w:rPr>
          <w:rFonts w:ascii="Arial" w:hAnsi="Arial" w:cs="Arial"/>
          <w:sz w:val="24"/>
          <w:szCs w:val="24"/>
          <w:lang w:val="en-GB"/>
        </w:rPr>
        <w:t xml:space="preserve"> </w:t>
      </w:r>
      <w:r w:rsidRPr="00CD59CC">
        <w:rPr>
          <w:rFonts w:ascii="Arial" w:hAnsi="Arial" w:cs="Arial"/>
          <w:sz w:val="24"/>
          <w:szCs w:val="24"/>
          <w:lang w:val="en-GB"/>
        </w:rPr>
        <w:t>result</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any</w:t>
      </w:r>
      <w:r w:rsidR="007B7640" w:rsidRPr="00CD59CC">
        <w:rPr>
          <w:rFonts w:ascii="Arial" w:hAnsi="Arial" w:cs="Arial"/>
          <w:sz w:val="24"/>
          <w:szCs w:val="24"/>
          <w:lang w:val="en-GB"/>
        </w:rPr>
        <w:t xml:space="preserve"> </w:t>
      </w:r>
      <w:r w:rsidRPr="00CD59CC">
        <w:rPr>
          <w:rFonts w:ascii="Arial" w:hAnsi="Arial" w:cs="Arial"/>
          <w:sz w:val="24"/>
          <w:szCs w:val="24"/>
          <w:lang w:val="en-GB"/>
        </w:rPr>
        <w:t>disadvantages</w:t>
      </w:r>
      <w:r w:rsidR="007B7640" w:rsidRPr="00CD59CC">
        <w:rPr>
          <w:rFonts w:ascii="Arial" w:hAnsi="Arial" w:cs="Arial"/>
          <w:sz w:val="24"/>
          <w:szCs w:val="24"/>
          <w:lang w:val="en-GB"/>
        </w:rPr>
        <w:t xml:space="preserve"> </w:t>
      </w:r>
      <w:r w:rsidRPr="00CD59CC">
        <w:rPr>
          <w:rFonts w:ascii="Arial" w:hAnsi="Arial" w:cs="Arial"/>
          <w:sz w:val="24"/>
          <w:szCs w:val="24"/>
          <w:lang w:val="en-GB"/>
        </w:rPr>
        <w:t>for</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participants.</w:t>
      </w:r>
      <w:r w:rsidR="007B7640" w:rsidRPr="00CD59CC">
        <w:rPr>
          <w:rFonts w:ascii="Arial" w:hAnsi="Arial" w:cs="Arial"/>
          <w:sz w:val="24"/>
          <w:szCs w:val="24"/>
          <w:lang w:val="en-GB"/>
        </w:rPr>
        <w:t xml:space="preserve"> </w:t>
      </w:r>
      <w:r w:rsidRPr="00CD59CC">
        <w:rPr>
          <w:rFonts w:ascii="Arial" w:hAnsi="Arial" w:cs="Arial"/>
          <w:sz w:val="24"/>
          <w:szCs w:val="24"/>
          <w:lang w:val="en-GB"/>
        </w:rPr>
        <w:t>Similarly</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voluntary</w:t>
      </w:r>
      <w:r w:rsidR="007B7640" w:rsidRPr="00CD59CC">
        <w:rPr>
          <w:rFonts w:ascii="Arial" w:hAnsi="Arial" w:cs="Arial"/>
          <w:sz w:val="24"/>
          <w:szCs w:val="24"/>
          <w:lang w:val="en-GB"/>
        </w:rPr>
        <w:t xml:space="preserve"> </w:t>
      </w:r>
      <w:r w:rsidRPr="00CD59CC">
        <w:rPr>
          <w:rFonts w:ascii="Arial" w:hAnsi="Arial" w:cs="Arial"/>
          <w:sz w:val="24"/>
          <w:szCs w:val="24"/>
          <w:lang w:val="en-GB"/>
        </w:rPr>
        <w:t>single</w:t>
      </w:r>
      <w:r w:rsidR="007B7640" w:rsidRPr="00CD59CC">
        <w:rPr>
          <w:rFonts w:ascii="Arial" w:hAnsi="Arial" w:cs="Arial"/>
          <w:sz w:val="24"/>
          <w:szCs w:val="24"/>
          <w:lang w:val="en-GB"/>
        </w:rPr>
        <w:t xml:space="preserve"> </w:t>
      </w:r>
      <w:r w:rsidRPr="00CD59CC">
        <w:rPr>
          <w:rFonts w:ascii="Arial" w:hAnsi="Arial" w:cs="Arial"/>
          <w:sz w:val="24"/>
          <w:szCs w:val="24"/>
          <w:lang w:val="en-GB"/>
        </w:rPr>
        <w:t>sex</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under</w:t>
      </w:r>
      <w:r w:rsidR="007B7640" w:rsidRPr="00CD59CC">
        <w:rPr>
          <w:rFonts w:ascii="Arial" w:hAnsi="Arial" w:cs="Arial"/>
          <w:sz w:val="24"/>
          <w:szCs w:val="24"/>
          <w:lang w:val="en-GB"/>
        </w:rPr>
        <w:t xml:space="preserve"> </w:t>
      </w:r>
      <w:r w:rsidRPr="00CD59CC">
        <w:rPr>
          <w:rFonts w:ascii="Arial" w:hAnsi="Arial" w:cs="Arial"/>
          <w:sz w:val="24"/>
          <w:szCs w:val="24"/>
          <w:lang w:val="en-GB"/>
        </w:rPr>
        <w:t>Paragraph</w:t>
      </w:r>
      <w:r w:rsidR="007B7640" w:rsidRPr="00CD59CC">
        <w:rPr>
          <w:rFonts w:ascii="Arial" w:hAnsi="Arial" w:cs="Arial"/>
          <w:sz w:val="24"/>
          <w:szCs w:val="24"/>
          <w:lang w:val="en-GB"/>
        </w:rPr>
        <w:t xml:space="preserve"> </w:t>
      </w:r>
      <w:r w:rsidRPr="00CD59CC">
        <w:rPr>
          <w:rFonts w:ascii="Arial" w:hAnsi="Arial" w:cs="Arial"/>
          <w:sz w:val="24"/>
          <w:szCs w:val="24"/>
          <w:lang w:val="en-GB"/>
        </w:rPr>
        <w:t>(2)</w:t>
      </w:r>
      <w:r w:rsidR="007B7640" w:rsidRPr="00CD59CC">
        <w:rPr>
          <w:rFonts w:ascii="Arial" w:hAnsi="Arial" w:cs="Arial"/>
          <w:sz w:val="24"/>
          <w:szCs w:val="24"/>
          <w:lang w:val="en-GB"/>
        </w:rPr>
        <w:t xml:space="preserve"> </w:t>
      </w:r>
      <w:r w:rsidRPr="00CD59CC">
        <w:rPr>
          <w:rFonts w:ascii="Arial" w:hAnsi="Arial" w:cs="Arial"/>
          <w:sz w:val="24"/>
          <w:szCs w:val="24"/>
          <w:lang w:val="en-GB"/>
        </w:rPr>
        <w:t>voluntary</w:t>
      </w:r>
      <w:r w:rsidR="007B7640" w:rsidRPr="00CD59CC">
        <w:rPr>
          <w:rFonts w:ascii="Arial" w:hAnsi="Arial" w:cs="Arial"/>
          <w:sz w:val="24"/>
          <w:szCs w:val="24"/>
          <w:lang w:val="en-GB"/>
        </w:rPr>
        <w:t xml:space="preserve"> </w:t>
      </w:r>
      <w:r w:rsidRPr="00CD59CC">
        <w:rPr>
          <w:rFonts w:ascii="Arial" w:hAnsi="Arial" w:cs="Arial"/>
          <w:sz w:val="24"/>
          <w:szCs w:val="24"/>
          <w:lang w:val="en-GB"/>
        </w:rPr>
        <w:t>religious</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ethnic</w:t>
      </w:r>
      <w:r w:rsidR="007B7640" w:rsidRPr="00CD59CC">
        <w:rPr>
          <w:rFonts w:ascii="Arial" w:hAnsi="Arial" w:cs="Arial"/>
          <w:sz w:val="24"/>
          <w:szCs w:val="24"/>
          <w:lang w:val="en-GB"/>
        </w:rPr>
        <w:t xml:space="preserve"> </w:t>
      </w:r>
      <w:r w:rsidRPr="00CD59CC">
        <w:rPr>
          <w:rFonts w:ascii="Arial" w:hAnsi="Arial" w:cs="Arial"/>
          <w:sz w:val="24"/>
          <w:szCs w:val="24"/>
          <w:lang w:val="en-GB"/>
        </w:rPr>
        <w:t>minority</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may</w:t>
      </w:r>
      <w:r w:rsidR="007B7640" w:rsidRPr="00CD59CC">
        <w:rPr>
          <w:rFonts w:ascii="Arial" w:hAnsi="Arial" w:cs="Arial"/>
          <w:sz w:val="24"/>
          <w:szCs w:val="24"/>
          <w:lang w:val="en-GB"/>
        </w:rPr>
        <w:t xml:space="preserve"> </w:t>
      </w:r>
      <w:r w:rsidRPr="00CD59CC">
        <w:rPr>
          <w:rFonts w:ascii="Arial" w:hAnsi="Arial" w:cs="Arial"/>
          <w:sz w:val="24"/>
          <w:szCs w:val="24"/>
          <w:lang w:val="en-GB"/>
        </w:rPr>
        <w:t>be</w:t>
      </w:r>
      <w:r w:rsidR="007B7640" w:rsidRPr="00CD59CC">
        <w:rPr>
          <w:rFonts w:ascii="Arial" w:hAnsi="Arial" w:cs="Arial"/>
          <w:sz w:val="24"/>
          <w:szCs w:val="24"/>
          <w:lang w:val="en-GB"/>
        </w:rPr>
        <w:t xml:space="preserve"> </w:t>
      </w:r>
      <w:r w:rsidRPr="00CD59CC">
        <w:rPr>
          <w:rFonts w:ascii="Arial" w:hAnsi="Arial" w:cs="Arial"/>
          <w:sz w:val="24"/>
          <w:szCs w:val="24"/>
          <w:lang w:val="en-GB"/>
        </w:rPr>
        <w:t>taken</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conform</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principle</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equal</w:t>
      </w:r>
      <w:r w:rsidR="007B7640" w:rsidRPr="00CD59CC">
        <w:rPr>
          <w:rFonts w:ascii="Arial" w:hAnsi="Arial" w:cs="Arial"/>
          <w:sz w:val="24"/>
          <w:szCs w:val="24"/>
          <w:lang w:val="en-GB"/>
        </w:rPr>
        <w:t xml:space="preserve"> </w:t>
      </w:r>
      <w:r w:rsidRPr="00CD59CC">
        <w:rPr>
          <w:rFonts w:ascii="Arial" w:hAnsi="Arial" w:cs="Arial"/>
          <w:sz w:val="24"/>
          <w:szCs w:val="24"/>
          <w:lang w:val="en-GB"/>
        </w:rPr>
        <w:t>treatment</w:t>
      </w:r>
      <w:r w:rsidR="007B7640" w:rsidRPr="00CD59CC">
        <w:rPr>
          <w:rFonts w:ascii="Arial" w:hAnsi="Arial" w:cs="Arial"/>
          <w:sz w:val="24"/>
          <w:szCs w:val="24"/>
          <w:lang w:val="en-GB"/>
        </w:rPr>
        <w:t xml:space="preserve"> </w:t>
      </w:r>
      <w:r w:rsidRPr="00CD59CC">
        <w:rPr>
          <w:rFonts w:ascii="Arial" w:hAnsi="Arial" w:cs="Arial"/>
          <w:sz w:val="24"/>
          <w:szCs w:val="24"/>
          <w:lang w:val="en-GB"/>
        </w:rPr>
        <w:t>if</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elementary</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higher</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at</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initiation</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by</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voluntary</w:t>
      </w:r>
      <w:r w:rsidR="007B7640" w:rsidRPr="00CD59CC">
        <w:rPr>
          <w:rFonts w:ascii="Arial" w:hAnsi="Arial" w:cs="Arial"/>
          <w:sz w:val="24"/>
          <w:szCs w:val="24"/>
          <w:lang w:val="en-GB"/>
        </w:rPr>
        <w:t xml:space="preserve"> </w:t>
      </w:r>
      <w:r w:rsidRPr="00CD59CC">
        <w:rPr>
          <w:rFonts w:ascii="Arial" w:hAnsi="Arial" w:cs="Arial"/>
          <w:sz w:val="24"/>
          <w:szCs w:val="24"/>
          <w:lang w:val="en-GB"/>
        </w:rPr>
        <w:t>choice</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parents,</w:t>
      </w:r>
      <w:r w:rsidR="007B7640" w:rsidRPr="00CD59CC">
        <w:rPr>
          <w:rFonts w:ascii="Arial" w:hAnsi="Arial" w:cs="Arial"/>
          <w:sz w:val="24"/>
          <w:szCs w:val="24"/>
          <w:lang w:val="en-GB"/>
        </w:rPr>
        <w:t xml:space="preserve"> </w:t>
      </w:r>
      <w:r w:rsidRPr="00CD59CC">
        <w:rPr>
          <w:rFonts w:ascii="Arial" w:hAnsi="Arial" w:cs="Arial"/>
          <w:sz w:val="24"/>
          <w:szCs w:val="24"/>
          <w:lang w:val="en-GB"/>
        </w:rPr>
        <w:t>at</w:t>
      </w:r>
      <w:r w:rsidR="007B7640" w:rsidRPr="00CD59CC">
        <w:rPr>
          <w:rFonts w:ascii="Arial" w:hAnsi="Arial" w:cs="Arial"/>
          <w:sz w:val="24"/>
          <w:szCs w:val="24"/>
          <w:lang w:val="en-GB"/>
        </w:rPr>
        <w:t xml:space="preserve"> </w:t>
      </w:r>
      <w:r w:rsidRPr="00CD59CC">
        <w:rPr>
          <w:rFonts w:ascii="Arial" w:hAnsi="Arial" w:cs="Arial"/>
          <w:sz w:val="24"/>
          <w:szCs w:val="24"/>
          <w:lang w:val="en-GB"/>
        </w:rPr>
        <w:t>college</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university</w:t>
      </w:r>
      <w:r w:rsidR="007B7640" w:rsidRPr="00CD59CC">
        <w:rPr>
          <w:rFonts w:ascii="Arial" w:hAnsi="Arial" w:cs="Arial"/>
          <w:sz w:val="24"/>
          <w:szCs w:val="24"/>
          <w:lang w:val="en-GB"/>
        </w:rPr>
        <w:t xml:space="preserve"> </w:t>
      </w:r>
      <w:r w:rsidRPr="00CD59CC">
        <w:rPr>
          <w:rFonts w:ascii="Arial" w:hAnsi="Arial" w:cs="Arial"/>
          <w:sz w:val="24"/>
          <w:szCs w:val="24"/>
          <w:lang w:val="en-GB"/>
        </w:rPr>
        <w:t>by</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students’</w:t>
      </w:r>
      <w:r w:rsidR="007B7640" w:rsidRPr="00CD59CC">
        <w:rPr>
          <w:rFonts w:ascii="Arial" w:hAnsi="Arial" w:cs="Arial"/>
          <w:sz w:val="24"/>
          <w:szCs w:val="24"/>
          <w:lang w:val="en-GB"/>
        </w:rPr>
        <w:t xml:space="preserve"> </w:t>
      </w:r>
      <w:r w:rsidRPr="00CD59CC">
        <w:rPr>
          <w:rFonts w:ascii="Arial" w:hAnsi="Arial" w:cs="Arial"/>
          <w:sz w:val="24"/>
          <w:szCs w:val="24"/>
          <w:lang w:val="en-GB"/>
        </w:rPr>
        <w:t>voluntary</w:t>
      </w:r>
      <w:r w:rsidR="007B7640" w:rsidRPr="00CD59CC">
        <w:rPr>
          <w:rFonts w:ascii="Arial" w:hAnsi="Arial" w:cs="Arial"/>
          <w:sz w:val="24"/>
          <w:szCs w:val="24"/>
          <w:lang w:val="en-GB"/>
        </w:rPr>
        <w:t xml:space="preserve"> </w:t>
      </w:r>
      <w:r w:rsidRPr="00CD59CC">
        <w:rPr>
          <w:rFonts w:ascii="Arial" w:hAnsi="Arial" w:cs="Arial"/>
          <w:sz w:val="24"/>
          <w:szCs w:val="24"/>
          <w:lang w:val="en-GB"/>
        </w:rPr>
        <w:t>participation)</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based</w:t>
      </w:r>
      <w:r w:rsidR="007B7640" w:rsidRPr="00CD59CC">
        <w:rPr>
          <w:rFonts w:ascii="Arial" w:hAnsi="Arial" w:cs="Arial"/>
          <w:sz w:val="24"/>
          <w:szCs w:val="24"/>
          <w:lang w:val="en-GB"/>
        </w:rPr>
        <w:t xml:space="preserve"> </w:t>
      </w:r>
      <w:r w:rsidRPr="00CD59CC">
        <w:rPr>
          <w:rFonts w:ascii="Arial" w:hAnsi="Arial" w:cs="Arial"/>
          <w:sz w:val="24"/>
          <w:szCs w:val="24"/>
          <w:lang w:val="en-GB"/>
        </w:rPr>
        <w:t>on</w:t>
      </w:r>
      <w:r w:rsidR="007B7640" w:rsidRPr="00CD59CC">
        <w:rPr>
          <w:rFonts w:ascii="Arial" w:hAnsi="Arial" w:cs="Arial"/>
          <w:sz w:val="24"/>
          <w:szCs w:val="24"/>
          <w:lang w:val="en-GB"/>
        </w:rPr>
        <w:t xml:space="preserve"> </w:t>
      </w:r>
      <w:r w:rsidRPr="00CD59CC">
        <w:rPr>
          <w:rFonts w:ascii="Arial" w:hAnsi="Arial" w:cs="Arial"/>
          <w:sz w:val="24"/>
          <w:szCs w:val="24"/>
          <w:lang w:val="en-GB"/>
        </w:rPr>
        <w:t>religious</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other</w:t>
      </w:r>
      <w:r w:rsidR="007B7640" w:rsidRPr="00CD59CC">
        <w:rPr>
          <w:rFonts w:ascii="Arial" w:hAnsi="Arial" w:cs="Arial"/>
          <w:sz w:val="24"/>
          <w:szCs w:val="24"/>
          <w:lang w:val="en-GB"/>
        </w:rPr>
        <w:t xml:space="preserve"> </w:t>
      </w:r>
      <w:r w:rsidRPr="00CD59CC">
        <w:rPr>
          <w:rFonts w:ascii="Arial" w:hAnsi="Arial" w:cs="Arial"/>
          <w:sz w:val="24"/>
          <w:szCs w:val="24"/>
          <w:lang w:val="en-GB"/>
        </w:rPr>
        <w:t>ideological</w:t>
      </w:r>
      <w:r w:rsidR="007B7640" w:rsidRPr="00CD59CC">
        <w:rPr>
          <w:rFonts w:ascii="Arial" w:hAnsi="Arial" w:cs="Arial"/>
          <w:sz w:val="24"/>
          <w:szCs w:val="24"/>
          <w:lang w:val="en-GB"/>
        </w:rPr>
        <w:t xml:space="preserve"> </w:t>
      </w:r>
      <w:r w:rsidRPr="00CD59CC">
        <w:rPr>
          <w:rFonts w:ascii="Arial" w:hAnsi="Arial" w:cs="Arial"/>
          <w:sz w:val="24"/>
          <w:szCs w:val="24"/>
          <w:lang w:val="en-GB"/>
        </w:rPr>
        <w:t>conviction,</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for</w:t>
      </w:r>
      <w:r w:rsidR="007B7640" w:rsidRPr="00CD59CC">
        <w:rPr>
          <w:rFonts w:ascii="Arial" w:hAnsi="Arial" w:cs="Arial"/>
          <w:sz w:val="24"/>
          <w:szCs w:val="24"/>
          <w:lang w:val="en-GB"/>
        </w:rPr>
        <w:t xml:space="preserve"> </w:t>
      </w:r>
      <w:r w:rsidRPr="00CD59CC">
        <w:rPr>
          <w:rFonts w:ascii="Arial" w:hAnsi="Arial" w:cs="Arial"/>
          <w:sz w:val="24"/>
          <w:szCs w:val="24"/>
          <w:lang w:val="en-GB"/>
        </w:rPr>
        <w:t>national</w:t>
      </w:r>
      <w:r w:rsidR="007B7640" w:rsidRPr="00CD59CC">
        <w:rPr>
          <w:rFonts w:ascii="Arial" w:hAnsi="Arial" w:cs="Arial"/>
          <w:sz w:val="24"/>
          <w:szCs w:val="24"/>
          <w:lang w:val="en-GB"/>
        </w:rPr>
        <w:t xml:space="preserve"> </w:t>
      </w:r>
      <w:r w:rsidRPr="00CD59CC">
        <w:rPr>
          <w:rFonts w:ascii="Arial" w:hAnsi="Arial" w:cs="Arial"/>
          <w:sz w:val="24"/>
          <w:szCs w:val="24"/>
          <w:lang w:val="en-GB"/>
        </w:rPr>
        <w:t>minorities</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organised</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way</w:t>
      </w:r>
      <w:r w:rsidR="007B7640" w:rsidRPr="00CD59CC">
        <w:rPr>
          <w:rFonts w:ascii="Arial" w:hAnsi="Arial" w:cs="Arial"/>
          <w:sz w:val="24"/>
          <w:szCs w:val="24"/>
          <w:lang w:val="en-GB"/>
        </w:rPr>
        <w:t xml:space="preserve"> </w:t>
      </w:r>
      <w:r w:rsidRPr="00CD59CC">
        <w:rPr>
          <w:rFonts w:ascii="Arial" w:hAnsi="Arial" w:cs="Arial"/>
          <w:sz w:val="24"/>
          <w:szCs w:val="24"/>
          <w:lang w:val="en-GB"/>
        </w:rPr>
        <w:t>that</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goal</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curriculum</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justifies</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creation</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separated</w:t>
      </w:r>
      <w:r w:rsidR="007B7640" w:rsidRPr="00CD59CC">
        <w:rPr>
          <w:rFonts w:ascii="Arial" w:hAnsi="Arial" w:cs="Arial"/>
          <w:sz w:val="24"/>
          <w:szCs w:val="24"/>
          <w:lang w:val="en-GB"/>
        </w:rPr>
        <w:t xml:space="preserve"> </w:t>
      </w:r>
      <w:r w:rsidRPr="00CD59CC">
        <w:rPr>
          <w:rFonts w:ascii="Arial" w:hAnsi="Arial" w:cs="Arial"/>
          <w:sz w:val="24"/>
          <w:szCs w:val="24"/>
          <w:lang w:val="en-GB"/>
        </w:rPr>
        <w:t>classes</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groups;</w:t>
      </w:r>
      <w:r w:rsidR="007B7640" w:rsidRPr="00CD59CC">
        <w:rPr>
          <w:rFonts w:ascii="Arial" w:hAnsi="Arial" w:cs="Arial"/>
          <w:sz w:val="24"/>
          <w:szCs w:val="24"/>
          <w:lang w:val="en-GB"/>
        </w:rPr>
        <w:t xml:space="preserve"> </w:t>
      </w:r>
      <w:r w:rsidRPr="00CD59CC">
        <w:rPr>
          <w:rFonts w:ascii="Arial" w:hAnsi="Arial" w:cs="Arial"/>
          <w:sz w:val="24"/>
          <w:szCs w:val="24"/>
          <w:lang w:val="en-GB"/>
        </w:rPr>
        <w:t>provided</w:t>
      </w:r>
      <w:r w:rsidR="007B7640" w:rsidRPr="00CD59CC">
        <w:rPr>
          <w:rFonts w:ascii="Arial" w:hAnsi="Arial" w:cs="Arial"/>
          <w:sz w:val="24"/>
          <w:szCs w:val="24"/>
          <w:lang w:val="en-GB"/>
        </w:rPr>
        <w:t xml:space="preserve"> </w:t>
      </w:r>
      <w:r w:rsidRPr="00CD59CC">
        <w:rPr>
          <w:rFonts w:ascii="Arial" w:hAnsi="Arial" w:cs="Arial"/>
          <w:sz w:val="24"/>
          <w:szCs w:val="24"/>
          <w:lang w:val="en-GB"/>
        </w:rPr>
        <w:t>that</w:t>
      </w:r>
      <w:r w:rsidR="007B7640" w:rsidRPr="00CD59CC">
        <w:rPr>
          <w:rFonts w:ascii="Arial" w:hAnsi="Arial" w:cs="Arial"/>
          <w:sz w:val="24"/>
          <w:szCs w:val="24"/>
          <w:lang w:val="en-GB"/>
        </w:rPr>
        <w:t xml:space="preserve"> </w:t>
      </w:r>
      <w:r w:rsidRPr="00CD59CC">
        <w:rPr>
          <w:rFonts w:ascii="Arial" w:hAnsi="Arial" w:cs="Arial"/>
          <w:sz w:val="24"/>
          <w:szCs w:val="24"/>
          <w:lang w:val="en-GB"/>
        </w:rPr>
        <w:t>this</w:t>
      </w:r>
      <w:r w:rsidR="007B7640" w:rsidRPr="00CD59CC">
        <w:rPr>
          <w:rFonts w:ascii="Arial" w:hAnsi="Arial" w:cs="Arial"/>
          <w:sz w:val="24"/>
          <w:szCs w:val="24"/>
          <w:lang w:val="en-GB"/>
        </w:rPr>
        <w:t xml:space="preserve"> </w:t>
      </w:r>
      <w:r w:rsidRPr="00CD59CC">
        <w:rPr>
          <w:rFonts w:ascii="Arial" w:hAnsi="Arial" w:cs="Arial"/>
          <w:sz w:val="24"/>
          <w:szCs w:val="24"/>
          <w:lang w:val="en-GB"/>
        </w:rPr>
        <w:t>does</w:t>
      </w:r>
      <w:r w:rsidR="007B7640" w:rsidRPr="00CD59CC">
        <w:rPr>
          <w:rFonts w:ascii="Arial" w:hAnsi="Arial" w:cs="Arial"/>
          <w:sz w:val="24"/>
          <w:szCs w:val="24"/>
          <w:lang w:val="en-GB"/>
        </w:rPr>
        <w:t xml:space="preserve"> </w:t>
      </w:r>
      <w:r w:rsidRPr="00CD59CC">
        <w:rPr>
          <w:rFonts w:ascii="Arial" w:hAnsi="Arial" w:cs="Arial"/>
          <w:sz w:val="24"/>
          <w:szCs w:val="24"/>
          <w:lang w:val="en-GB"/>
        </w:rPr>
        <w:t>not</w:t>
      </w:r>
      <w:r w:rsidR="007B7640" w:rsidRPr="00CD59CC">
        <w:rPr>
          <w:rFonts w:ascii="Arial" w:hAnsi="Arial" w:cs="Arial"/>
          <w:sz w:val="24"/>
          <w:szCs w:val="24"/>
          <w:lang w:val="en-GB"/>
        </w:rPr>
        <w:t xml:space="preserve"> </w:t>
      </w:r>
      <w:r w:rsidRPr="00CD59CC">
        <w:rPr>
          <w:rFonts w:ascii="Arial" w:hAnsi="Arial" w:cs="Arial"/>
          <w:sz w:val="24"/>
          <w:szCs w:val="24"/>
          <w:lang w:val="en-GB"/>
        </w:rPr>
        <w:t>result</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any</w:t>
      </w:r>
      <w:r w:rsidR="007B7640" w:rsidRPr="00CD59CC">
        <w:rPr>
          <w:rFonts w:ascii="Arial" w:hAnsi="Arial" w:cs="Arial"/>
          <w:sz w:val="24"/>
          <w:szCs w:val="24"/>
          <w:lang w:val="en-GB"/>
        </w:rPr>
        <w:t xml:space="preserve"> </w:t>
      </w:r>
      <w:r w:rsidRPr="00CD59CC">
        <w:rPr>
          <w:rFonts w:ascii="Arial" w:hAnsi="Arial" w:cs="Arial"/>
          <w:sz w:val="24"/>
          <w:szCs w:val="24"/>
          <w:lang w:val="en-GB"/>
        </w:rPr>
        <w:t>disadvantage</w:t>
      </w:r>
      <w:r w:rsidR="007B7640" w:rsidRPr="00CD59CC">
        <w:rPr>
          <w:rFonts w:ascii="Arial" w:hAnsi="Arial" w:cs="Arial"/>
          <w:sz w:val="24"/>
          <w:szCs w:val="24"/>
          <w:lang w:val="en-GB"/>
        </w:rPr>
        <w:t xml:space="preserve"> </w:t>
      </w:r>
      <w:r w:rsidRPr="00CD59CC">
        <w:rPr>
          <w:rFonts w:ascii="Arial" w:hAnsi="Arial" w:cs="Arial"/>
          <w:sz w:val="24"/>
          <w:szCs w:val="24"/>
          <w:lang w:val="en-GB"/>
        </w:rPr>
        <w:t>for</w:t>
      </w:r>
      <w:r w:rsidR="007B7640" w:rsidRPr="00CD59CC">
        <w:rPr>
          <w:rFonts w:ascii="Arial" w:hAnsi="Arial" w:cs="Arial"/>
          <w:sz w:val="24"/>
          <w:szCs w:val="24"/>
          <w:lang w:val="en-GB"/>
        </w:rPr>
        <w:t xml:space="preserve"> </w:t>
      </w:r>
      <w:r w:rsidRPr="00CD59CC">
        <w:rPr>
          <w:rFonts w:ascii="Arial" w:hAnsi="Arial" w:cs="Arial"/>
          <w:sz w:val="24"/>
          <w:szCs w:val="24"/>
          <w:lang w:val="en-GB"/>
        </w:rPr>
        <w:t>those</w:t>
      </w:r>
      <w:r w:rsidR="007B7640" w:rsidRPr="00CD59CC">
        <w:rPr>
          <w:rFonts w:ascii="Arial" w:hAnsi="Arial" w:cs="Arial"/>
          <w:sz w:val="24"/>
          <w:szCs w:val="24"/>
          <w:lang w:val="en-GB"/>
        </w:rPr>
        <w:t xml:space="preserve"> </w:t>
      </w:r>
      <w:r w:rsidRPr="00CD59CC">
        <w:rPr>
          <w:rFonts w:ascii="Arial" w:hAnsi="Arial" w:cs="Arial"/>
          <w:sz w:val="24"/>
          <w:szCs w:val="24"/>
          <w:lang w:val="en-GB"/>
        </w:rPr>
        <w:t>participating</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such</w:t>
      </w:r>
      <w:r w:rsidR="007B7640" w:rsidRPr="00CD59CC">
        <w:rPr>
          <w:rFonts w:ascii="Arial" w:hAnsi="Arial" w:cs="Arial"/>
          <w:sz w:val="24"/>
          <w:szCs w:val="24"/>
          <w:lang w:val="en-GB"/>
        </w:rPr>
        <w:t xml:space="preserve"> </w:t>
      </w:r>
      <w:r w:rsidRPr="00CD59CC">
        <w:rPr>
          <w:rFonts w:ascii="Arial" w:hAnsi="Arial" w:cs="Arial"/>
          <w:sz w:val="24"/>
          <w:szCs w:val="24"/>
          <w:lang w:val="en-GB"/>
        </w:rPr>
        <w:t>an</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complies</w:t>
      </w:r>
      <w:r w:rsidR="007B7640" w:rsidRPr="00CD59CC">
        <w:rPr>
          <w:rFonts w:ascii="Arial" w:hAnsi="Arial" w:cs="Arial"/>
          <w:sz w:val="24"/>
          <w:szCs w:val="24"/>
          <w:lang w:val="en-GB"/>
        </w:rPr>
        <w:t xml:space="preserve"> </w:t>
      </w:r>
      <w:r w:rsidRPr="00CD59CC">
        <w:rPr>
          <w:rFonts w:ascii="Arial" w:hAnsi="Arial" w:cs="Arial"/>
          <w:sz w:val="24"/>
          <w:szCs w:val="24"/>
          <w:lang w:val="en-GB"/>
        </w:rPr>
        <w:t>with</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requirements</w:t>
      </w:r>
      <w:r w:rsidR="007B7640" w:rsidRPr="00CD59CC">
        <w:rPr>
          <w:rFonts w:ascii="Arial" w:hAnsi="Arial" w:cs="Arial"/>
          <w:sz w:val="24"/>
          <w:szCs w:val="24"/>
          <w:lang w:val="en-GB"/>
        </w:rPr>
        <w:t xml:space="preserve"> </w:t>
      </w:r>
      <w:r w:rsidRPr="00CD59CC">
        <w:rPr>
          <w:rFonts w:ascii="Arial" w:hAnsi="Arial" w:cs="Arial"/>
          <w:sz w:val="24"/>
          <w:szCs w:val="24"/>
          <w:lang w:val="en-GB"/>
        </w:rPr>
        <w:t>approved,</w:t>
      </w:r>
      <w:r w:rsidR="007B7640" w:rsidRPr="00CD59CC">
        <w:rPr>
          <w:rFonts w:ascii="Arial" w:hAnsi="Arial" w:cs="Arial"/>
          <w:sz w:val="24"/>
          <w:szCs w:val="24"/>
          <w:lang w:val="en-GB"/>
        </w:rPr>
        <w:t xml:space="preserve"> </w:t>
      </w:r>
      <w:r w:rsidRPr="00CD59CC">
        <w:rPr>
          <w:rFonts w:ascii="Arial" w:hAnsi="Arial" w:cs="Arial"/>
          <w:sz w:val="24"/>
          <w:szCs w:val="24"/>
          <w:lang w:val="en-GB"/>
        </w:rPr>
        <w:t>laid</w:t>
      </w:r>
      <w:r w:rsidR="007B7640" w:rsidRPr="00CD59CC">
        <w:rPr>
          <w:rFonts w:ascii="Arial" w:hAnsi="Arial" w:cs="Arial"/>
          <w:sz w:val="24"/>
          <w:szCs w:val="24"/>
          <w:lang w:val="en-GB"/>
        </w:rPr>
        <w:t xml:space="preserve"> </w:t>
      </w:r>
      <w:r w:rsidRPr="00CD59CC">
        <w:rPr>
          <w:rFonts w:ascii="Arial" w:hAnsi="Arial" w:cs="Arial"/>
          <w:sz w:val="24"/>
          <w:szCs w:val="24"/>
          <w:lang w:val="en-GB"/>
        </w:rPr>
        <w:t>down</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subsidised</w:t>
      </w:r>
      <w:r w:rsidR="007B7640" w:rsidRPr="00CD59CC">
        <w:rPr>
          <w:rFonts w:ascii="Arial" w:hAnsi="Arial" w:cs="Arial"/>
          <w:sz w:val="24"/>
          <w:szCs w:val="24"/>
          <w:lang w:val="en-GB"/>
        </w:rPr>
        <w:t xml:space="preserve"> </w:t>
      </w:r>
      <w:r w:rsidRPr="00CD59CC">
        <w:rPr>
          <w:rFonts w:ascii="Arial" w:hAnsi="Arial" w:cs="Arial"/>
          <w:sz w:val="24"/>
          <w:szCs w:val="24"/>
          <w:lang w:val="en-GB"/>
        </w:rPr>
        <w:t>by</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State.</w:t>
      </w:r>
      <w:r w:rsidR="007B7640" w:rsidRPr="00CD59CC">
        <w:rPr>
          <w:rFonts w:ascii="Arial" w:hAnsi="Arial" w:cs="Arial"/>
          <w:sz w:val="24"/>
          <w:szCs w:val="24"/>
          <w:lang w:val="en-GB"/>
        </w:rPr>
        <w:t xml:space="preserve"> </w:t>
      </w:r>
    </w:p>
    <w:p w14:paraId="57272469" w14:textId="77777777" w:rsidR="007F2EEE" w:rsidRPr="00CD59CC" w:rsidRDefault="007F2EEE" w:rsidP="00CD59CC">
      <w:pPr>
        <w:pStyle w:val="Fszveg"/>
        <w:spacing w:line="240" w:lineRule="auto"/>
        <w:jc w:val="left"/>
        <w:rPr>
          <w:rFonts w:ascii="Arial" w:hAnsi="Arial" w:cs="Arial"/>
          <w:sz w:val="24"/>
          <w:szCs w:val="24"/>
          <w:lang w:val="en-GB"/>
        </w:rPr>
      </w:pPr>
    </w:p>
    <w:p w14:paraId="13ACA2CB" w14:textId="47A798FC" w:rsidR="007F2EEE" w:rsidRDefault="007F2EEE" w:rsidP="00CD59CC">
      <w:pPr>
        <w:pStyle w:val="Fszveg"/>
        <w:spacing w:line="240" w:lineRule="auto"/>
        <w:jc w:val="left"/>
        <w:rPr>
          <w:rFonts w:ascii="Arial" w:hAnsi="Arial" w:cs="Arial"/>
          <w:sz w:val="24"/>
          <w:szCs w:val="24"/>
          <w:lang w:val="en-GB"/>
        </w:rPr>
      </w:pPr>
      <w:r w:rsidRPr="00CD59CC">
        <w:rPr>
          <w:rFonts w:ascii="Arial" w:hAnsi="Arial" w:cs="Arial"/>
          <w:sz w:val="24"/>
          <w:szCs w:val="24"/>
          <w:lang w:val="en-GB"/>
        </w:rPr>
        <w:t>Although</w:t>
      </w:r>
      <w:r w:rsidR="007B7640" w:rsidRPr="00CD59CC">
        <w:rPr>
          <w:rFonts w:ascii="Arial" w:hAnsi="Arial" w:cs="Arial"/>
          <w:sz w:val="24"/>
          <w:szCs w:val="24"/>
          <w:lang w:val="en-GB"/>
        </w:rPr>
        <w:t xml:space="preserve"> </w:t>
      </w:r>
      <w:r w:rsidRPr="00CD59CC">
        <w:rPr>
          <w:rFonts w:ascii="Arial" w:hAnsi="Arial" w:cs="Arial"/>
          <w:sz w:val="24"/>
          <w:szCs w:val="24"/>
          <w:lang w:val="en-GB"/>
        </w:rPr>
        <w:t>it</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included</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text</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law</w:t>
      </w:r>
      <w:r w:rsidR="007B7640" w:rsidRPr="00CD59CC">
        <w:rPr>
          <w:rFonts w:ascii="Arial" w:hAnsi="Arial" w:cs="Arial"/>
          <w:sz w:val="24"/>
          <w:szCs w:val="24"/>
          <w:lang w:val="en-GB"/>
        </w:rPr>
        <w:t xml:space="preserve"> </w:t>
      </w:r>
      <w:r w:rsidRPr="00CD59CC">
        <w:rPr>
          <w:rFonts w:ascii="Arial" w:hAnsi="Arial" w:cs="Arial"/>
          <w:sz w:val="24"/>
          <w:szCs w:val="24"/>
          <w:lang w:val="en-GB"/>
        </w:rPr>
        <w:t>quoted</w:t>
      </w:r>
      <w:r w:rsidR="007B7640" w:rsidRPr="00CD59CC">
        <w:rPr>
          <w:rFonts w:ascii="Arial" w:hAnsi="Arial" w:cs="Arial"/>
          <w:sz w:val="24"/>
          <w:szCs w:val="24"/>
          <w:lang w:val="en-GB"/>
        </w:rPr>
        <w:t xml:space="preserve"> </w:t>
      </w:r>
      <w:r w:rsidRPr="00CD59CC">
        <w:rPr>
          <w:rFonts w:ascii="Arial" w:hAnsi="Arial" w:cs="Arial"/>
          <w:sz w:val="24"/>
          <w:szCs w:val="24"/>
          <w:lang w:val="en-GB"/>
        </w:rPr>
        <w:t>above,</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fact</w:t>
      </w:r>
      <w:r w:rsidR="007B7640" w:rsidRPr="00CD59CC">
        <w:rPr>
          <w:rFonts w:ascii="Arial" w:hAnsi="Arial" w:cs="Arial"/>
          <w:sz w:val="24"/>
          <w:szCs w:val="24"/>
          <w:lang w:val="en-GB"/>
        </w:rPr>
        <w:t xml:space="preserve"> </w:t>
      </w:r>
      <w:r w:rsidR="00CE1BE5" w:rsidRPr="00CD59CC">
        <w:rPr>
          <w:rFonts w:ascii="Arial" w:hAnsi="Arial" w:cs="Arial"/>
          <w:sz w:val="24"/>
          <w:szCs w:val="24"/>
          <w:lang w:val="en-GB"/>
        </w:rPr>
        <w:t>needs</w:t>
      </w:r>
      <w:r w:rsidR="007B7640" w:rsidRPr="00CD59CC">
        <w:rPr>
          <w:rFonts w:ascii="Arial" w:hAnsi="Arial" w:cs="Arial"/>
          <w:sz w:val="24"/>
          <w:szCs w:val="24"/>
          <w:lang w:val="en-GB"/>
        </w:rPr>
        <w:t xml:space="preserve"> </w:t>
      </w:r>
      <w:r w:rsidR="00CE1BE5" w:rsidRPr="00CD59CC">
        <w:rPr>
          <w:rFonts w:ascii="Arial" w:hAnsi="Arial" w:cs="Arial"/>
          <w:sz w:val="24"/>
          <w:szCs w:val="24"/>
          <w:lang w:val="en-GB"/>
        </w:rPr>
        <w:t>to</w:t>
      </w:r>
      <w:r w:rsidR="007B7640" w:rsidRPr="00CD59CC">
        <w:rPr>
          <w:rFonts w:ascii="Arial" w:hAnsi="Arial" w:cs="Arial"/>
          <w:sz w:val="24"/>
          <w:szCs w:val="24"/>
          <w:lang w:val="en-GB"/>
        </w:rPr>
        <w:t xml:space="preserve"> </w:t>
      </w:r>
      <w:r w:rsidR="00CE1BE5" w:rsidRPr="00CD59CC">
        <w:rPr>
          <w:rFonts w:ascii="Arial" w:hAnsi="Arial" w:cs="Arial"/>
          <w:sz w:val="24"/>
          <w:szCs w:val="24"/>
          <w:lang w:val="en-GB"/>
        </w:rPr>
        <w:t>be</w:t>
      </w:r>
      <w:r w:rsidR="007B7640" w:rsidRPr="00CD59CC">
        <w:rPr>
          <w:rFonts w:ascii="Arial" w:hAnsi="Arial" w:cs="Arial"/>
          <w:sz w:val="24"/>
          <w:szCs w:val="24"/>
          <w:lang w:val="en-GB"/>
        </w:rPr>
        <w:t xml:space="preserve"> </w:t>
      </w:r>
      <w:r w:rsidR="00CE1BE5" w:rsidRPr="00CD59CC">
        <w:rPr>
          <w:rFonts w:ascii="Arial" w:hAnsi="Arial" w:cs="Arial"/>
          <w:sz w:val="24"/>
          <w:szCs w:val="24"/>
          <w:lang w:val="en-GB"/>
        </w:rPr>
        <w:t>underlined</w:t>
      </w:r>
      <w:r w:rsidR="007B7640" w:rsidRPr="00CD59CC">
        <w:rPr>
          <w:rFonts w:ascii="Arial" w:hAnsi="Arial" w:cs="Arial"/>
          <w:sz w:val="24"/>
          <w:szCs w:val="24"/>
          <w:lang w:val="en-GB"/>
        </w:rPr>
        <w:t xml:space="preserve"> </w:t>
      </w:r>
      <w:r w:rsidRPr="00CD59CC">
        <w:rPr>
          <w:rFonts w:ascii="Arial" w:hAnsi="Arial" w:cs="Arial"/>
          <w:sz w:val="24"/>
          <w:szCs w:val="24"/>
          <w:lang w:val="en-GB"/>
        </w:rPr>
        <w:t>that</w:t>
      </w:r>
      <w:r w:rsidR="007B7640" w:rsidRPr="00CD59CC">
        <w:rPr>
          <w:rFonts w:ascii="Arial" w:hAnsi="Arial" w:cs="Arial"/>
          <w:sz w:val="24"/>
          <w:szCs w:val="24"/>
          <w:lang w:val="en-GB"/>
        </w:rPr>
        <w:t xml:space="preserve"> </w:t>
      </w:r>
      <w:r w:rsidRPr="00CD59CC">
        <w:rPr>
          <w:rFonts w:ascii="Arial" w:hAnsi="Arial" w:cs="Arial"/>
          <w:sz w:val="24"/>
          <w:szCs w:val="24"/>
          <w:lang w:val="en-GB"/>
        </w:rPr>
        <w:t>such</w:t>
      </w:r>
      <w:r w:rsidR="007B7640" w:rsidRPr="00CD59CC">
        <w:rPr>
          <w:rFonts w:ascii="Arial" w:hAnsi="Arial" w:cs="Arial"/>
          <w:sz w:val="24"/>
          <w:szCs w:val="24"/>
          <w:lang w:val="en-GB"/>
        </w:rPr>
        <w:t xml:space="preserve"> </w:t>
      </w:r>
      <w:r w:rsidRPr="00CD59CC">
        <w:rPr>
          <w:rFonts w:ascii="Arial" w:hAnsi="Arial" w:cs="Arial"/>
          <w:sz w:val="24"/>
          <w:szCs w:val="24"/>
          <w:lang w:val="en-GB"/>
        </w:rPr>
        <w:t>separated</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deemed</w:t>
      </w:r>
      <w:r w:rsidR="007B7640" w:rsidRPr="00CD59CC">
        <w:rPr>
          <w:rFonts w:ascii="Arial" w:hAnsi="Arial" w:cs="Arial"/>
          <w:sz w:val="24"/>
          <w:szCs w:val="24"/>
          <w:lang w:val="en-GB"/>
        </w:rPr>
        <w:t xml:space="preserve"> </w:t>
      </w:r>
      <w:r w:rsidRPr="00CD59CC">
        <w:rPr>
          <w:rFonts w:ascii="Arial" w:hAnsi="Arial" w:cs="Arial"/>
          <w:sz w:val="24"/>
          <w:szCs w:val="24"/>
          <w:lang w:val="en-GB"/>
        </w:rPr>
        <w:t>compatible</w:t>
      </w:r>
      <w:r w:rsidR="007B7640" w:rsidRPr="00CD59CC">
        <w:rPr>
          <w:rFonts w:ascii="Arial" w:hAnsi="Arial" w:cs="Arial"/>
          <w:sz w:val="24"/>
          <w:szCs w:val="24"/>
          <w:lang w:val="en-GB"/>
        </w:rPr>
        <w:t xml:space="preserve"> </w:t>
      </w:r>
      <w:r w:rsidRPr="00CD59CC">
        <w:rPr>
          <w:rFonts w:ascii="Arial" w:hAnsi="Arial" w:cs="Arial"/>
          <w:sz w:val="24"/>
          <w:szCs w:val="24"/>
          <w:lang w:val="en-GB"/>
        </w:rPr>
        <w:t>with</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principle</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non-discrimination</w:t>
      </w:r>
      <w:r w:rsidR="007B7640" w:rsidRPr="00CD59CC">
        <w:rPr>
          <w:rFonts w:ascii="Arial" w:hAnsi="Arial" w:cs="Arial"/>
          <w:sz w:val="24"/>
          <w:szCs w:val="24"/>
          <w:lang w:val="en-GB"/>
        </w:rPr>
        <w:t xml:space="preserve"> </w:t>
      </w:r>
      <w:r w:rsidRPr="00CD59CC">
        <w:rPr>
          <w:rFonts w:ascii="Arial" w:hAnsi="Arial" w:cs="Arial"/>
          <w:sz w:val="24"/>
          <w:szCs w:val="24"/>
          <w:lang w:val="en-GB"/>
        </w:rPr>
        <w:t>only</w:t>
      </w:r>
      <w:r w:rsidR="007B7640" w:rsidRPr="00CD59CC">
        <w:rPr>
          <w:rFonts w:ascii="Arial" w:hAnsi="Arial" w:cs="Arial"/>
          <w:sz w:val="24"/>
          <w:szCs w:val="24"/>
          <w:lang w:val="en-GB"/>
        </w:rPr>
        <w:t xml:space="preserve"> </w:t>
      </w:r>
      <w:r w:rsidRPr="00CD59CC">
        <w:rPr>
          <w:rFonts w:ascii="Arial" w:hAnsi="Arial" w:cs="Arial"/>
          <w:sz w:val="24"/>
          <w:szCs w:val="24"/>
          <w:lang w:val="en-GB"/>
        </w:rPr>
        <w:t>if</w:t>
      </w:r>
      <w:r w:rsidR="007B7640" w:rsidRPr="00CD59CC">
        <w:rPr>
          <w:rFonts w:ascii="Arial" w:hAnsi="Arial" w:cs="Arial"/>
          <w:sz w:val="24"/>
          <w:szCs w:val="24"/>
          <w:lang w:val="en-GB"/>
        </w:rPr>
        <w:t xml:space="preserve"> </w:t>
      </w:r>
      <w:r w:rsidRPr="00CD59CC">
        <w:rPr>
          <w:rFonts w:ascii="Arial" w:hAnsi="Arial" w:cs="Arial"/>
          <w:sz w:val="24"/>
          <w:szCs w:val="24"/>
          <w:lang w:val="en-GB"/>
        </w:rPr>
        <w:t>participation</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voluntary.</w:t>
      </w:r>
      <w:r w:rsidR="007B7640" w:rsidRPr="00CD59CC">
        <w:rPr>
          <w:rFonts w:ascii="Arial" w:hAnsi="Arial" w:cs="Arial"/>
          <w:sz w:val="24"/>
          <w:szCs w:val="24"/>
          <w:lang w:val="en-GB"/>
        </w:rPr>
        <w:t xml:space="preserve"> </w:t>
      </w:r>
      <w:r w:rsidRPr="00CD59CC">
        <w:rPr>
          <w:rFonts w:ascii="Arial" w:hAnsi="Arial" w:cs="Arial"/>
          <w:sz w:val="24"/>
          <w:szCs w:val="24"/>
          <w:lang w:val="en-GB"/>
        </w:rPr>
        <w:t>At</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elementary</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secondary</w:t>
      </w:r>
      <w:r w:rsidR="007B7640" w:rsidRPr="00CD59CC">
        <w:rPr>
          <w:rFonts w:ascii="Arial" w:hAnsi="Arial" w:cs="Arial"/>
          <w:sz w:val="24"/>
          <w:szCs w:val="24"/>
          <w:lang w:val="en-GB"/>
        </w:rPr>
        <w:t xml:space="preserve"> </w:t>
      </w:r>
      <w:r w:rsidRPr="00CD59CC">
        <w:rPr>
          <w:rFonts w:ascii="Arial" w:hAnsi="Arial" w:cs="Arial"/>
          <w:sz w:val="24"/>
          <w:szCs w:val="24"/>
          <w:lang w:val="en-GB"/>
        </w:rPr>
        <w:t>level,</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pupils’</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students’</w:t>
      </w:r>
      <w:r w:rsidR="007B7640" w:rsidRPr="00CD59CC">
        <w:rPr>
          <w:rFonts w:ascii="Arial" w:hAnsi="Arial" w:cs="Arial"/>
          <w:sz w:val="24"/>
          <w:szCs w:val="24"/>
          <w:lang w:val="en-GB"/>
        </w:rPr>
        <w:t xml:space="preserve"> </w:t>
      </w:r>
      <w:r w:rsidRPr="00CD59CC">
        <w:rPr>
          <w:rFonts w:ascii="Arial" w:hAnsi="Arial" w:cs="Arial"/>
          <w:sz w:val="24"/>
          <w:szCs w:val="24"/>
          <w:lang w:val="en-GB"/>
        </w:rPr>
        <w:t>parents</w:t>
      </w:r>
      <w:r w:rsidR="007B7640" w:rsidRPr="00CD59CC">
        <w:rPr>
          <w:rFonts w:ascii="Arial" w:hAnsi="Arial" w:cs="Arial"/>
          <w:sz w:val="24"/>
          <w:szCs w:val="24"/>
          <w:lang w:val="en-GB"/>
        </w:rPr>
        <w:t xml:space="preserve"> </w:t>
      </w:r>
      <w:r w:rsidRPr="00CD59CC">
        <w:rPr>
          <w:rFonts w:ascii="Arial" w:hAnsi="Arial" w:cs="Arial"/>
          <w:sz w:val="24"/>
          <w:szCs w:val="24"/>
          <w:lang w:val="en-GB"/>
        </w:rPr>
        <w:t>have</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initiate</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forming</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such</w:t>
      </w:r>
      <w:r w:rsidR="007B7640" w:rsidRPr="00CD59CC">
        <w:rPr>
          <w:rFonts w:ascii="Arial" w:hAnsi="Arial" w:cs="Arial"/>
          <w:sz w:val="24"/>
          <w:szCs w:val="24"/>
          <w:lang w:val="en-GB"/>
        </w:rPr>
        <w:t xml:space="preserve"> </w:t>
      </w:r>
      <w:r w:rsidRPr="00CD59CC">
        <w:rPr>
          <w:rFonts w:ascii="Arial" w:hAnsi="Arial" w:cs="Arial"/>
          <w:sz w:val="24"/>
          <w:szCs w:val="24"/>
          <w:lang w:val="en-GB"/>
        </w:rPr>
        <w:t>classes</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groups</w:t>
      </w:r>
      <w:r w:rsidR="007B7640" w:rsidRPr="00CD59CC">
        <w:rPr>
          <w:rFonts w:ascii="Arial" w:hAnsi="Arial" w:cs="Arial"/>
          <w:sz w:val="24"/>
          <w:szCs w:val="24"/>
          <w:lang w:val="en-GB"/>
        </w:rPr>
        <w:t xml:space="preserve"> </w:t>
      </w:r>
      <w:r w:rsidRPr="00CD59CC">
        <w:rPr>
          <w:rFonts w:ascii="Arial" w:hAnsi="Arial" w:cs="Arial"/>
          <w:sz w:val="24"/>
          <w:szCs w:val="24"/>
          <w:lang w:val="en-GB"/>
        </w:rPr>
        <w:t>on</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voluntary</w:t>
      </w:r>
      <w:r w:rsidR="007B7640" w:rsidRPr="00CD59CC">
        <w:rPr>
          <w:rFonts w:ascii="Arial" w:hAnsi="Arial" w:cs="Arial"/>
          <w:sz w:val="24"/>
          <w:szCs w:val="24"/>
          <w:lang w:val="en-GB"/>
        </w:rPr>
        <w:t xml:space="preserve"> </w:t>
      </w:r>
      <w:r w:rsidRPr="00CD59CC">
        <w:rPr>
          <w:rFonts w:ascii="Arial" w:hAnsi="Arial" w:cs="Arial"/>
          <w:sz w:val="24"/>
          <w:szCs w:val="24"/>
          <w:lang w:val="en-GB"/>
        </w:rPr>
        <w:t>basis,</w:t>
      </w:r>
      <w:r w:rsidR="007B7640" w:rsidRPr="00CD59CC">
        <w:rPr>
          <w:rFonts w:ascii="Arial" w:hAnsi="Arial" w:cs="Arial"/>
          <w:sz w:val="24"/>
          <w:szCs w:val="24"/>
          <w:lang w:val="en-GB"/>
        </w:rPr>
        <w:t xml:space="preserve"> </w:t>
      </w:r>
      <w:r w:rsidRPr="00CD59CC">
        <w:rPr>
          <w:rFonts w:ascii="Arial" w:hAnsi="Arial" w:cs="Arial"/>
          <w:sz w:val="24"/>
          <w:szCs w:val="24"/>
          <w:lang w:val="en-GB"/>
        </w:rPr>
        <w:t>whereas</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higher</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it</w:t>
      </w:r>
      <w:r w:rsidR="007B7640" w:rsidRPr="00CD59CC">
        <w:rPr>
          <w:rFonts w:ascii="Arial" w:hAnsi="Arial" w:cs="Arial"/>
          <w:sz w:val="24"/>
          <w:szCs w:val="24"/>
          <w:lang w:val="en-GB"/>
        </w:rPr>
        <w:t xml:space="preserve"> </w:t>
      </w:r>
      <w:r w:rsidRPr="00CD59CC">
        <w:rPr>
          <w:rFonts w:ascii="Arial" w:hAnsi="Arial" w:cs="Arial"/>
          <w:sz w:val="24"/>
          <w:szCs w:val="24"/>
          <w:lang w:val="en-GB"/>
        </w:rPr>
        <w:t>shall</w:t>
      </w:r>
      <w:r w:rsidR="007B7640" w:rsidRPr="00CD59CC">
        <w:rPr>
          <w:rFonts w:ascii="Arial" w:hAnsi="Arial" w:cs="Arial"/>
          <w:sz w:val="24"/>
          <w:szCs w:val="24"/>
          <w:lang w:val="en-GB"/>
        </w:rPr>
        <w:t xml:space="preserve"> </w:t>
      </w:r>
      <w:r w:rsidRPr="00CD59CC">
        <w:rPr>
          <w:rFonts w:ascii="Arial" w:hAnsi="Arial" w:cs="Arial"/>
          <w:sz w:val="24"/>
          <w:szCs w:val="24"/>
          <w:lang w:val="en-GB"/>
        </w:rPr>
        <w:t>be</w:t>
      </w:r>
      <w:r w:rsidR="007B7640" w:rsidRPr="00CD59CC">
        <w:rPr>
          <w:rFonts w:ascii="Arial" w:hAnsi="Arial" w:cs="Arial"/>
          <w:sz w:val="24"/>
          <w:szCs w:val="24"/>
          <w:lang w:val="en-GB"/>
        </w:rPr>
        <w:t xml:space="preserve"> </w:t>
      </w:r>
      <w:r w:rsidRPr="00CD59CC">
        <w:rPr>
          <w:rFonts w:ascii="Arial" w:hAnsi="Arial" w:cs="Arial"/>
          <w:sz w:val="24"/>
          <w:szCs w:val="24"/>
          <w:lang w:val="en-GB"/>
        </w:rPr>
        <w:t>based</w:t>
      </w:r>
      <w:r w:rsidR="007B7640" w:rsidRPr="00CD59CC">
        <w:rPr>
          <w:rFonts w:ascii="Arial" w:hAnsi="Arial" w:cs="Arial"/>
          <w:sz w:val="24"/>
          <w:szCs w:val="24"/>
          <w:lang w:val="en-GB"/>
        </w:rPr>
        <w:t xml:space="preserve"> </w:t>
      </w:r>
      <w:r w:rsidRPr="00CD59CC">
        <w:rPr>
          <w:rFonts w:ascii="Arial" w:hAnsi="Arial" w:cs="Arial"/>
          <w:sz w:val="24"/>
          <w:szCs w:val="24"/>
          <w:lang w:val="en-GB"/>
        </w:rPr>
        <w:t>on</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students’</w:t>
      </w:r>
      <w:r w:rsidR="007B7640" w:rsidRPr="00CD59CC">
        <w:rPr>
          <w:rFonts w:ascii="Arial" w:hAnsi="Arial" w:cs="Arial"/>
          <w:sz w:val="24"/>
          <w:szCs w:val="24"/>
          <w:lang w:val="en-GB"/>
        </w:rPr>
        <w:t xml:space="preserve"> </w:t>
      </w:r>
      <w:r w:rsidRPr="00CD59CC">
        <w:rPr>
          <w:rFonts w:ascii="Arial" w:hAnsi="Arial" w:cs="Arial"/>
          <w:sz w:val="24"/>
          <w:szCs w:val="24"/>
          <w:lang w:val="en-GB"/>
        </w:rPr>
        <w:t>voluntary</w:t>
      </w:r>
      <w:r w:rsidR="007B7640" w:rsidRPr="00CD59CC">
        <w:rPr>
          <w:rFonts w:ascii="Arial" w:hAnsi="Arial" w:cs="Arial"/>
          <w:sz w:val="24"/>
          <w:szCs w:val="24"/>
          <w:lang w:val="en-GB"/>
        </w:rPr>
        <w:t xml:space="preserve"> </w:t>
      </w:r>
      <w:r w:rsidRPr="00CD59CC">
        <w:rPr>
          <w:rFonts w:ascii="Arial" w:hAnsi="Arial" w:cs="Arial"/>
          <w:sz w:val="24"/>
          <w:szCs w:val="24"/>
          <w:lang w:val="en-GB"/>
        </w:rPr>
        <w:t>participation.</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further</w:t>
      </w:r>
      <w:r w:rsidR="007B7640" w:rsidRPr="00CD59CC">
        <w:rPr>
          <w:rFonts w:ascii="Arial" w:hAnsi="Arial" w:cs="Arial"/>
          <w:sz w:val="24"/>
          <w:szCs w:val="24"/>
          <w:lang w:val="en-GB"/>
        </w:rPr>
        <w:t xml:space="preserve"> </w:t>
      </w:r>
      <w:r w:rsidRPr="00CD59CC">
        <w:rPr>
          <w:rFonts w:ascii="Arial" w:hAnsi="Arial" w:cs="Arial"/>
          <w:sz w:val="24"/>
          <w:szCs w:val="24"/>
          <w:lang w:val="en-GB"/>
        </w:rPr>
        <w:t>condition</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that</w:t>
      </w:r>
      <w:r w:rsidR="007B7640" w:rsidRPr="00CD59CC">
        <w:rPr>
          <w:rFonts w:ascii="Arial" w:hAnsi="Arial" w:cs="Arial"/>
          <w:sz w:val="24"/>
          <w:szCs w:val="24"/>
          <w:lang w:val="en-GB"/>
        </w:rPr>
        <w:t xml:space="preserve"> </w:t>
      </w:r>
      <w:r w:rsidRPr="00CD59CC">
        <w:rPr>
          <w:rFonts w:ascii="Arial" w:hAnsi="Arial" w:cs="Arial"/>
          <w:sz w:val="24"/>
          <w:szCs w:val="24"/>
          <w:lang w:val="en-GB"/>
        </w:rPr>
        <w:t>such</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shall</w:t>
      </w:r>
      <w:r w:rsidR="007B7640" w:rsidRPr="00CD59CC">
        <w:rPr>
          <w:rFonts w:ascii="Arial" w:hAnsi="Arial" w:cs="Arial"/>
          <w:sz w:val="24"/>
          <w:szCs w:val="24"/>
          <w:lang w:val="en-GB"/>
        </w:rPr>
        <w:t xml:space="preserve"> </w:t>
      </w:r>
      <w:r w:rsidRPr="00CD59CC">
        <w:rPr>
          <w:rFonts w:ascii="Arial" w:hAnsi="Arial" w:cs="Arial"/>
          <w:sz w:val="24"/>
          <w:szCs w:val="24"/>
          <w:lang w:val="en-GB"/>
        </w:rPr>
        <w:t>be</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equal</w:t>
      </w:r>
      <w:r w:rsidR="007B7640" w:rsidRPr="00CD59CC">
        <w:rPr>
          <w:rFonts w:ascii="Arial" w:hAnsi="Arial" w:cs="Arial"/>
          <w:sz w:val="24"/>
          <w:szCs w:val="24"/>
          <w:lang w:val="en-GB"/>
        </w:rPr>
        <w:t xml:space="preserve"> </w:t>
      </w:r>
      <w:r w:rsidRPr="00CD59CC">
        <w:rPr>
          <w:rFonts w:ascii="Arial" w:hAnsi="Arial" w:cs="Arial"/>
          <w:sz w:val="24"/>
          <w:szCs w:val="24"/>
          <w:lang w:val="en-GB"/>
        </w:rPr>
        <w:t>value</w:t>
      </w:r>
      <w:r w:rsidR="007B7640" w:rsidRPr="00CD59CC">
        <w:rPr>
          <w:rFonts w:ascii="Arial" w:hAnsi="Arial" w:cs="Arial"/>
          <w:sz w:val="24"/>
          <w:szCs w:val="24"/>
          <w:lang w:val="en-GB"/>
        </w:rPr>
        <w:t xml:space="preserve"> </w:t>
      </w:r>
      <w:r w:rsidRPr="00CD59CC">
        <w:rPr>
          <w:rFonts w:ascii="Arial" w:hAnsi="Arial" w:cs="Arial"/>
          <w:sz w:val="24"/>
          <w:szCs w:val="24"/>
          <w:lang w:val="en-GB"/>
        </w:rPr>
        <w:t>with</w:t>
      </w:r>
      <w:r w:rsidR="007B7640" w:rsidRPr="00CD59CC">
        <w:rPr>
          <w:rFonts w:ascii="Arial" w:hAnsi="Arial" w:cs="Arial"/>
          <w:sz w:val="24"/>
          <w:szCs w:val="24"/>
          <w:lang w:val="en-GB"/>
        </w:rPr>
        <w:t xml:space="preserve"> </w:t>
      </w:r>
      <w:r w:rsidRPr="00CD59CC">
        <w:rPr>
          <w:rFonts w:ascii="Arial" w:hAnsi="Arial" w:cs="Arial"/>
          <w:sz w:val="24"/>
          <w:szCs w:val="24"/>
          <w:lang w:val="en-GB"/>
        </w:rPr>
        <w:t>ordinary</w:t>
      </w:r>
      <w:r w:rsidR="007B7640" w:rsidRPr="00CD59CC">
        <w:rPr>
          <w:rFonts w:ascii="Arial" w:hAnsi="Arial" w:cs="Arial"/>
          <w:sz w:val="24"/>
          <w:szCs w:val="24"/>
          <w:lang w:val="en-GB"/>
        </w:rPr>
        <w:t xml:space="preserve"> </w:t>
      </w:r>
      <w:r w:rsidRPr="00CD59CC">
        <w:rPr>
          <w:rFonts w:ascii="Arial" w:hAnsi="Arial" w:cs="Arial"/>
          <w:sz w:val="24"/>
          <w:szCs w:val="24"/>
          <w:lang w:val="en-GB"/>
        </w:rPr>
        <w:t>(i.e.</w:t>
      </w:r>
      <w:r w:rsidR="007B7640" w:rsidRPr="00CD59CC">
        <w:rPr>
          <w:rFonts w:ascii="Arial" w:hAnsi="Arial" w:cs="Arial"/>
          <w:sz w:val="24"/>
          <w:szCs w:val="24"/>
          <w:lang w:val="en-GB"/>
        </w:rPr>
        <w:t xml:space="preserve"> </w:t>
      </w:r>
      <w:r w:rsidRPr="00CD59CC">
        <w:rPr>
          <w:rFonts w:ascii="Arial" w:hAnsi="Arial" w:cs="Arial"/>
          <w:sz w:val="24"/>
          <w:szCs w:val="24"/>
          <w:lang w:val="en-GB"/>
        </w:rPr>
        <w:t>not</w:t>
      </w:r>
      <w:r w:rsidR="007B7640" w:rsidRPr="00CD59CC">
        <w:rPr>
          <w:rFonts w:ascii="Arial" w:hAnsi="Arial" w:cs="Arial"/>
          <w:sz w:val="24"/>
          <w:szCs w:val="24"/>
          <w:lang w:val="en-GB"/>
        </w:rPr>
        <w:t xml:space="preserve"> </w:t>
      </w:r>
      <w:r w:rsidRPr="00CD59CC">
        <w:rPr>
          <w:rFonts w:ascii="Arial" w:hAnsi="Arial" w:cs="Arial"/>
          <w:sz w:val="24"/>
          <w:szCs w:val="24"/>
          <w:lang w:val="en-GB"/>
        </w:rPr>
        <w:t>separated)</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(This</w:t>
      </w:r>
      <w:r w:rsidR="007B7640" w:rsidRPr="00CD59CC">
        <w:rPr>
          <w:rFonts w:ascii="Arial" w:hAnsi="Arial" w:cs="Arial"/>
          <w:sz w:val="24"/>
          <w:szCs w:val="24"/>
          <w:lang w:val="en-GB"/>
        </w:rPr>
        <w:t xml:space="preserve"> </w:t>
      </w:r>
      <w:r w:rsidRPr="00CD59CC">
        <w:rPr>
          <w:rFonts w:ascii="Arial" w:hAnsi="Arial" w:cs="Arial"/>
          <w:sz w:val="24"/>
          <w:szCs w:val="24"/>
          <w:lang w:val="en-GB"/>
        </w:rPr>
        <w:t>exception</w:t>
      </w:r>
      <w:r w:rsidR="007B7640" w:rsidRPr="00CD59CC">
        <w:rPr>
          <w:rFonts w:ascii="Arial" w:hAnsi="Arial" w:cs="Arial"/>
          <w:sz w:val="24"/>
          <w:szCs w:val="24"/>
          <w:lang w:val="en-GB"/>
        </w:rPr>
        <w:t xml:space="preserve"> </w:t>
      </w:r>
      <w:r w:rsidRPr="00CD59CC">
        <w:rPr>
          <w:rFonts w:ascii="Arial" w:hAnsi="Arial" w:cs="Arial"/>
          <w:sz w:val="24"/>
          <w:szCs w:val="24"/>
          <w:lang w:val="en-GB"/>
        </w:rPr>
        <w:t>was</w:t>
      </w:r>
      <w:r w:rsidR="007B7640" w:rsidRPr="00CD59CC">
        <w:rPr>
          <w:rFonts w:ascii="Arial" w:hAnsi="Arial" w:cs="Arial"/>
          <w:sz w:val="24"/>
          <w:szCs w:val="24"/>
          <w:lang w:val="en-GB"/>
        </w:rPr>
        <w:t xml:space="preserve"> </w:t>
      </w:r>
      <w:r w:rsidRPr="00CD59CC">
        <w:rPr>
          <w:rFonts w:ascii="Arial" w:hAnsi="Arial" w:cs="Arial"/>
          <w:sz w:val="24"/>
          <w:szCs w:val="24"/>
          <w:lang w:val="en-GB"/>
        </w:rPr>
        <w:t>necessary</w:t>
      </w:r>
      <w:r w:rsidR="007B7640" w:rsidRPr="00CD59CC">
        <w:rPr>
          <w:rFonts w:ascii="Arial" w:hAnsi="Arial" w:cs="Arial"/>
          <w:sz w:val="24"/>
          <w:szCs w:val="24"/>
          <w:lang w:val="en-GB"/>
        </w:rPr>
        <w:t xml:space="preserve"> </w:t>
      </w:r>
      <w:r w:rsidRPr="00CD59CC">
        <w:rPr>
          <w:rFonts w:ascii="Arial" w:hAnsi="Arial" w:cs="Arial"/>
          <w:sz w:val="24"/>
          <w:szCs w:val="24"/>
          <w:lang w:val="en-GB"/>
        </w:rPr>
        <w:t>because</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Nationalities</w:t>
      </w:r>
      <w:r w:rsidR="007B7640" w:rsidRPr="00CD59CC">
        <w:rPr>
          <w:rFonts w:ascii="Arial" w:hAnsi="Arial" w:cs="Arial"/>
          <w:sz w:val="24"/>
          <w:szCs w:val="24"/>
          <w:lang w:val="en-GB"/>
        </w:rPr>
        <w:t xml:space="preserve"> </w:t>
      </w:r>
      <w:r w:rsidRPr="00CD59CC">
        <w:rPr>
          <w:rFonts w:ascii="Arial" w:hAnsi="Arial" w:cs="Arial"/>
          <w:sz w:val="24"/>
          <w:szCs w:val="24"/>
          <w:lang w:val="en-GB"/>
        </w:rPr>
        <w:t>Act,</w:t>
      </w:r>
      <w:r w:rsidR="007B7640" w:rsidRPr="00CD59CC">
        <w:rPr>
          <w:rFonts w:ascii="Arial" w:hAnsi="Arial" w:cs="Arial"/>
          <w:sz w:val="24"/>
          <w:szCs w:val="24"/>
          <w:lang w:val="en-GB"/>
        </w:rPr>
        <w:t xml:space="preserve"> </w:t>
      </w:r>
      <w:r w:rsidRPr="00CD59CC">
        <w:rPr>
          <w:rFonts w:ascii="Arial" w:hAnsi="Arial" w:cs="Arial"/>
          <w:sz w:val="24"/>
          <w:szCs w:val="24"/>
          <w:lang w:val="en-GB"/>
        </w:rPr>
        <w:t>for</w:t>
      </w:r>
      <w:r w:rsidR="007B7640" w:rsidRPr="00CD59CC">
        <w:rPr>
          <w:rFonts w:ascii="Arial" w:hAnsi="Arial" w:cs="Arial"/>
          <w:sz w:val="24"/>
          <w:szCs w:val="24"/>
          <w:lang w:val="en-GB"/>
        </w:rPr>
        <w:t xml:space="preserve"> </w:t>
      </w:r>
      <w:r w:rsidRPr="00CD59CC">
        <w:rPr>
          <w:rFonts w:ascii="Arial" w:hAnsi="Arial" w:cs="Arial"/>
          <w:sz w:val="24"/>
          <w:szCs w:val="24"/>
          <w:lang w:val="en-GB"/>
        </w:rPr>
        <w:t>example,</w:t>
      </w:r>
      <w:r w:rsidR="007B7640" w:rsidRPr="00CD59CC">
        <w:rPr>
          <w:rFonts w:ascii="Arial" w:hAnsi="Arial" w:cs="Arial"/>
          <w:sz w:val="24"/>
          <w:szCs w:val="24"/>
          <w:lang w:val="en-GB"/>
        </w:rPr>
        <w:t xml:space="preserve"> </w:t>
      </w:r>
      <w:r w:rsidRPr="00CD59CC">
        <w:rPr>
          <w:rFonts w:ascii="Arial" w:hAnsi="Arial" w:cs="Arial"/>
          <w:sz w:val="24"/>
          <w:szCs w:val="24"/>
          <w:lang w:val="en-GB"/>
        </w:rPr>
        <w:t>contains</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possibility</w:t>
      </w:r>
      <w:r w:rsidR="007B7640" w:rsidRPr="00CD59CC">
        <w:rPr>
          <w:rFonts w:ascii="Arial" w:hAnsi="Arial" w:cs="Arial"/>
          <w:sz w:val="24"/>
          <w:szCs w:val="24"/>
          <w:lang w:val="en-GB"/>
        </w:rPr>
        <w:t xml:space="preserve"> </w:t>
      </w:r>
      <w:r w:rsidRPr="00CD59CC">
        <w:rPr>
          <w:rFonts w:ascii="Arial" w:hAnsi="Arial" w:cs="Arial"/>
          <w:sz w:val="24"/>
          <w:szCs w:val="24"/>
          <w:lang w:val="en-GB"/>
        </w:rPr>
        <w:t>for</w:t>
      </w:r>
      <w:r w:rsidR="007B7640" w:rsidRPr="00CD59CC">
        <w:rPr>
          <w:rFonts w:ascii="Arial" w:hAnsi="Arial" w:cs="Arial"/>
          <w:sz w:val="24"/>
          <w:szCs w:val="24"/>
          <w:lang w:val="en-GB"/>
        </w:rPr>
        <w:t xml:space="preserve"> </w:t>
      </w:r>
      <w:r w:rsidRPr="00CD59CC">
        <w:rPr>
          <w:rFonts w:ascii="Arial" w:hAnsi="Arial" w:cs="Arial"/>
          <w:sz w:val="24"/>
          <w:szCs w:val="24"/>
          <w:lang w:val="en-GB"/>
        </w:rPr>
        <w:t>minority</w:t>
      </w:r>
      <w:r w:rsidR="007B7640" w:rsidRPr="00CD59CC">
        <w:rPr>
          <w:rFonts w:ascii="Arial" w:hAnsi="Arial" w:cs="Arial"/>
          <w:sz w:val="24"/>
          <w:szCs w:val="24"/>
          <w:lang w:val="en-GB"/>
        </w:rPr>
        <w:t xml:space="preserve"> </w:t>
      </w:r>
      <w:r w:rsidRPr="00CD59CC">
        <w:rPr>
          <w:rFonts w:ascii="Arial" w:hAnsi="Arial" w:cs="Arial"/>
          <w:sz w:val="24"/>
          <w:szCs w:val="24"/>
          <w:lang w:val="en-GB"/>
        </w:rPr>
        <w:t>parents</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initiate</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formulation</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separated</w:t>
      </w:r>
      <w:r w:rsidR="007B7640" w:rsidRPr="00CD59CC">
        <w:rPr>
          <w:rFonts w:ascii="Arial" w:hAnsi="Arial" w:cs="Arial"/>
          <w:sz w:val="24"/>
          <w:szCs w:val="24"/>
          <w:lang w:val="en-GB"/>
        </w:rPr>
        <w:t xml:space="preserve"> </w:t>
      </w:r>
      <w:r w:rsidRPr="00CD59CC">
        <w:rPr>
          <w:rFonts w:ascii="Arial" w:hAnsi="Arial" w:cs="Arial"/>
          <w:sz w:val="24"/>
          <w:szCs w:val="24"/>
          <w:lang w:val="en-GB"/>
        </w:rPr>
        <w:t>minority</w:t>
      </w:r>
      <w:r w:rsidR="007B7640" w:rsidRPr="00CD59CC">
        <w:rPr>
          <w:rFonts w:ascii="Arial" w:hAnsi="Arial" w:cs="Arial"/>
          <w:sz w:val="24"/>
          <w:szCs w:val="24"/>
          <w:lang w:val="en-GB"/>
        </w:rPr>
        <w:t xml:space="preserve"> </w:t>
      </w:r>
      <w:r w:rsidRPr="00CD59CC">
        <w:rPr>
          <w:rFonts w:ascii="Arial" w:hAnsi="Arial" w:cs="Arial"/>
          <w:sz w:val="24"/>
          <w:szCs w:val="24"/>
          <w:lang w:val="en-GB"/>
        </w:rPr>
        <w:t>classes</w:t>
      </w:r>
      <w:r w:rsidR="007B7640" w:rsidRPr="00CD59CC">
        <w:rPr>
          <w:rFonts w:ascii="Arial" w:hAnsi="Arial" w:cs="Arial"/>
          <w:sz w:val="24"/>
          <w:szCs w:val="24"/>
          <w:lang w:val="en-GB"/>
        </w:rPr>
        <w:t xml:space="preserve"> </w:t>
      </w:r>
      <w:r w:rsidRPr="00CD59CC">
        <w:rPr>
          <w:rFonts w:ascii="Arial" w:hAnsi="Arial" w:cs="Arial"/>
          <w:sz w:val="24"/>
          <w:szCs w:val="24"/>
          <w:lang w:val="en-GB"/>
        </w:rPr>
        <w:t>for</w:t>
      </w:r>
      <w:r w:rsidR="007B7640" w:rsidRPr="00CD59CC">
        <w:rPr>
          <w:rFonts w:ascii="Arial" w:hAnsi="Arial" w:cs="Arial"/>
          <w:sz w:val="24"/>
          <w:szCs w:val="24"/>
          <w:lang w:val="en-GB"/>
        </w:rPr>
        <w:t xml:space="preserve"> </w:t>
      </w:r>
      <w:r w:rsidRPr="00CD59CC">
        <w:rPr>
          <w:rFonts w:ascii="Arial" w:hAnsi="Arial" w:cs="Arial"/>
          <w:sz w:val="24"/>
          <w:szCs w:val="24"/>
          <w:lang w:val="en-GB"/>
        </w:rPr>
        <w:t>their</w:t>
      </w:r>
      <w:r w:rsidR="007B7640" w:rsidRPr="00CD59CC">
        <w:rPr>
          <w:rFonts w:ascii="Arial" w:hAnsi="Arial" w:cs="Arial"/>
          <w:sz w:val="24"/>
          <w:szCs w:val="24"/>
          <w:lang w:val="en-GB"/>
        </w:rPr>
        <w:t xml:space="preserve"> </w:t>
      </w:r>
      <w:r w:rsidRPr="00CD59CC">
        <w:rPr>
          <w:rFonts w:ascii="Arial" w:hAnsi="Arial" w:cs="Arial"/>
          <w:sz w:val="24"/>
          <w:szCs w:val="24"/>
          <w:lang w:val="en-GB"/>
        </w:rPr>
        <w:t>children,</w:t>
      </w:r>
      <w:r w:rsidR="007B7640" w:rsidRPr="00CD59CC">
        <w:rPr>
          <w:rFonts w:ascii="Arial" w:hAnsi="Arial" w:cs="Arial"/>
          <w:sz w:val="24"/>
          <w:szCs w:val="24"/>
          <w:lang w:val="en-GB"/>
        </w:rPr>
        <w:t xml:space="preserve"> </w:t>
      </w:r>
      <w:r w:rsidRPr="00CD59CC">
        <w:rPr>
          <w:rFonts w:ascii="Arial" w:hAnsi="Arial" w:cs="Arial"/>
          <w:sz w:val="24"/>
          <w:szCs w:val="24"/>
          <w:lang w:val="en-GB"/>
        </w:rPr>
        <w:t>where</w:t>
      </w:r>
      <w:r w:rsidR="007B7640" w:rsidRPr="00CD59CC">
        <w:rPr>
          <w:rFonts w:ascii="Arial" w:hAnsi="Arial" w:cs="Arial"/>
          <w:sz w:val="24"/>
          <w:szCs w:val="24"/>
          <w:lang w:val="en-GB"/>
        </w:rPr>
        <w:t xml:space="preserve"> </w:t>
      </w:r>
      <w:r w:rsidRPr="00CD59CC">
        <w:rPr>
          <w:rFonts w:ascii="Arial" w:hAnsi="Arial" w:cs="Arial"/>
          <w:sz w:val="24"/>
          <w:szCs w:val="24"/>
          <w:lang w:val="en-GB"/>
        </w:rPr>
        <w:t>they</w:t>
      </w:r>
      <w:r w:rsidR="007B7640" w:rsidRPr="00CD59CC">
        <w:rPr>
          <w:rFonts w:ascii="Arial" w:hAnsi="Arial" w:cs="Arial"/>
          <w:sz w:val="24"/>
          <w:szCs w:val="24"/>
          <w:lang w:val="en-GB"/>
        </w:rPr>
        <w:t xml:space="preserve"> </w:t>
      </w:r>
      <w:r w:rsidRPr="00CD59CC">
        <w:rPr>
          <w:rFonts w:ascii="Arial" w:hAnsi="Arial" w:cs="Arial"/>
          <w:sz w:val="24"/>
          <w:szCs w:val="24"/>
          <w:lang w:val="en-GB"/>
        </w:rPr>
        <w:t>can</w:t>
      </w:r>
      <w:r w:rsidR="007B7640" w:rsidRPr="00CD59CC">
        <w:rPr>
          <w:rFonts w:ascii="Arial" w:hAnsi="Arial" w:cs="Arial"/>
          <w:sz w:val="24"/>
          <w:szCs w:val="24"/>
          <w:lang w:val="en-GB"/>
        </w:rPr>
        <w:t xml:space="preserve"> </w:t>
      </w:r>
      <w:r w:rsidRPr="00CD59CC">
        <w:rPr>
          <w:rFonts w:ascii="Arial" w:hAnsi="Arial" w:cs="Arial"/>
          <w:sz w:val="24"/>
          <w:szCs w:val="24"/>
          <w:lang w:val="en-GB"/>
        </w:rPr>
        <w:t>learn</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minority</w:t>
      </w:r>
      <w:r w:rsidR="007B7640" w:rsidRPr="00CD59CC">
        <w:rPr>
          <w:rFonts w:ascii="Arial" w:hAnsi="Arial" w:cs="Arial"/>
          <w:sz w:val="24"/>
          <w:szCs w:val="24"/>
          <w:lang w:val="en-GB"/>
        </w:rPr>
        <w:t xml:space="preserve"> </w:t>
      </w:r>
      <w:r w:rsidRPr="00CD59CC">
        <w:rPr>
          <w:rFonts w:ascii="Arial" w:hAnsi="Arial" w:cs="Arial"/>
          <w:sz w:val="24"/>
          <w:szCs w:val="24"/>
          <w:lang w:val="en-GB"/>
        </w:rPr>
        <w:t>language</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minority</w:t>
      </w:r>
      <w:r w:rsidR="007B7640" w:rsidRPr="00CD59CC">
        <w:rPr>
          <w:rFonts w:ascii="Arial" w:hAnsi="Arial" w:cs="Arial"/>
          <w:sz w:val="24"/>
          <w:szCs w:val="24"/>
          <w:lang w:val="en-GB"/>
        </w:rPr>
        <w:t xml:space="preserve"> </w:t>
      </w:r>
      <w:r w:rsidRPr="00CD59CC">
        <w:rPr>
          <w:rFonts w:ascii="Arial" w:hAnsi="Arial" w:cs="Arial"/>
          <w:sz w:val="24"/>
          <w:szCs w:val="24"/>
          <w:lang w:val="en-GB"/>
        </w:rPr>
        <w:t>culture.</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lastRenderedPageBreak/>
        <w:t>maintain</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legality</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such</w:t>
      </w:r>
      <w:r w:rsidR="007B7640" w:rsidRPr="00CD59CC">
        <w:rPr>
          <w:rFonts w:ascii="Arial" w:hAnsi="Arial" w:cs="Arial"/>
          <w:sz w:val="24"/>
          <w:szCs w:val="24"/>
          <w:lang w:val="en-GB"/>
        </w:rPr>
        <w:t xml:space="preserve"> </w:t>
      </w:r>
      <w:r w:rsidRPr="00CD59CC">
        <w:rPr>
          <w:rFonts w:ascii="Arial" w:hAnsi="Arial" w:cs="Arial"/>
          <w:sz w:val="24"/>
          <w:szCs w:val="24"/>
          <w:lang w:val="en-GB"/>
        </w:rPr>
        <w:t>classes,</w:t>
      </w:r>
      <w:r w:rsidR="007B7640" w:rsidRPr="00CD59CC">
        <w:rPr>
          <w:rFonts w:ascii="Arial" w:hAnsi="Arial" w:cs="Arial"/>
          <w:sz w:val="24"/>
          <w:szCs w:val="24"/>
          <w:lang w:val="en-GB"/>
        </w:rPr>
        <w:t xml:space="preserve"> </w:t>
      </w:r>
      <w:r w:rsidRPr="00CD59CC">
        <w:rPr>
          <w:rFonts w:ascii="Arial" w:hAnsi="Arial" w:cs="Arial"/>
          <w:sz w:val="24"/>
          <w:szCs w:val="24"/>
          <w:lang w:val="en-GB"/>
        </w:rPr>
        <w:t>an</w:t>
      </w:r>
      <w:r w:rsidR="007B7640" w:rsidRPr="00CD59CC">
        <w:rPr>
          <w:rFonts w:ascii="Arial" w:hAnsi="Arial" w:cs="Arial"/>
          <w:sz w:val="24"/>
          <w:szCs w:val="24"/>
          <w:lang w:val="en-GB"/>
        </w:rPr>
        <w:t xml:space="preserve"> </w:t>
      </w:r>
      <w:r w:rsidRPr="00CD59CC">
        <w:rPr>
          <w:rFonts w:ascii="Arial" w:hAnsi="Arial" w:cs="Arial"/>
          <w:sz w:val="24"/>
          <w:szCs w:val="24"/>
          <w:lang w:val="en-GB"/>
        </w:rPr>
        <w:t>exempting</w:t>
      </w:r>
      <w:r w:rsidR="007B7640" w:rsidRPr="00CD59CC">
        <w:rPr>
          <w:rFonts w:ascii="Arial" w:hAnsi="Arial" w:cs="Arial"/>
          <w:sz w:val="24"/>
          <w:szCs w:val="24"/>
          <w:lang w:val="en-GB"/>
        </w:rPr>
        <w:t xml:space="preserve"> </w:t>
      </w:r>
      <w:r w:rsidRPr="00CD59CC">
        <w:rPr>
          <w:rFonts w:ascii="Arial" w:hAnsi="Arial" w:cs="Arial"/>
          <w:sz w:val="24"/>
          <w:szCs w:val="24"/>
          <w:lang w:val="en-GB"/>
        </w:rPr>
        <w:t>rule</w:t>
      </w:r>
      <w:r w:rsidR="007B7640" w:rsidRPr="00CD59CC">
        <w:rPr>
          <w:rFonts w:ascii="Arial" w:hAnsi="Arial" w:cs="Arial"/>
          <w:sz w:val="24"/>
          <w:szCs w:val="24"/>
          <w:lang w:val="en-GB"/>
        </w:rPr>
        <w:t xml:space="preserve"> </w:t>
      </w:r>
      <w:r w:rsidRPr="00CD59CC">
        <w:rPr>
          <w:rFonts w:ascii="Arial" w:hAnsi="Arial" w:cs="Arial"/>
          <w:sz w:val="24"/>
          <w:szCs w:val="24"/>
          <w:lang w:val="en-GB"/>
        </w:rPr>
        <w:t>had</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be</w:t>
      </w:r>
      <w:r w:rsidR="007B7640" w:rsidRPr="00CD59CC">
        <w:rPr>
          <w:rFonts w:ascii="Arial" w:hAnsi="Arial" w:cs="Arial"/>
          <w:sz w:val="24"/>
          <w:szCs w:val="24"/>
          <w:lang w:val="en-GB"/>
        </w:rPr>
        <w:t xml:space="preserve"> </w:t>
      </w:r>
      <w:r w:rsidRPr="00CD59CC">
        <w:rPr>
          <w:rFonts w:ascii="Arial" w:hAnsi="Arial" w:cs="Arial"/>
          <w:sz w:val="24"/>
          <w:szCs w:val="24"/>
          <w:lang w:val="en-GB"/>
        </w:rPr>
        <w:t>inserted.</w:t>
      </w:r>
      <w:r w:rsidR="007B7640" w:rsidRPr="00CD59CC">
        <w:rPr>
          <w:rFonts w:ascii="Arial" w:hAnsi="Arial" w:cs="Arial"/>
          <w:sz w:val="24"/>
          <w:szCs w:val="24"/>
          <w:lang w:val="en-GB"/>
        </w:rPr>
        <w:t xml:space="preserve"> </w:t>
      </w:r>
      <w:r w:rsidRPr="00CD59CC">
        <w:rPr>
          <w:rFonts w:ascii="Arial" w:hAnsi="Arial" w:cs="Arial"/>
          <w:sz w:val="24"/>
          <w:szCs w:val="24"/>
          <w:lang w:val="en-GB"/>
        </w:rPr>
        <w:t>This</w:t>
      </w:r>
      <w:r w:rsidR="007B7640" w:rsidRPr="00CD59CC">
        <w:rPr>
          <w:rFonts w:ascii="Arial" w:hAnsi="Arial" w:cs="Arial"/>
          <w:sz w:val="24"/>
          <w:szCs w:val="24"/>
          <w:lang w:val="en-GB"/>
        </w:rPr>
        <w:t xml:space="preserve"> </w:t>
      </w:r>
      <w:r w:rsidRPr="00CD59CC">
        <w:rPr>
          <w:rFonts w:ascii="Arial" w:hAnsi="Arial" w:cs="Arial"/>
          <w:sz w:val="24"/>
          <w:szCs w:val="24"/>
          <w:lang w:val="en-GB"/>
        </w:rPr>
        <w:t>is</w:t>
      </w:r>
      <w:r w:rsidR="007B7640" w:rsidRPr="00CD59CC">
        <w:rPr>
          <w:rFonts w:ascii="Arial" w:hAnsi="Arial" w:cs="Arial"/>
          <w:sz w:val="24"/>
          <w:szCs w:val="24"/>
          <w:lang w:val="en-GB"/>
        </w:rPr>
        <w:t xml:space="preserve"> </w:t>
      </w:r>
      <w:r w:rsidRPr="00CD59CC">
        <w:rPr>
          <w:rFonts w:ascii="Arial" w:hAnsi="Arial" w:cs="Arial"/>
          <w:sz w:val="24"/>
          <w:szCs w:val="24"/>
          <w:lang w:val="en-GB"/>
        </w:rPr>
        <w:t>however,</w:t>
      </w:r>
      <w:r w:rsidR="007B7640" w:rsidRPr="00CD59CC">
        <w:rPr>
          <w:rFonts w:ascii="Arial" w:hAnsi="Arial" w:cs="Arial"/>
          <w:sz w:val="24"/>
          <w:szCs w:val="24"/>
          <w:lang w:val="en-GB"/>
        </w:rPr>
        <w:t xml:space="preserve"> </w:t>
      </w:r>
      <w:r w:rsidRPr="00CD59CC">
        <w:rPr>
          <w:rFonts w:ascii="Arial" w:hAnsi="Arial" w:cs="Arial"/>
          <w:sz w:val="24"/>
          <w:szCs w:val="24"/>
          <w:lang w:val="en-GB"/>
        </w:rPr>
        <w:t>only</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possibility</w:t>
      </w:r>
      <w:r w:rsidR="007B7640" w:rsidRPr="00CD59CC">
        <w:rPr>
          <w:rFonts w:ascii="Arial" w:hAnsi="Arial" w:cs="Arial"/>
          <w:sz w:val="24"/>
          <w:szCs w:val="24"/>
          <w:lang w:val="en-GB"/>
        </w:rPr>
        <w:t xml:space="preserve"> </w:t>
      </w:r>
      <w:r w:rsidRPr="00CD59CC">
        <w:rPr>
          <w:rFonts w:ascii="Arial" w:hAnsi="Arial" w:cs="Arial"/>
          <w:sz w:val="24"/>
          <w:szCs w:val="24"/>
          <w:lang w:val="en-GB"/>
        </w:rPr>
        <w:t>and</w:t>
      </w:r>
      <w:r w:rsidR="007B7640" w:rsidRPr="00CD59CC">
        <w:rPr>
          <w:rFonts w:ascii="Arial" w:hAnsi="Arial" w:cs="Arial"/>
          <w:sz w:val="24"/>
          <w:szCs w:val="24"/>
          <w:lang w:val="en-GB"/>
        </w:rPr>
        <w:t xml:space="preserve"> </w:t>
      </w:r>
      <w:r w:rsidRPr="00CD59CC">
        <w:rPr>
          <w:rFonts w:ascii="Arial" w:hAnsi="Arial" w:cs="Arial"/>
          <w:sz w:val="24"/>
          <w:szCs w:val="24"/>
          <w:lang w:val="en-GB"/>
        </w:rPr>
        <w:t>not</w:t>
      </w:r>
      <w:r w:rsidR="007B7640" w:rsidRPr="00CD59CC">
        <w:rPr>
          <w:rFonts w:ascii="Arial" w:hAnsi="Arial" w:cs="Arial"/>
          <w:sz w:val="24"/>
          <w:szCs w:val="24"/>
          <w:lang w:val="en-GB"/>
        </w:rPr>
        <w:t xml:space="preserve"> </w:t>
      </w:r>
      <w:r w:rsidRPr="00CD59CC">
        <w:rPr>
          <w:rFonts w:ascii="Arial" w:hAnsi="Arial" w:cs="Arial"/>
          <w:sz w:val="24"/>
          <w:szCs w:val="24"/>
          <w:lang w:val="en-GB"/>
        </w:rPr>
        <w:t>anything</w:t>
      </w:r>
      <w:r w:rsidR="007B7640" w:rsidRPr="00CD59CC">
        <w:rPr>
          <w:rFonts w:ascii="Arial" w:hAnsi="Arial" w:cs="Arial"/>
          <w:sz w:val="24"/>
          <w:szCs w:val="24"/>
          <w:lang w:val="en-GB"/>
        </w:rPr>
        <w:t xml:space="preserve"> </w:t>
      </w:r>
      <w:r w:rsidRPr="00CD59CC">
        <w:rPr>
          <w:rFonts w:ascii="Arial" w:hAnsi="Arial" w:cs="Arial"/>
          <w:sz w:val="24"/>
          <w:szCs w:val="24"/>
          <w:lang w:val="en-GB"/>
        </w:rPr>
        <w:t>compulsory.)</w:t>
      </w:r>
      <w:r w:rsidR="007B7640" w:rsidRPr="00CD59CC">
        <w:rPr>
          <w:rFonts w:ascii="Arial" w:hAnsi="Arial" w:cs="Arial"/>
          <w:sz w:val="24"/>
          <w:szCs w:val="24"/>
          <w:lang w:val="en-GB"/>
        </w:rPr>
        <w:t xml:space="preserve"> </w:t>
      </w:r>
    </w:p>
    <w:p w14:paraId="60EE06A2" w14:textId="77777777" w:rsidR="00B97ED3" w:rsidRPr="00CD59CC" w:rsidRDefault="00B97ED3" w:rsidP="00CD59CC">
      <w:pPr>
        <w:pStyle w:val="Fszveg"/>
        <w:spacing w:line="240" w:lineRule="auto"/>
        <w:jc w:val="left"/>
        <w:rPr>
          <w:rFonts w:ascii="Arial" w:hAnsi="Arial" w:cs="Arial"/>
          <w:sz w:val="24"/>
          <w:szCs w:val="24"/>
          <w:lang w:val="en-GB"/>
        </w:rPr>
      </w:pPr>
    </w:p>
    <w:p w14:paraId="26815A3B" w14:textId="77777777" w:rsidR="007F2EEE" w:rsidRPr="00CD59CC" w:rsidRDefault="007F2EEE" w:rsidP="00CD59CC">
      <w:pPr>
        <w:pStyle w:val="Fszveg"/>
        <w:spacing w:line="240" w:lineRule="auto"/>
        <w:jc w:val="left"/>
        <w:rPr>
          <w:rFonts w:ascii="Arial" w:hAnsi="Arial" w:cs="Arial"/>
          <w:sz w:val="24"/>
          <w:szCs w:val="24"/>
          <w:lang w:val="en-GB"/>
        </w:rPr>
      </w:pPr>
      <w:r w:rsidRPr="00CD59CC">
        <w:rPr>
          <w:rFonts w:ascii="Arial" w:hAnsi="Arial" w:cs="Arial"/>
          <w:sz w:val="24"/>
          <w:szCs w:val="24"/>
          <w:lang w:val="en-GB"/>
        </w:rPr>
        <w:t>Under</w:t>
      </w:r>
      <w:r w:rsidR="007B7640" w:rsidRPr="00CD59CC">
        <w:rPr>
          <w:rFonts w:ascii="Arial" w:hAnsi="Arial" w:cs="Arial"/>
          <w:sz w:val="24"/>
          <w:szCs w:val="24"/>
          <w:lang w:val="en-GB"/>
        </w:rPr>
        <w:t xml:space="preserve"> </w:t>
      </w:r>
      <w:r w:rsidRPr="00CD59CC">
        <w:rPr>
          <w:rFonts w:ascii="Arial" w:hAnsi="Arial" w:cs="Arial"/>
          <w:sz w:val="24"/>
          <w:szCs w:val="24"/>
          <w:lang w:val="en-GB"/>
        </w:rPr>
        <w:t>Paragraph</w:t>
      </w:r>
      <w:r w:rsidR="007B7640" w:rsidRPr="00CD59CC">
        <w:rPr>
          <w:rFonts w:ascii="Arial" w:hAnsi="Arial" w:cs="Arial"/>
          <w:sz w:val="24"/>
          <w:szCs w:val="24"/>
          <w:lang w:val="en-GB"/>
        </w:rPr>
        <w:t xml:space="preserve"> </w:t>
      </w:r>
      <w:r w:rsidRPr="00CD59CC">
        <w:rPr>
          <w:rFonts w:ascii="Arial" w:hAnsi="Arial" w:cs="Arial"/>
          <w:sz w:val="24"/>
          <w:szCs w:val="24"/>
          <w:lang w:val="en-GB"/>
        </w:rPr>
        <w:t>(3)</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legal</w:t>
      </w:r>
      <w:r w:rsidR="007B7640" w:rsidRPr="00CD59CC">
        <w:rPr>
          <w:rFonts w:ascii="Arial" w:hAnsi="Arial" w:cs="Arial"/>
          <w:sz w:val="24"/>
          <w:szCs w:val="24"/>
          <w:lang w:val="en-GB"/>
        </w:rPr>
        <w:t xml:space="preserve"> </w:t>
      </w:r>
      <w:r w:rsidRPr="00CD59CC">
        <w:rPr>
          <w:rFonts w:ascii="Arial" w:hAnsi="Arial" w:cs="Arial"/>
          <w:sz w:val="24"/>
          <w:szCs w:val="24"/>
          <w:lang w:val="en-GB"/>
        </w:rPr>
        <w:t>act</w:t>
      </w:r>
      <w:r w:rsidR="007B7640" w:rsidRPr="00CD59CC">
        <w:rPr>
          <w:rFonts w:ascii="Arial" w:hAnsi="Arial" w:cs="Arial"/>
          <w:sz w:val="24"/>
          <w:szCs w:val="24"/>
          <w:lang w:val="en-GB"/>
        </w:rPr>
        <w:t xml:space="preserve"> </w:t>
      </w:r>
      <w:r w:rsidRPr="00CD59CC">
        <w:rPr>
          <w:rFonts w:ascii="Arial" w:hAnsi="Arial" w:cs="Arial"/>
          <w:sz w:val="24"/>
          <w:szCs w:val="24"/>
          <w:lang w:val="en-GB"/>
        </w:rPr>
        <w:t>may</w:t>
      </w:r>
      <w:r w:rsidR="007B7640" w:rsidRPr="00CD59CC">
        <w:rPr>
          <w:rFonts w:ascii="Arial" w:hAnsi="Arial" w:cs="Arial"/>
          <w:sz w:val="24"/>
          <w:szCs w:val="24"/>
          <w:lang w:val="en-GB"/>
        </w:rPr>
        <w:t xml:space="preserve"> </w:t>
      </w:r>
      <w:r w:rsidRPr="00CD59CC">
        <w:rPr>
          <w:rFonts w:ascii="Arial" w:hAnsi="Arial" w:cs="Arial"/>
          <w:sz w:val="24"/>
          <w:szCs w:val="24"/>
          <w:lang w:val="en-GB"/>
        </w:rPr>
        <w:t>divert</w:t>
      </w:r>
      <w:r w:rsidR="007B7640" w:rsidRPr="00CD59CC">
        <w:rPr>
          <w:rFonts w:ascii="Arial" w:hAnsi="Arial" w:cs="Arial"/>
          <w:sz w:val="24"/>
          <w:szCs w:val="24"/>
          <w:lang w:val="en-GB"/>
        </w:rPr>
        <w:t xml:space="preserve"> </w:t>
      </w:r>
      <w:r w:rsidRPr="00CD59CC">
        <w:rPr>
          <w:rFonts w:ascii="Arial" w:hAnsi="Arial" w:cs="Arial"/>
          <w:sz w:val="24"/>
          <w:szCs w:val="24"/>
          <w:lang w:val="en-GB"/>
        </w:rPr>
        <w:t>from</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requirement</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equal</w:t>
      </w:r>
      <w:r w:rsidR="007B7640" w:rsidRPr="00CD59CC">
        <w:rPr>
          <w:rFonts w:ascii="Arial" w:hAnsi="Arial" w:cs="Arial"/>
          <w:sz w:val="24"/>
          <w:szCs w:val="24"/>
          <w:lang w:val="en-GB"/>
        </w:rPr>
        <w:t xml:space="preserve"> </w:t>
      </w:r>
      <w:r w:rsidRPr="00CD59CC">
        <w:rPr>
          <w:rFonts w:ascii="Arial" w:hAnsi="Arial" w:cs="Arial"/>
          <w:sz w:val="24"/>
          <w:szCs w:val="24"/>
          <w:lang w:val="en-GB"/>
        </w:rPr>
        <w:t>treatment</w:t>
      </w:r>
      <w:r w:rsidR="007B7640" w:rsidRPr="00CD59CC">
        <w:rPr>
          <w:rFonts w:ascii="Arial" w:hAnsi="Arial" w:cs="Arial"/>
          <w:sz w:val="24"/>
          <w:szCs w:val="24"/>
          <w:lang w:val="en-GB"/>
        </w:rPr>
        <w:t xml:space="preserve"> </w:t>
      </w:r>
      <w:r w:rsidRPr="00CD59CC">
        <w:rPr>
          <w:rFonts w:ascii="Arial" w:hAnsi="Arial" w:cs="Arial"/>
          <w:sz w:val="24"/>
          <w:szCs w:val="24"/>
          <w:lang w:val="en-GB"/>
        </w:rPr>
        <w:t>concerning</w:t>
      </w:r>
      <w:r w:rsidR="007B7640" w:rsidRPr="00CD59CC">
        <w:rPr>
          <w:rFonts w:ascii="Arial" w:hAnsi="Arial" w:cs="Arial"/>
          <w:sz w:val="24"/>
          <w:szCs w:val="24"/>
          <w:lang w:val="en-GB"/>
        </w:rPr>
        <w:t xml:space="preserve"> </w:t>
      </w:r>
      <w:r w:rsidRPr="00CD59CC">
        <w:rPr>
          <w:rFonts w:ascii="Arial" w:hAnsi="Arial" w:cs="Arial"/>
          <w:sz w:val="24"/>
          <w:szCs w:val="24"/>
          <w:lang w:val="en-GB"/>
        </w:rPr>
        <w:t>admission</w:t>
      </w:r>
      <w:r w:rsidR="007B7640" w:rsidRPr="00CD59CC">
        <w:rPr>
          <w:rFonts w:ascii="Arial" w:hAnsi="Arial" w:cs="Arial"/>
          <w:sz w:val="24"/>
          <w:szCs w:val="24"/>
          <w:lang w:val="en-GB"/>
        </w:rPr>
        <w:t xml:space="preserve"> </w:t>
      </w:r>
      <w:r w:rsidRPr="00CD59CC">
        <w:rPr>
          <w:rFonts w:ascii="Arial" w:hAnsi="Arial" w:cs="Arial"/>
          <w:sz w:val="24"/>
          <w:szCs w:val="24"/>
          <w:lang w:val="en-GB"/>
        </w:rPr>
        <w:t>criteria</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respect</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educational</w:t>
      </w:r>
      <w:r w:rsidR="007B7640" w:rsidRPr="00CD59CC">
        <w:rPr>
          <w:rFonts w:ascii="Arial" w:hAnsi="Arial" w:cs="Arial"/>
          <w:sz w:val="24"/>
          <w:szCs w:val="24"/>
          <w:lang w:val="en-GB"/>
        </w:rPr>
        <w:t xml:space="preserve"> </w:t>
      </w:r>
      <w:r w:rsidRPr="00CD59CC">
        <w:rPr>
          <w:rFonts w:ascii="Arial" w:hAnsi="Arial" w:cs="Arial"/>
          <w:sz w:val="24"/>
          <w:szCs w:val="24"/>
          <w:lang w:val="en-GB"/>
        </w:rPr>
        <w:t>institutions</w:t>
      </w:r>
      <w:r w:rsidR="007B7640" w:rsidRPr="00CD59CC">
        <w:rPr>
          <w:rFonts w:ascii="Arial" w:hAnsi="Arial" w:cs="Arial"/>
          <w:sz w:val="24"/>
          <w:szCs w:val="24"/>
          <w:lang w:val="en-GB"/>
        </w:rPr>
        <w:t xml:space="preserve"> </w:t>
      </w:r>
      <w:r w:rsidRPr="00CD59CC">
        <w:rPr>
          <w:rFonts w:ascii="Arial" w:hAnsi="Arial" w:cs="Arial"/>
          <w:sz w:val="24"/>
          <w:szCs w:val="24"/>
          <w:lang w:val="en-GB"/>
        </w:rPr>
        <w:t>serving</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protection</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linguistic</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cultural</w:t>
      </w:r>
      <w:r w:rsidR="007B7640" w:rsidRPr="00CD59CC">
        <w:rPr>
          <w:rFonts w:ascii="Arial" w:hAnsi="Arial" w:cs="Arial"/>
          <w:sz w:val="24"/>
          <w:szCs w:val="24"/>
          <w:lang w:val="en-GB"/>
        </w:rPr>
        <w:t xml:space="preserve"> </w:t>
      </w:r>
      <w:r w:rsidRPr="00CD59CC">
        <w:rPr>
          <w:rFonts w:ascii="Arial" w:hAnsi="Arial" w:cs="Arial"/>
          <w:sz w:val="24"/>
          <w:szCs w:val="24"/>
          <w:lang w:val="en-GB"/>
        </w:rPr>
        <w:t>identity,</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denominational</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national</w:t>
      </w:r>
      <w:r w:rsidR="007B7640" w:rsidRPr="00CD59CC">
        <w:rPr>
          <w:rFonts w:ascii="Arial" w:hAnsi="Arial" w:cs="Arial"/>
          <w:sz w:val="24"/>
          <w:szCs w:val="24"/>
          <w:lang w:val="en-GB"/>
        </w:rPr>
        <w:t xml:space="preserve"> </w:t>
      </w:r>
      <w:r w:rsidRPr="00CD59CC">
        <w:rPr>
          <w:rFonts w:ascii="Arial" w:hAnsi="Arial" w:cs="Arial"/>
          <w:sz w:val="24"/>
          <w:szCs w:val="24"/>
          <w:lang w:val="en-GB"/>
        </w:rPr>
        <w:t>minority</w:t>
      </w:r>
      <w:r w:rsidR="007B7640" w:rsidRPr="00CD59CC">
        <w:rPr>
          <w:rFonts w:ascii="Arial" w:hAnsi="Arial" w:cs="Arial"/>
          <w:sz w:val="24"/>
          <w:szCs w:val="24"/>
          <w:lang w:val="en-GB"/>
        </w:rPr>
        <w:t xml:space="preserve"> </w:t>
      </w:r>
      <w:r w:rsidRPr="00CD59CC">
        <w:rPr>
          <w:rFonts w:ascii="Arial" w:hAnsi="Arial" w:cs="Arial"/>
          <w:sz w:val="24"/>
          <w:szCs w:val="24"/>
          <w:lang w:val="en-GB"/>
        </w:rPr>
        <w:t>schools.</w:t>
      </w:r>
      <w:r w:rsidR="007B7640" w:rsidRPr="00CD59CC">
        <w:rPr>
          <w:rFonts w:ascii="Arial" w:hAnsi="Arial" w:cs="Arial"/>
          <w:sz w:val="24"/>
          <w:szCs w:val="24"/>
          <w:lang w:val="en-GB"/>
        </w:rPr>
        <w:t xml:space="preserve"> </w:t>
      </w:r>
    </w:p>
    <w:p w14:paraId="4B6F5A0E" w14:textId="77777777" w:rsidR="007F2EEE" w:rsidRPr="00CD59CC" w:rsidRDefault="007F2EEE" w:rsidP="00CD59CC">
      <w:pPr>
        <w:pStyle w:val="Fszveg"/>
        <w:spacing w:line="240" w:lineRule="auto"/>
        <w:jc w:val="left"/>
        <w:rPr>
          <w:rFonts w:ascii="Arial" w:hAnsi="Arial" w:cs="Arial"/>
          <w:sz w:val="24"/>
          <w:szCs w:val="24"/>
          <w:lang w:val="en-GB"/>
        </w:rPr>
      </w:pPr>
    </w:p>
    <w:p w14:paraId="09DEB603" w14:textId="77777777" w:rsidR="007F2EEE" w:rsidRPr="00CD59CC" w:rsidRDefault="007F2EEE" w:rsidP="00CD59CC">
      <w:pPr>
        <w:pStyle w:val="Fszveg"/>
        <w:spacing w:line="240" w:lineRule="auto"/>
        <w:jc w:val="left"/>
        <w:rPr>
          <w:rFonts w:ascii="Arial" w:hAnsi="Arial" w:cs="Arial"/>
          <w:sz w:val="24"/>
          <w:szCs w:val="24"/>
          <w:lang w:val="en-GB"/>
        </w:rPr>
      </w:pPr>
      <w:r w:rsidRPr="00CD59CC">
        <w:rPr>
          <w:rFonts w:ascii="Arial" w:hAnsi="Arial" w:cs="Arial"/>
          <w:sz w:val="24"/>
          <w:szCs w:val="24"/>
          <w:lang w:val="en-GB"/>
        </w:rPr>
        <w:t>Last,</w:t>
      </w:r>
      <w:r w:rsidR="007B7640" w:rsidRPr="00CD59CC">
        <w:rPr>
          <w:rFonts w:ascii="Arial" w:hAnsi="Arial" w:cs="Arial"/>
          <w:sz w:val="24"/>
          <w:szCs w:val="24"/>
          <w:lang w:val="en-GB"/>
        </w:rPr>
        <w:t xml:space="preserve"> </w:t>
      </w:r>
      <w:r w:rsidRPr="00CD59CC">
        <w:rPr>
          <w:rFonts w:ascii="Arial" w:hAnsi="Arial" w:cs="Arial"/>
          <w:sz w:val="24"/>
          <w:szCs w:val="24"/>
          <w:lang w:val="en-GB"/>
        </w:rPr>
        <w:t>under</w:t>
      </w:r>
      <w:r w:rsidR="007B7640" w:rsidRPr="00CD59CC">
        <w:rPr>
          <w:rFonts w:ascii="Arial" w:hAnsi="Arial" w:cs="Arial"/>
          <w:sz w:val="24"/>
          <w:szCs w:val="24"/>
          <w:lang w:val="en-GB"/>
        </w:rPr>
        <w:t xml:space="preserve"> </w:t>
      </w:r>
      <w:r w:rsidRPr="00CD59CC">
        <w:rPr>
          <w:rFonts w:ascii="Arial" w:hAnsi="Arial" w:cs="Arial"/>
          <w:sz w:val="24"/>
          <w:szCs w:val="24"/>
          <w:lang w:val="en-GB"/>
        </w:rPr>
        <w:t>Article</w:t>
      </w:r>
      <w:r w:rsidR="007B7640" w:rsidRPr="00CD59CC">
        <w:rPr>
          <w:rFonts w:ascii="Arial" w:hAnsi="Arial" w:cs="Arial"/>
          <w:sz w:val="24"/>
          <w:szCs w:val="24"/>
          <w:lang w:val="en-GB"/>
        </w:rPr>
        <w:t xml:space="preserve"> </w:t>
      </w:r>
      <w:r w:rsidRPr="00CD59CC">
        <w:rPr>
          <w:rFonts w:ascii="Arial" w:hAnsi="Arial" w:cs="Arial"/>
          <w:sz w:val="24"/>
          <w:szCs w:val="24"/>
          <w:lang w:val="en-GB"/>
        </w:rPr>
        <w:t>29,</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government</w:t>
      </w:r>
      <w:r w:rsidR="007B7640" w:rsidRPr="00CD59CC">
        <w:rPr>
          <w:rFonts w:ascii="Arial" w:hAnsi="Arial" w:cs="Arial"/>
          <w:sz w:val="24"/>
          <w:szCs w:val="24"/>
          <w:lang w:val="en-GB"/>
        </w:rPr>
        <w:t xml:space="preserve"> </w:t>
      </w:r>
      <w:r w:rsidRPr="00CD59CC">
        <w:rPr>
          <w:rFonts w:ascii="Arial" w:hAnsi="Arial" w:cs="Arial"/>
          <w:sz w:val="24"/>
          <w:szCs w:val="24"/>
          <w:lang w:val="en-GB"/>
        </w:rPr>
        <w:t>decree</w:t>
      </w:r>
      <w:r w:rsidR="007B7640" w:rsidRPr="00CD59CC">
        <w:rPr>
          <w:rFonts w:ascii="Arial" w:hAnsi="Arial" w:cs="Arial"/>
          <w:sz w:val="24"/>
          <w:szCs w:val="24"/>
          <w:lang w:val="en-GB"/>
        </w:rPr>
        <w:t xml:space="preserve"> </w:t>
      </w:r>
      <w:r w:rsidRPr="00CD59CC">
        <w:rPr>
          <w:rFonts w:ascii="Arial" w:hAnsi="Arial" w:cs="Arial"/>
          <w:sz w:val="24"/>
          <w:szCs w:val="24"/>
          <w:lang w:val="en-GB"/>
        </w:rPr>
        <w:t>created</w:t>
      </w:r>
      <w:r w:rsidR="007B7640" w:rsidRPr="00CD59CC">
        <w:rPr>
          <w:rFonts w:ascii="Arial" w:hAnsi="Arial" w:cs="Arial"/>
          <w:sz w:val="24"/>
          <w:szCs w:val="24"/>
          <w:lang w:val="en-GB"/>
        </w:rPr>
        <w:t xml:space="preserve"> </w:t>
      </w:r>
      <w:r w:rsidRPr="00CD59CC">
        <w:rPr>
          <w:rFonts w:ascii="Arial" w:hAnsi="Arial" w:cs="Arial"/>
          <w:sz w:val="24"/>
          <w:szCs w:val="24"/>
          <w:lang w:val="en-GB"/>
        </w:rPr>
        <w:t>pursuant</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law</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authorisation</w:t>
      </w:r>
      <w:r w:rsidR="007B7640" w:rsidRPr="00CD59CC">
        <w:rPr>
          <w:rFonts w:ascii="Arial" w:hAnsi="Arial" w:cs="Arial"/>
          <w:sz w:val="24"/>
          <w:szCs w:val="24"/>
          <w:lang w:val="en-GB"/>
        </w:rPr>
        <w:t xml:space="preserve"> </w:t>
      </w:r>
      <w:r w:rsidRPr="00CD59CC">
        <w:rPr>
          <w:rFonts w:ascii="Arial" w:hAnsi="Arial" w:cs="Arial"/>
          <w:sz w:val="24"/>
          <w:szCs w:val="24"/>
          <w:lang w:val="en-GB"/>
        </w:rPr>
        <w:t>thereof</w:t>
      </w:r>
      <w:r w:rsidR="007B7640" w:rsidRPr="00CD59CC">
        <w:rPr>
          <w:rFonts w:ascii="Arial" w:hAnsi="Arial" w:cs="Arial"/>
          <w:sz w:val="24"/>
          <w:szCs w:val="24"/>
          <w:lang w:val="en-GB"/>
        </w:rPr>
        <w:t xml:space="preserve"> </w:t>
      </w:r>
      <w:r w:rsidRPr="00CD59CC">
        <w:rPr>
          <w:rFonts w:ascii="Arial" w:hAnsi="Arial" w:cs="Arial"/>
          <w:sz w:val="24"/>
          <w:szCs w:val="24"/>
          <w:lang w:val="en-GB"/>
        </w:rPr>
        <w:t>may</w:t>
      </w:r>
      <w:r w:rsidR="007B7640" w:rsidRPr="00CD59CC">
        <w:rPr>
          <w:rFonts w:ascii="Arial" w:hAnsi="Arial" w:cs="Arial"/>
          <w:sz w:val="24"/>
          <w:szCs w:val="24"/>
          <w:lang w:val="en-GB"/>
        </w:rPr>
        <w:t xml:space="preserve"> </w:t>
      </w:r>
      <w:r w:rsidRPr="00CD59CC">
        <w:rPr>
          <w:rFonts w:ascii="Arial" w:hAnsi="Arial" w:cs="Arial"/>
          <w:sz w:val="24"/>
          <w:szCs w:val="24"/>
          <w:lang w:val="en-GB"/>
        </w:rPr>
        <w:t>order</w:t>
      </w:r>
      <w:r w:rsidR="007B7640" w:rsidRPr="00CD59CC">
        <w:rPr>
          <w:rFonts w:ascii="Arial" w:hAnsi="Arial" w:cs="Arial"/>
          <w:sz w:val="24"/>
          <w:szCs w:val="24"/>
          <w:lang w:val="en-GB"/>
        </w:rPr>
        <w:t xml:space="preserve"> </w:t>
      </w:r>
      <w:r w:rsidRPr="00CD59CC">
        <w:rPr>
          <w:rFonts w:ascii="Arial" w:hAnsi="Arial" w:cs="Arial"/>
          <w:sz w:val="24"/>
          <w:szCs w:val="24"/>
          <w:lang w:val="en-GB"/>
        </w:rPr>
        <w:t>an</w:t>
      </w:r>
      <w:r w:rsidR="007B7640" w:rsidRPr="00CD59CC">
        <w:rPr>
          <w:rFonts w:ascii="Arial" w:hAnsi="Arial" w:cs="Arial"/>
          <w:sz w:val="24"/>
          <w:szCs w:val="24"/>
          <w:lang w:val="en-GB"/>
        </w:rPr>
        <w:t xml:space="preserve"> </w:t>
      </w:r>
      <w:r w:rsidRPr="00CD59CC">
        <w:rPr>
          <w:rFonts w:ascii="Arial" w:hAnsi="Arial" w:cs="Arial"/>
          <w:sz w:val="24"/>
          <w:szCs w:val="24"/>
          <w:lang w:val="en-GB"/>
        </w:rPr>
        <w:t>obligation</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give</w:t>
      </w:r>
      <w:r w:rsidR="007B7640" w:rsidRPr="00CD59CC">
        <w:rPr>
          <w:rFonts w:ascii="Arial" w:hAnsi="Arial" w:cs="Arial"/>
          <w:sz w:val="24"/>
          <w:szCs w:val="24"/>
          <w:lang w:val="en-GB"/>
        </w:rPr>
        <w:t xml:space="preserve"> </w:t>
      </w:r>
      <w:r w:rsidRPr="00CD59CC">
        <w:rPr>
          <w:rFonts w:ascii="Arial" w:hAnsi="Arial" w:cs="Arial"/>
          <w:sz w:val="24"/>
          <w:szCs w:val="24"/>
          <w:lang w:val="en-GB"/>
        </w:rPr>
        <w:t>positive</w:t>
      </w:r>
      <w:r w:rsidR="007B7640" w:rsidRPr="00CD59CC">
        <w:rPr>
          <w:rFonts w:ascii="Arial" w:hAnsi="Arial" w:cs="Arial"/>
          <w:sz w:val="24"/>
          <w:szCs w:val="24"/>
          <w:lang w:val="en-GB"/>
        </w:rPr>
        <w:t xml:space="preserve"> </w:t>
      </w:r>
      <w:r w:rsidRPr="00CD59CC">
        <w:rPr>
          <w:rFonts w:ascii="Arial" w:hAnsi="Arial" w:cs="Arial"/>
          <w:sz w:val="24"/>
          <w:szCs w:val="24"/>
          <w:lang w:val="en-GB"/>
        </w:rPr>
        <w:t>discrimination</w:t>
      </w:r>
      <w:r w:rsidR="007B7640" w:rsidRPr="00CD59CC">
        <w:rPr>
          <w:rFonts w:ascii="Arial" w:hAnsi="Arial" w:cs="Arial"/>
          <w:sz w:val="24"/>
          <w:szCs w:val="24"/>
          <w:lang w:val="en-GB"/>
        </w:rPr>
        <w:t xml:space="preserve"> </w:t>
      </w:r>
      <w:r w:rsidRPr="00CD59CC">
        <w:rPr>
          <w:rFonts w:ascii="Arial" w:hAnsi="Arial" w:cs="Arial"/>
          <w:sz w:val="24"/>
          <w:szCs w:val="24"/>
          <w:lang w:val="en-GB"/>
        </w:rPr>
        <w:t>to</w:t>
      </w:r>
      <w:r w:rsidR="007B7640" w:rsidRPr="00CD59CC">
        <w:rPr>
          <w:rFonts w:ascii="Arial" w:hAnsi="Arial" w:cs="Arial"/>
          <w:sz w:val="24"/>
          <w:szCs w:val="24"/>
          <w:lang w:val="en-GB"/>
        </w:rPr>
        <w:t xml:space="preserve"> </w:t>
      </w:r>
      <w:r w:rsidRPr="00CD59CC">
        <w:rPr>
          <w:rFonts w:ascii="Arial" w:hAnsi="Arial" w:cs="Arial"/>
          <w:sz w:val="24"/>
          <w:szCs w:val="24"/>
          <w:lang w:val="en-GB"/>
        </w:rPr>
        <w:t>a</w:t>
      </w:r>
      <w:r w:rsidR="007B7640" w:rsidRPr="00CD59CC">
        <w:rPr>
          <w:rFonts w:ascii="Arial" w:hAnsi="Arial" w:cs="Arial"/>
          <w:sz w:val="24"/>
          <w:szCs w:val="24"/>
          <w:lang w:val="en-GB"/>
        </w:rPr>
        <w:t xml:space="preserve"> </w:t>
      </w:r>
      <w:r w:rsidRPr="00CD59CC">
        <w:rPr>
          <w:rFonts w:ascii="Arial" w:hAnsi="Arial" w:cs="Arial"/>
          <w:sz w:val="24"/>
          <w:szCs w:val="24"/>
          <w:lang w:val="en-GB"/>
        </w:rPr>
        <w:t>specified</w:t>
      </w:r>
      <w:r w:rsidR="007B7640" w:rsidRPr="00CD59CC">
        <w:rPr>
          <w:rFonts w:ascii="Arial" w:hAnsi="Arial" w:cs="Arial"/>
          <w:sz w:val="24"/>
          <w:szCs w:val="24"/>
          <w:lang w:val="en-GB"/>
        </w:rPr>
        <w:t xml:space="preserve"> </w:t>
      </w:r>
      <w:r w:rsidRPr="00CD59CC">
        <w:rPr>
          <w:rFonts w:ascii="Arial" w:hAnsi="Arial" w:cs="Arial"/>
          <w:sz w:val="24"/>
          <w:szCs w:val="24"/>
          <w:lang w:val="en-GB"/>
        </w:rPr>
        <w:t>group</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participants</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within</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outside</w:t>
      </w:r>
      <w:r w:rsidR="007B7640" w:rsidRPr="00CD59CC">
        <w:rPr>
          <w:rFonts w:ascii="Arial" w:hAnsi="Arial" w:cs="Arial"/>
          <w:sz w:val="24"/>
          <w:szCs w:val="24"/>
          <w:lang w:val="en-GB"/>
        </w:rPr>
        <w:t xml:space="preserve"> </w:t>
      </w:r>
      <w:r w:rsidRPr="00CD59CC">
        <w:rPr>
          <w:rFonts w:ascii="Arial" w:hAnsi="Arial" w:cs="Arial"/>
          <w:sz w:val="24"/>
          <w:szCs w:val="24"/>
          <w:lang w:val="en-GB"/>
        </w:rPr>
        <w:t>the</w:t>
      </w:r>
      <w:r w:rsidR="007B7640" w:rsidRPr="00CD59CC">
        <w:rPr>
          <w:rFonts w:ascii="Arial" w:hAnsi="Arial" w:cs="Arial"/>
          <w:sz w:val="24"/>
          <w:szCs w:val="24"/>
          <w:lang w:val="en-GB"/>
        </w:rPr>
        <w:t xml:space="preserve"> </w:t>
      </w:r>
      <w:r w:rsidRPr="00CD59CC">
        <w:rPr>
          <w:rFonts w:ascii="Arial" w:hAnsi="Arial" w:cs="Arial"/>
          <w:sz w:val="24"/>
          <w:szCs w:val="24"/>
          <w:lang w:val="en-GB"/>
        </w:rPr>
        <w:t>school</w:t>
      </w:r>
      <w:r w:rsidR="007B7640" w:rsidRPr="00CD59CC">
        <w:rPr>
          <w:rFonts w:ascii="Arial" w:hAnsi="Arial" w:cs="Arial"/>
          <w:sz w:val="24"/>
          <w:szCs w:val="24"/>
          <w:lang w:val="en-GB"/>
        </w:rPr>
        <w:t xml:space="preserve"> </w:t>
      </w:r>
      <w:r w:rsidRPr="00CD59CC">
        <w:rPr>
          <w:rFonts w:ascii="Arial" w:hAnsi="Arial" w:cs="Arial"/>
          <w:sz w:val="24"/>
          <w:szCs w:val="24"/>
          <w:lang w:val="en-GB"/>
        </w:rPr>
        <w:t>system</w:t>
      </w:r>
      <w:r w:rsidR="007B7640" w:rsidRPr="00CD59CC">
        <w:rPr>
          <w:rFonts w:ascii="Arial" w:hAnsi="Arial" w:cs="Arial"/>
          <w:sz w:val="24"/>
          <w:szCs w:val="24"/>
          <w:lang w:val="en-GB"/>
        </w:rPr>
        <w:t xml:space="preserve"> </w:t>
      </w:r>
      <w:r w:rsidRPr="00CD59CC">
        <w:rPr>
          <w:rFonts w:ascii="Arial" w:hAnsi="Arial" w:cs="Arial"/>
          <w:sz w:val="24"/>
          <w:szCs w:val="24"/>
          <w:lang w:val="en-GB"/>
        </w:rPr>
        <w:t>in</w:t>
      </w:r>
      <w:r w:rsidR="007B7640" w:rsidRPr="00CD59CC">
        <w:rPr>
          <w:rFonts w:ascii="Arial" w:hAnsi="Arial" w:cs="Arial"/>
          <w:sz w:val="24"/>
          <w:szCs w:val="24"/>
          <w:lang w:val="en-GB"/>
        </w:rPr>
        <w:t xml:space="preserve"> </w:t>
      </w:r>
      <w:r w:rsidRPr="00CD59CC">
        <w:rPr>
          <w:rFonts w:ascii="Arial" w:hAnsi="Arial" w:cs="Arial"/>
          <w:sz w:val="24"/>
          <w:szCs w:val="24"/>
          <w:lang w:val="en-GB"/>
        </w:rPr>
        <w:t>respect</w:t>
      </w:r>
      <w:r w:rsidR="007B7640" w:rsidRPr="00CD59CC">
        <w:rPr>
          <w:rFonts w:ascii="Arial" w:hAnsi="Arial" w:cs="Arial"/>
          <w:sz w:val="24"/>
          <w:szCs w:val="24"/>
          <w:lang w:val="en-GB"/>
        </w:rPr>
        <w:t xml:space="preserve"> </w:t>
      </w:r>
      <w:r w:rsidRPr="00CD59CC">
        <w:rPr>
          <w:rFonts w:ascii="Arial" w:hAnsi="Arial" w:cs="Arial"/>
          <w:sz w:val="24"/>
          <w:szCs w:val="24"/>
          <w:lang w:val="en-GB"/>
        </w:rPr>
        <w:t>of</w:t>
      </w:r>
      <w:r w:rsidR="007B7640" w:rsidRPr="00CD59CC">
        <w:rPr>
          <w:rFonts w:ascii="Arial" w:hAnsi="Arial" w:cs="Arial"/>
          <w:sz w:val="24"/>
          <w:szCs w:val="24"/>
          <w:lang w:val="en-GB"/>
        </w:rPr>
        <w:t xml:space="preserve"> </w:t>
      </w:r>
      <w:r w:rsidRPr="00CD59CC">
        <w:rPr>
          <w:rFonts w:ascii="Arial" w:hAnsi="Arial" w:cs="Arial"/>
          <w:sz w:val="24"/>
          <w:szCs w:val="24"/>
          <w:lang w:val="en-GB"/>
        </w:rPr>
        <w:t>education</w:t>
      </w:r>
      <w:r w:rsidR="007B7640" w:rsidRPr="00CD59CC">
        <w:rPr>
          <w:rFonts w:ascii="Arial" w:hAnsi="Arial" w:cs="Arial"/>
          <w:sz w:val="24"/>
          <w:szCs w:val="24"/>
          <w:lang w:val="en-GB"/>
        </w:rPr>
        <w:t xml:space="preserve"> </w:t>
      </w:r>
      <w:r w:rsidRPr="00CD59CC">
        <w:rPr>
          <w:rFonts w:ascii="Arial" w:hAnsi="Arial" w:cs="Arial"/>
          <w:sz w:val="24"/>
          <w:szCs w:val="24"/>
          <w:lang w:val="en-GB"/>
        </w:rPr>
        <w:t>or</w:t>
      </w:r>
      <w:r w:rsidR="007B7640" w:rsidRPr="00CD59CC">
        <w:rPr>
          <w:rFonts w:ascii="Arial" w:hAnsi="Arial" w:cs="Arial"/>
          <w:sz w:val="24"/>
          <w:szCs w:val="24"/>
          <w:lang w:val="en-GB"/>
        </w:rPr>
        <w:t xml:space="preserve"> </w:t>
      </w:r>
      <w:r w:rsidRPr="00CD59CC">
        <w:rPr>
          <w:rFonts w:ascii="Arial" w:hAnsi="Arial" w:cs="Arial"/>
          <w:sz w:val="24"/>
          <w:szCs w:val="24"/>
          <w:lang w:val="en-GB"/>
        </w:rPr>
        <w:t>training.</w:t>
      </w:r>
      <w:r w:rsidR="007B7640" w:rsidRPr="00CD59CC">
        <w:rPr>
          <w:rFonts w:ascii="Arial" w:hAnsi="Arial" w:cs="Arial"/>
          <w:sz w:val="24"/>
          <w:szCs w:val="24"/>
          <w:lang w:val="en-GB"/>
        </w:rPr>
        <w:t xml:space="preserve"> </w:t>
      </w:r>
    </w:p>
    <w:p w14:paraId="3FF94C49" w14:textId="77777777" w:rsidR="007F2EEE" w:rsidRPr="00CD59CC" w:rsidRDefault="007F2EEE" w:rsidP="00CD59CC">
      <w:pPr>
        <w:pStyle w:val="Fszveg"/>
        <w:spacing w:line="240" w:lineRule="auto"/>
        <w:jc w:val="left"/>
        <w:rPr>
          <w:rFonts w:ascii="Arial" w:hAnsi="Arial" w:cs="Arial"/>
          <w:sz w:val="24"/>
          <w:szCs w:val="24"/>
          <w:lang w:val="en-GB"/>
        </w:rPr>
      </w:pPr>
    </w:p>
    <w:p w14:paraId="59F05307" w14:textId="77777777" w:rsidR="007F2EEE" w:rsidRPr="00CD59CC" w:rsidRDefault="007F2EEE"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spite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detailed</w:t>
      </w:r>
      <w:r w:rsidR="007B7640" w:rsidRPr="00CD59CC">
        <w:rPr>
          <w:rFonts w:ascii="Arial" w:hAnsi="Arial" w:cs="Arial"/>
        </w:rPr>
        <w:t xml:space="preserve"> </w:t>
      </w:r>
      <w:r w:rsidRPr="00CD59CC">
        <w:rPr>
          <w:rFonts w:ascii="Arial" w:hAnsi="Arial" w:cs="Arial"/>
        </w:rPr>
        <w:t>legislative</w:t>
      </w:r>
      <w:r w:rsidR="007B7640" w:rsidRPr="00CD59CC">
        <w:rPr>
          <w:rFonts w:ascii="Arial" w:hAnsi="Arial" w:cs="Arial"/>
        </w:rPr>
        <w:t xml:space="preserve"> </w:t>
      </w:r>
      <w:r w:rsidRPr="00CD59CC">
        <w:rPr>
          <w:rFonts w:ascii="Arial" w:hAnsi="Arial" w:cs="Arial"/>
        </w:rPr>
        <w:t>framework,</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different</w:t>
      </w:r>
      <w:r w:rsidR="007B7640" w:rsidRPr="00CD59CC">
        <w:rPr>
          <w:rFonts w:ascii="Arial" w:hAnsi="Arial" w:cs="Arial"/>
        </w:rPr>
        <w:t xml:space="preserve"> </w:t>
      </w:r>
      <w:r w:rsidRPr="00CD59CC">
        <w:rPr>
          <w:rFonts w:ascii="Arial" w:hAnsi="Arial" w:cs="Arial"/>
        </w:rPr>
        <w:t>forms</w:t>
      </w:r>
      <w:r w:rsidR="007B7640" w:rsidRPr="00CD59CC">
        <w:rPr>
          <w:rFonts w:ascii="Arial" w:hAnsi="Arial" w:cs="Arial"/>
        </w:rPr>
        <w:t xml:space="preserve"> </w:t>
      </w:r>
      <w:r w:rsidRPr="00CD59CC">
        <w:rPr>
          <w:rFonts w:ascii="Arial" w:hAnsi="Arial" w:cs="Arial"/>
        </w:rPr>
        <w:t>is</w:t>
      </w:r>
      <w:r w:rsidR="007B7640" w:rsidRPr="00CD59CC">
        <w:rPr>
          <w:rFonts w:ascii="Arial" w:hAnsi="Arial" w:cs="Arial"/>
        </w:rPr>
        <w:t xml:space="preserve"> </w:t>
      </w:r>
      <w:r w:rsidRPr="00CD59CC">
        <w:rPr>
          <w:rFonts w:ascii="Arial" w:hAnsi="Arial" w:cs="Arial"/>
        </w:rPr>
        <w:t>still</w:t>
      </w:r>
      <w:r w:rsidR="007B7640" w:rsidRPr="00CD59CC">
        <w:rPr>
          <w:rFonts w:ascii="Arial" w:hAnsi="Arial" w:cs="Arial"/>
        </w:rPr>
        <w:t xml:space="preserve"> </w:t>
      </w:r>
      <w:r w:rsidRPr="00CD59CC">
        <w:rPr>
          <w:rFonts w:ascii="Arial" w:hAnsi="Arial" w:cs="Arial"/>
        </w:rPr>
        <w:t>widespread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Three</w:t>
      </w:r>
      <w:r w:rsidR="007B7640" w:rsidRPr="00CD59CC">
        <w:rPr>
          <w:rFonts w:ascii="Arial" w:hAnsi="Arial" w:cs="Arial"/>
        </w:rPr>
        <w:t xml:space="preserve"> </w:t>
      </w:r>
      <w:r w:rsidRPr="00CD59CC">
        <w:rPr>
          <w:rFonts w:ascii="Arial" w:hAnsi="Arial" w:cs="Arial"/>
        </w:rPr>
        <w:t>common</w:t>
      </w:r>
      <w:r w:rsidR="007B7640" w:rsidRPr="00CD59CC">
        <w:rPr>
          <w:rFonts w:ascii="Arial" w:hAnsi="Arial" w:cs="Arial"/>
        </w:rPr>
        <w:t xml:space="preserve"> </w:t>
      </w:r>
      <w:r w:rsidRPr="00CD59CC">
        <w:rPr>
          <w:rFonts w:ascii="Arial" w:hAnsi="Arial" w:cs="Arial"/>
        </w:rPr>
        <w:t>patterns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seem</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unfold:</w:t>
      </w:r>
      <w:r w:rsidR="007B7640" w:rsidRPr="00CD59CC">
        <w:rPr>
          <w:rFonts w:ascii="Arial" w:hAnsi="Arial" w:cs="Arial"/>
        </w:rPr>
        <w:t xml:space="preserve"> </w:t>
      </w:r>
      <w:r w:rsidRPr="00CD59CC">
        <w:rPr>
          <w:rFonts w:ascii="Arial" w:hAnsi="Arial" w:cs="Arial"/>
        </w:rPr>
        <w:t>(i)</w:t>
      </w:r>
      <w:r w:rsidR="007B7640" w:rsidRPr="00CD59CC">
        <w:rPr>
          <w:rFonts w:ascii="Arial" w:hAnsi="Arial" w:cs="Arial"/>
        </w:rPr>
        <w:t xml:space="preserve"> </w:t>
      </w:r>
      <w:r w:rsidRPr="00CD59CC">
        <w:rPr>
          <w:rFonts w:ascii="Arial" w:hAnsi="Arial" w:cs="Arial"/>
        </w:rPr>
        <w:t>‘auxiliary</w:t>
      </w:r>
      <w:r w:rsidR="007B7640" w:rsidRPr="00CD59CC">
        <w:rPr>
          <w:rFonts w:ascii="Arial" w:hAnsi="Arial" w:cs="Arial"/>
        </w:rPr>
        <w:t xml:space="preserve"> </w:t>
      </w:r>
      <w:r w:rsidRPr="00CD59CC">
        <w:rPr>
          <w:rFonts w:ascii="Arial" w:hAnsi="Arial" w:cs="Arial"/>
        </w:rPr>
        <w:t>schools’</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mental</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are</w:t>
      </w:r>
      <w:r w:rsidR="007B7640" w:rsidRPr="00CD59CC">
        <w:rPr>
          <w:rFonts w:ascii="Arial" w:hAnsi="Arial" w:cs="Arial"/>
        </w:rPr>
        <w:t xml:space="preserve"> </w:t>
      </w:r>
      <w:r w:rsidRPr="00CD59CC">
        <w:rPr>
          <w:rFonts w:ascii="Arial" w:hAnsi="Arial" w:cs="Arial"/>
        </w:rPr>
        <w:t>often</w:t>
      </w:r>
      <w:r w:rsidR="007B7640" w:rsidRPr="00CD59CC">
        <w:rPr>
          <w:rFonts w:ascii="Arial" w:hAnsi="Arial" w:cs="Arial"/>
        </w:rPr>
        <w:t xml:space="preserve"> </w:t>
      </w:r>
      <w:r w:rsidRPr="00CD59CC">
        <w:rPr>
          <w:rFonts w:ascii="Arial" w:hAnsi="Arial" w:cs="Arial"/>
        </w:rPr>
        <w:t>predominantly</w:t>
      </w:r>
      <w:r w:rsidR="007B7640" w:rsidRPr="00CD59CC">
        <w:rPr>
          <w:rFonts w:ascii="Arial" w:hAnsi="Arial" w:cs="Arial"/>
        </w:rPr>
        <w:t xml:space="preserve"> </w:t>
      </w:r>
      <w:r w:rsidRPr="00CD59CC">
        <w:rPr>
          <w:rFonts w:ascii="Arial" w:hAnsi="Arial" w:cs="Arial"/>
        </w:rPr>
        <w:t>attended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students;</w:t>
      </w:r>
      <w:r w:rsidR="007B7640" w:rsidRPr="00CD59CC">
        <w:rPr>
          <w:rFonts w:ascii="Arial" w:hAnsi="Arial" w:cs="Arial"/>
        </w:rPr>
        <w:t xml:space="preserve"> </w:t>
      </w:r>
      <w:r w:rsidRPr="00CD59CC">
        <w:rPr>
          <w:rFonts w:ascii="Arial" w:hAnsi="Arial" w:cs="Arial"/>
        </w:rPr>
        <w:t>(ii)</w:t>
      </w:r>
      <w:r w:rsidR="007B7640" w:rsidRPr="00CD59CC">
        <w:rPr>
          <w:rFonts w:ascii="Arial" w:hAnsi="Arial" w:cs="Arial"/>
        </w:rPr>
        <w:t xml:space="preserve"> </w:t>
      </w:r>
      <w:r w:rsidRPr="00CD59CC">
        <w:rPr>
          <w:rFonts w:ascii="Arial" w:hAnsi="Arial" w:cs="Arial"/>
        </w:rPr>
        <w:t>segregated</w:t>
      </w:r>
      <w:r w:rsidR="007B7640" w:rsidRPr="00CD59CC">
        <w:rPr>
          <w:rFonts w:ascii="Arial" w:hAnsi="Arial" w:cs="Arial"/>
        </w:rPr>
        <w:t xml:space="preserve"> </w:t>
      </w:r>
      <w:r w:rsidRPr="00CD59CC">
        <w:rPr>
          <w:rFonts w:ascii="Arial" w:hAnsi="Arial" w:cs="Arial"/>
        </w:rPr>
        <w:t>‘Gypsy</w:t>
      </w:r>
      <w:r w:rsidR="007B7640" w:rsidRPr="00CD59CC">
        <w:rPr>
          <w:rFonts w:ascii="Arial" w:hAnsi="Arial" w:cs="Arial"/>
        </w:rPr>
        <w:t xml:space="preserve"> </w:t>
      </w:r>
      <w:r w:rsidRPr="00CD59CC">
        <w:rPr>
          <w:rFonts w:ascii="Arial" w:hAnsi="Arial" w:cs="Arial"/>
        </w:rPr>
        <w:t>schools’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distribution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often</w:t>
      </w:r>
      <w:r w:rsidR="007B7640" w:rsidRPr="00CD59CC">
        <w:rPr>
          <w:rFonts w:ascii="Arial" w:hAnsi="Arial" w:cs="Arial"/>
        </w:rPr>
        <w:t xml:space="preserve"> </w:t>
      </w:r>
      <w:r w:rsidRPr="00CD59CC">
        <w:rPr>
          <w:rFonts w:ascii="Arial" w:hAnsi="Arial" w:cs="Arial"/>
        </w:rPr>
        <w:t>reflects</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housing;</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finally</w:t>
      </w:r>
      <w:r w:rsidR="007B7640" w:rsidRPr="00CD59CC">
        <w:rPr>
          <w:rFonts w:ascii="Arial" w:hAnsi="Arial" w:cs="Arial"/>
        </w:rPr>
        <w:t xml:space="preserve"> </w:t>
      </w:r>
      <w:r w:rsidRPr="00CD59CC">
        <w:rPr>
          <w:rFonts w:ascii="Arial" w:hAnsi="Arial" w:cs="Arial"/>
        </w:rPr>
        <w:t>(iii)</w:t>
      </w:r>
      <w:r w:rsidR="007B7640" w:rsidRPr="00CD59CC">
        <w:rPr>
          <w:rFonts w:ascii="Arial" w:hAnsi="Arial" w:cs="Arial"/>
        </w:rPr>
        <w:t xml:space="preserve"> </w:t>
      </w:r>
      <w:r w:rsidRPr="00CD59CC">
        <w:rPr>
          <w:rFonts w:ascii="Arial" w:hAnsi="Arial" w:cs="Arial"/>
        </w:rPr>
        <w:t>segregated</w:t>
      </w:r>
      <w:r w:rsidR="007B7640" w:rsidRPr="00CD59CC">
        <w:rPr>
          <w:rFonts w:ascii="Arial" w:hAnsi="Arial" w:cs="Arial"/>
        </w:rPr>
        <w:t xml:space="preserve"> </w:t>
      </w:r>
      <w:r w:rsidRPr="00CD59CC">
        <w:rPr>
          <w:rFonts w:ascii="Arial" w:hAnsi="Arial" w:cs="Arial"/>
        </w:rPr>
        <w:t>classes</w:t>
      </w:r>
      <w:r w:rsidR="007B7640" w:rsidRPr="00CD59CC">
        <w:rPr>
          <w:rFonts w:ascii="Arial" w:hAnsi="Arial" w:cs="Arial"/>
        </w:rPr>
        <w:t xml:space="preserve"> </w:t>
      </w:r>
      <w:r w:rsidRPr="00CD59CC">
        <w:rPr>
          <w:rFonts w:ascii="Arial" w:hAnsi="Arial" w:cs="Arial"/>
        </w:rPr>
        <w:t>(or</w:t>
      </w:r>
      <w:r w:rsidR="007B7640" w:rsidRPr="00CD59CC">
        <w:rPr>
          <w:rFonts w:ascii="Arial" w:hAnsi="Arial" w:cs="Arial"/>
        </w:rPr>
        <w:t xml:space="preserve"> </w:t>
      </w:r>
      <w:r w:rsidRPr="00CD59CC">
        <w:rPr>
          <w:rFonts w:ascii="Arial" w:hAnsi="Arial" w:cs="Arial"/>
        </w:rPr>
        <w:t>even</w:t>
      </w:r>
      <w:r w:rsidR="007B7640" w:rsidRPr="00CD59CC">
        <w:rPr>
          <w:rFonts w:ascii="Arial" w:hAnsi="Arial" w:cs="Arial"/>
        </w:rPr>
        <w:t xml:space="preserve"> </w:t>
      </w:r>
      <w:r w:rsidRPr="00CD59CC">
        <w:rPr>
          <w:rFonts w:ascii="Arial" w:hAnsi="Arial" w:cs="Arial"/>
        </w:rPr>
        <w:t>buildings)</w:t>
      </w:r>
      <w:r w:rsidR="007B7640" w:rsidRPr="00CD59CC">
        <w:rPr>
          <w:rFonts w:ascii="Arial" w:hAnsi="Arial" w:cs="Arial"/>
        </w:rPr>
        <w:t xml:space="preserve"> </w:t>
      </w:r>
      <w:r w:rsidRPr="00CD59CC">
        <w:rPr>
          <w:rFonts w:ascii="Arial" w:hAnsi="Arial" w:cs="Arial"/>
        </w:rPr>
        <w:t>within</w:t>
      </w:r>
      <w:r w:rsidR="007B7640" w:rsidRPr="00CD59CC">
        <w:rPr>
          <w:rFonts w:ascii="Arial" w:hAnsi="Arial" w:cs="Arial"/>
        </w:rPr>
        <w:t xml:space="preserve"> </w:t>
      </w:r>
      <w:r w:rsidRPr="00CD59CC">
        <w:rPr>
          <w:rFonts w:ascii="Arial" w:hAnsi="Arial" w:cs="Arial"/>
        </w:rPr>
        <w:t>‘mixed’</w:t>
      </w:r>
      <w:r w:rsidR="007B7640" w:rsidRPr="00CD59CC">
        <w:rPr>
          <w:rFonts w:ascii="Arial" w:hAnsi="Arial" w:cs="Arial"/>
        </w:rPr>
        <w:t xml:space="preserve"> </w:t>
      </w:r>
      <w:r w:rsidRPr="00CD59CC">
        <w:rPr>
          <w:rFonts w:ascii="Arial" w:hAnsi="Arial" w:cs="Arial"/>
        </w:rPr>
        <w:t>schools,</w:t>
      </w:r>
      <w:r w:rsidR="007B7640" w:rsidRPr="00CD59CC">
        <w:rPr>
          <w:rFonts w:ascii="Arial" w:hAnsi="Arial" w:cs="Arial"/>
        </w:rPr>
        <w:t xml:space="preserve"> </w:t>
      </w:r>
      <w:r w:rsidRPr="00CD59CC">
        <w:rPr>
          <w:rFonts w:ascii="Arial" w:hAnsi="Arial" w:cs="Arial"/>
        </w:rPr>
        <w:t>usually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lower</w:t>
      </w:r>
      <w:r w:rsidR="007B7640" w:rsidRPr="00CD59CC">
        <w:rPr>
          <w:rFonts w:ascii="Arial" w:hAnsi="Arial" w:cs="Arial"/>
        </w:rPr>
        <w:t xml:space="preserve"> </w:t>
      </w:r>
      <w:r w:rsidRPr="00CD59CC">
        <w:rPr>
          <w:rFonts w:ascii="Arial" w:hAnsi="Arial" w:cs="Arial"/>
        </w:rPr>
        <w:t>standard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teaching</w:t>
      </w:r>
      <w:r w:rsidR="007B7640" w:rsidRPr="00CD59CC">
        <w:rPr>
          <w:rFonts w:ascii="Arial" w:hAnsi="Arial" w:cs="Arial"/>
        </w:rPr>
        <w:t xml:space="preserve"> </w:t>
      </w:r>
      <w:r w:rsidRPr="00CD59CC">
        <w:rPr>
          <w:rFonts w:ascii="Arial" w:hAnsi="Arial" w:cs="Arial"/>
        </w:rPr>
        <w:t>materials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quality</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often</w:t>
      </w:r>
      <w:r w:rsidR="007B7640" w:rsidRPr="00CD59CC">
        <w:rPr>
          <w:rFonts w:ascii="Arial" w:hAnsi="Arial" w:cs="Arial"/>
        </w:rPr>
        <w:t xml:space="preserve"> </w:t>
      </w:r>
      <w:r w:rsidRPr="00CD59CC">
        <w:rPr>
          <w:rFonts w:ascii="Arial" w:hAnsi="Arial" w:cs="Arial"/>
        </w:rPr>
        <w:t>abusing</w:t>
      </w:r>
      <w:r w:rsidR="007B7640" w:rsidRPr="00CD59CC">
        <w:rPr>
          <w:rFonts w:ascii="Arial" w:hAnsi="Arial" w:cs="Arial"/>
        </w:rPr>
        <w:t xml:space="preserve"> </w:t>
      </w:r>
      <w:r w:rsidRPr="00CD59CC">
        <w:rPr>
          <w:rFonts w:ascii="Arial" w:hAnsi="Arial" w:cs="Arial"/>
        </w:rPr>
        <w:t>so-called</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form</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assisting</w:t>
      </w:r>
      <w:r w:rsidR="007B7640" w:rsidRPr="00CD59CC">
        <w:rPr>
          <w:rFonts w:ascii="Arial" w:hAnsi="Arial" w:cs="Arial"/>
        </w:rPr>
        <w:t xml:space="preserve"> </w:t>
      </w:r>
      <w:r w:rsidRPr="00CD59CC">
        <w:rPr>
          <w:rFonts w:ascii="Arial" w:hAnsi="Arial" w:cs="Arial"/>
        </w:rPr>
        <w:t>minority</w:t>
      </w:r>
      <w:r w:rsidR="007B7640" w:rsidRPr="00CD59CC">
        <w:rPr>
          <w:rFonts w:ascii="Arial" w:hAnsi="Arial" w:cs="Arial"/>
        </w:rPr>
        <w:t xml:space="preserve"> </w:t>
      </w:r>
      <w:r w:rsidRPr="00CD59CC">
        <w:rPr>
          <w:rFonts w:ascii="Arial" w:hAnsi="Arial" w:cs="Arial"/>
        </w:rPr>
        <w:t>groups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preserving</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cultural</w:t>
      </w:r>
      <w:r w:rsidR="007B7640" w:rsidRPr="00CD59CC">
        <w:rPr>
          <w:rFonts w:ascii="Arial" w:hAnsi="Arial" w:cs="Arial"/>
        </w:rPr>
        <w:t xml:space="preserve"> </w:t>
      </w:r>
      <w:r w:rsidRPr="00CD59CC">
        <w:rPr>
          <w:rFonts w:ascii="Arial" w:hAnsi="Arial" w:cs="Arial"/>
        </w:rPr>
        <w:t>traditions.</w:t>
      </w:r>
      <w:r w:rsidR="007B7640" w:rsidRPr="00CD59CC">
        <w:rPr>
          <w:rFonts w:ascii="Arial" w:hAnsi="Arial" w:cs="Arial"/>
        </w:rPr>
        <w:t xml:space="preserve"> </w:t>
      </w:r>
    </w:p>
    <w:p w14:paraId="73AE0A75" w14:textId="77777777" w:rsidR="007F2EEE" w:rsidRPr="00CD59CC" w:rsidRDefault="007F2EEE" w:rsidP="00CD59CC">
      <w:pPr>
        <w:rPr>
          <w:rFonts w:ascii="Arial" w:hAnsi="Arial" w:cs="Arial"/>
        </w:rPr>
      </w:pPr>
    </w:p>
    <w:p w14:paraId="76D41F50" w14:textId="77777777" w:rsidR="007F2EEE" w:rsidRPr="00CD59CC" w:rsidRDefault="007F2EEE" w:rsidP="00CD59CC">
      <w:pPr>
        <w:rPr>
          <w:rFonts w:ascii="Arial" w:hAnsi="Arial" w:cs="Arial"/>
        </w:rPr>
      </w:pPr>
      <w:r w:rsidRPr="00CD59CC">
        <w:rPr>
          <w:rFonts w:ascii="Arial" w:hAnsi="Arial" w:cs="Arial"/>
        </w:rPr>
        <w:t>The</w:t>
      </w:r>
      <w:r w:rsidR="007B7640" w:rsidRPr="00CD59CC">
        <w:rPr>
          <w:rFonts w:ascii="Arial" w:hAnsi="Arial" w:cs="Arial"/>
        </w:rPr>
        <w:t xml:space="preserve"> </w:t>
      </w:r>
      <w:r w:rsidRPr="00CD59CC">
        <w:rPr>
          <w:rFonts w:ascii="Arial" w:hAnsi="Arial" w:cs="Arial"/>
        </w:rPr>
        <w:t>Chance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Foundation’s</w:t>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cases</w:t>
      </w:r>
      <w:r w:rsidR="007B7640" w:rsidRPr="00CD59CC">
        <w:rPr>
          <w:rFonts w:ascii="Arial" w:hAnsi="Arial" w:cs="Arial"/>
        </w:rPr>
        <w:t xml:space="preserve"> </w:t>
      </w:r>
      <w:r w:rsidRPr="00CD59CC">
        <w:rPr>
          <w:rFonts w:ascii="Arial" w:hAnsi="Arial" w:cs="Arial"/>
        </w:rPr>
        <w:t>described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Annex</w:t>
      </w:r>
      <w:r w:rsidR="007B7640" w:rsidRPr="00CD59CC">
        <w:rPr>
          <w:rFonts w:ascii="Arial" w:hAnsi="Arial" w:cs="Arial"/>
        </w:rPr>
        <w:t xml:space="preserve"> </w:t>
      </w:r>
      <w:r w:rsidRPr="00CD59CC">
        <w:rPr>
          <w:rFonts w:ascii="Arial" w:hAnsi="Arial" w:cs="Arial"/>
        </w:rPr>
        <w:t>3</w:t>
      </w:r>
      <w:r w:rsidR="007B7640" w:rsidRPr="00CD59CC">
        <w:rPr>
          <w:rFonts w:ascii="Arial" w:hAnsi="Arial" w:cs="Arial"/>
        </w:rPr>
        <w:t xml:space="preserve"> </w:t>
      </w:r>
      <w:r w:rsidRPr="00CD59CC">
        <w:rPr>
          <w:rFonts w:ascii="Arial" w:hAnsi="Arial" w:cs="Arial"/>
        </w:rPr>
        <w:t>provide</w:t>
      </w:r>
      <w:r w:rsidR="007B7640" w:rsidRPr="00CD59CC">
        <w:rPr>
          <w:rFonts w:ascii="Arial" w:hAnsi="Arial" w:cs="Arial"/>
        </w:rPr>
        <w:t xml:space="preserve"> </w:t>
      </w:r>
      <w:r w:rsidRPr="00CD59CC">
        <w:rPr>
          <w:rFonts w:ascii="Arial" w:hAnsi="Arial" w:cs="Arial"/>
        </w:rPr>
        <w:t>telling</w:t>
      </w:r>
      <w:r w:rsidR="007B7640" w:rsidRPr="00CD59CC">
        <w:rPr>
          <w:rFonts w:ascii="Arial" w:hAnsi="Arial" w:cs="Arial"/>
        </w:rPr>
        <w:t xml:space="preserve"> </w:t>
      </w:r>
      <w:r w:rsidRPr="00CD59CC">
        <w:rPr>
          <w:rFonts w:ascii="Arial" w:hAnsi="Arial" w:cs="Arial"/>
        </w:rPr>
        <w:t>examples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types</w:t>
      </w:r>
      <w:r w:rsidR="007B7640" w:rsidRPr="00CD59CC">
        <w:rPr>
          <w:rFonts w:ascii="Arial" w:hAnsi="Arial" w:cs="Arial"/>
        </w:rPr>
        <w:t xml:space="preserve"> </w:t>
      </w:r>
      <w:r w:rsidRPr="00CD59CC">
        <w:rPr>
          <w:rFonts w:ascii="Arial" w:hAnsi="Arial" w:cs="Arial"/>
        </w:rPr>
        <w:t>(ii)</w:t>
      </w:r>
      <w:r w:rsidR="007B7640" w:rsidRPr="00CD59CC">
        <w:rPr>
          <w:rFonts w:ascii="Arial" w:hAnsi="Arial" w:cs="Arial"/>
        </w:rPr>
        <w:t xml:space="preserve"> </w:t>
      </w:r>
      <w:r w:rsidRPr="00CD59CC">
        <w:rPr>
          <w:rFonts w:ascii="Arial" w:hAnsi="Arial" w:cs="Arial"/>
        </w:rPr>
        <w:t>(Miskolc)</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(iii)</w:t>
      </w:r>
      <w:r w:rsidR="007B7640" w:rsidRPr="00CD59CC">
        <w:rPr>
          <w:rFonts w:ascii="Arial" w:hAnsi="Arial" w:cs="Arial"/>
        </w:rPr>
        <w:t xml:space="preserve"> </w:t>
      </w:r>
      <w:r w:rsidRPr="00CD59CC">
        <w:rPr>
          <w:rFonts w:ascii="Arial" w:hAnsi="Arial" w:cs="Arial"/>
        </w:rPr>
        <w:t>(Hajdúhadház),</w:t>
      </w:r>
      <w:r w:rsidR="007B7640" w:rsidRPr="00CD59CC">
        <w:rPr>
          <w:rFonts w:ascii="Arial" w:hAnsi="Arial" w:cs="Arial"/>
        </w:rPr>
        <w:t xml:space="preserve"> </w:t>
      </w:r>
      <w:r w:rsidRPr="00CD59CC">
        <w:rPr>
          <w:rFonts w:ascii="Arial" w:hAnsi="Arial" w:cs="Arial"/>
        </w:rPr>
        <w:t>whereas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January</w:t>
      </w:r>
      <w:r w:rsidR="007B7640" w:rsidRPr="00CD59CC">
        <w:rPr>
          <w:rFonts w:ascii="Arial" w:hAnsi="Arial" w:cs="Arial"/>
        </w:rPr>
        <w:t xml:space="preserve"> </w:t>
      </w:r>
      <w:r w:rsidRPr="00CD59CC">
        <w:rPr>
          <w:rFonts w:ascii="Arial" w:hAnsi="Arial" w:cs="Arial"/>
        </w:rPr>
        <w:t>2013</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adjudicated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European</w:t>
      </w:r>
      <w:r w:rsidR="007B7640" w:rsidRPr="00CD59CC">
        <w:rPr>
          <w:rFonts w:ascii="Arial" w:hAnsi="Arial" w:cs="Arial"/>
        </w:rPr>
        <w:t xml:space="preserve"> </w:t>
      </w:r>
      <w:r w:rsidRPr="00CD59CC">
        <w:rPr>
          <w:rFonts w:ascii="Arial" w:hAnsi="Arial" w:cs="Arial"/>
        </w:rPr>
        <w:t>Court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exemplifies</w:t>
      </w:r>
      <w:r w:rsidR="007B7640" w:rsidRPr="00CD59CC">
        <w:rPr>
          <w:rFonts w:ascii="Arial" w:hAnsi="Arial" w:cs="Arial"/>
        </w:rPr>
        <w:t xml:space="preserve"> </w:t>
      </w:r>
      <w:r w:rsidRPr="00CD59CC">
        <w:rPr>
          <w:rFonts w:ascii="Arial" w:hAnsi="Arial" w:cs="Arial"/>
        </w:rPr>
        <w:t>type</w:t>
      </w:r>
      <w:r w:rsidR="007B7640" w:rsidRPr="00CD59CC">
        <w:rPr>
          <w:rFonts w:ascii="Arial" w:hAnsi="Arial" w:cs="Arial"/>
        </w:rPr>
        <w:t xml:space="preserve"> </w:t>
      </w:r>
      <w:r w:rsidRPr="00CD59CC">
        <w:rPr>
          <w:rFonts w:ascii="Arial" w:hAnsi="Arial" w:cs="Arial"/>
        </w:rPr>
        <w:t>(i)</w:t>
      </w:r>
      <w:r w:rsidR="007B7640" w:rsidRPr="00CD59CC">
        <w:rPr>
          <w:rFonts w:ascii="Arial" w:hAnsi="Arial" w:cs="Arial"/>
        </w:rPr>
        <w:t xml:space="preserve"> </w:t>
      </w:r>
      <w:r w:rsidRPr="00CD59CC">
        <w:rPr>
          <w:rFonts w:ascii="Arial" w:hAnsi="Arial" w:cs="Arial"/>
        </w:rPr>
        <w:t>segregation.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case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Horváth</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Kiss</w:t>
      </w:r>
      <w:r w:rsidR="007B7640" w:rsidRPr="00CD59CC">
        <w:rPr>
          <w:rFonts w:ascii="Arial" w:hAnsi="Arial" w:cs="Arial"/>
        </w:rPr>
        <w:t xml:space="preserve"> </w:t>
      </w:r>
      <w:r w:rsidRPr="00CD59CC">
        <w:rPr>
          <w:rFonts w:ascii="Arial" w:hAnsi="Arial" w:cs="Arial"/>
        </w:rPr>
        <w:t>v.</w:t>
      </w:r>
      <w:r w:rsidR="007B7640" w:rsidRPr="00CD59CC">
        <w:rPr>
          <w:rFonts w:ascii="Arial" w:hAnsi="Arial" w:cs="Arial"/>
        </w:rPr>
        <w:t xml:space="preserve"> </w:t>
      </w:r>
      <w:r w:rsidRPr="00CD59CC">
        <w:rPr>
          <w:rFonts w:ascii="Arial" w:hAnsi="Arial" w:cs="Arial"/>
        </w:rPr>
        <w:t>Hungary,</w:t>
      </w:r>
      <w:r w:rsidR="0074367A" w:rsidRPr="00CD59CC">
        <w:rPr>
          <w:rStyle w:val="FootnoteReference"/>
          <w:rFonts w:ascii="Arial" w:hAnsi="Arial" w:cs="Arial"/>
        </w:rPr>
        <w:footnoteReference w:id="66"/>
      </w:r>
      <w:r w:rsidR="007B7640" w:rsidRPr="00CD59CC">
        <w:rPr>
          <w:rFonts w:ascii="Arial" w:hAnsi="Arial" w:cs="Arial"/>
        </w:rPr>
        <w:t xml:space="preserve"> </w:t>
      </w:r>
      <w:r w:rsidRPr="00CD59CC">
        <w:rPr>
          <w:rFonts w:ascii="Arial" w:hAnsi="Arial" w:cs="Arial"/>
        </w:rPr>
        <w:t>two</w:t>
      </w:r>
      <w:r w:rsidR="007B7640" w:rsidRPr="00CD59CC">
        <w:rPr>
          <w:rFonts w:ascii="Arial" w:hAnsi="Arial" w:cs="Arial"/>
        </w:rPr>
        <w:t xml:space="preserve"> </w:t>
      </w:r>
      <w:r w:rsidRPr="00CD59CC">
        <w:rPr>
          <w:rFonts w:ascii="Arial" w:hAnsi="Arial" w:cs="Arial"/>
        </w:rPr>
        <w:t>applicants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origin</w:t>
      </w:r>
      <w:r w:rsidR="007B7640" w:rsidRPr="00CD59CC">
        <w:rPr>
          <w:rFonts w:ascii="Arial" w:hAnsi="Arial" w:cs="Arial"/>
        </w:rPr>
        <w:t xml:space="preserve"> </w:t>
      </w:r>
      <w:r w:rsidRPr="00CD59CC">
        <w:rPr>
          <w:rFonts w:ascii="Arial" w:hAnsi="Arial" w:cs="Arial"/>
        </w:rPr>
        <w:t>filed</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application</w:t>
      </w:r>
      <w:r w:rsidR="007B7640" w:rsidRPr="00CD59CC">
        <w:rPr>
          <w:rFonts w:ascii="Arial" w:hAnsi="Arial" w:cs="Arial"/>
        </w:rPr>
        <w:t xml:space="preserve"> </w:t>
      </w:r>
      <w:r w:rsidRPr="00CD59CC">
        <w:rPr>
          <w:rFonts w:ascii="Arial" w:hAnsi="Arial" w:cs="Arial"/>
        </w:rPr>
        <w:t>against</w:t>
      </w:r>
      <w:r w:rsidR="007B7640" w:rsidRPr="00CD59CC">
        <w:rPr>
          <w:rFonts w:ascii="Arial" w:hAnsi="Arial" w:cs="Arial"/>
        </w:rPr>
        <w:t xml:space="preserve"> </w:t>
      </w:r>
      <w:r w:rsidRPr="00CD59CC">
        <w:rPr>
          <w:rFonts w:ascii="Arial" w:hAnsi="Arial" w:cs="Arial"/>
        </w:rPr>
        <w:t>Hungary</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basis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them</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relegated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schools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“mild</w:t>
      </w:r>
      <w:r w:rsidR="007B7640" w:rsidRPr="00CD59CC">
        <w:rPr>
          <w:rFonts w:ascii="Arial" w:hAnsi="Arial" w:cs="Arial"/>
        </w:rPr>
        <w:t xml:space="preserve"> </w:t>
      </w:r>
      <w:r w:rsidRPr="00CD59CC">
        <w:rPr>
          <w:rFonts w:ascii="Arial" w:hAnsi="Arial" w:cs="Arial"/>
        </w:rPr>
        <w:t>mental</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competent</w:t>
      </w:r>
      <w:r w:rsidR="007B7640" w:rsidRPr="00CD59CC">
        <w:rPr>
          <w:rFonts w:ascii="Arial" w:hAnsi="Arial" w:cs="Arial"/>
        </w:rPr>
        <w:t xml:space="preserve"> </w:t>
      </w:r>
      <w:r w:rsidRPr="00CD59CC">
        <w:rPr>
          <w:rFonts w:ascii="Arial" w:hAnsi="Arial" w:cs="Arial"/>
        </w:rPr>
        <w:t>educational</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panels,</w:t>
      </w:r>
      <w:r w:rsidRPr="00CD59CC">
        <w:rPr>
          <w:rStyle w:val="FootnoteReference"/>
          <w:rFonts w:ascii="Arial" w:hAnsi="Arial" w:cs="Arial"/>
        </w:rPr>
        <w:footnoteReference w:id="67"/>
      </w:r>
      <w:r w:rsidR="007B7640" w:rsidRPr="00CD59CC">
        <w:rPr>
          <w:rFonts w:ascii="Arial" w:hAnsi="Arial" w:cs="Arial"/>
        </w:rPr>
        <w:t xml:space="preserve"> </w:t>
      </w:r>
      <w:r w:rsidRPr="00CD59CC">
        <w:rPr>
          <w:rFonts w:ascii="Arial" w:hAnsi="Arial" w:cs="Arial"/>
        </w:rPr>
        <w:t>although</w:t>
      </w:r>
      <w:r w:rsidR="007B7640" w:rsidRPr="00CD59CC">
        <w:rPr>
          <w:rFonts w:ascii="Arial" w:hAnsi="Arial" w:cs="Arial"/>
        </w:rPr>
        <w:t xml:space="preserve"> </w:t>
      </w:r>
      <w:r w:rsidRPr="00CD59CC">
        <w:rPr>
          <w:rFonts w:ascii="Arial" w:hAnsi="Arial" w:cs="Arial"/>
        </w:rPr>
        <w:t>later</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it</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established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independent</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examinations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neither</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them</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mentally</w:t>
      </w:r>
      <w:r w:rsidR="007B7640" w:rsidRPr="00CD59CC">
        <w:rPr>
          <w:rFonts w:ascii="Arial" w:hAnsi="Arial" w:cs="Arial"/>
        </w:rPr>
        <w:t xml:space="preserve"> </w:t>
      </w:r>
      <w:r w:rsidRPr="00CD59CC">
        <w:rPr>
          <w:rFonts w:ascii="Arial" w:hAnsi="Arial" w:cs="Arial"/>
        </w:rPr>
        <w:t>disabled</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could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educated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school</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normal</w:t>
      </w:r>
      <w:r w:rsidR="007B7640" w:rsidRPr="00CD59CC">
        <w:rPr>
          <w:rFonts w:ascii="Arial" w:hAnsi="Arial" w:cs="Arial"/>
        </w:rPr>
        <w:t xml:space="preserve"> </w:t>
      </w:r>
      <w:r w:rsidRPr="00CD59CC">
        <w:rPr>
          <w:rFonts w:ascii="Arial" w:hAnsi="Arial" w:cs="Arial"/>
        </w:rPr>
        <w:t>curriculum.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ECtHR</w:t>
      </w:r>
      <w:r w:rsidR="007B7640" w:rsidRPr="00CD59CC">
        <w:rPr>
          <w:rFonts w:ascii="Arial" w:hAnsi="Arial" w:cs="Arial"/>
        </w:rPr>
        <w:t xml:space="preserve"> </w:t>
      </w:r>
      <w:r w:rsidRPr="00CD59CC">
        <w:rPr>
          <w:rFonts w:ascii="Arial" w:hAnsi="Arial" w:cs="Arial"/>
        </w:rPr>
        <w:t>noted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tests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used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assess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applicants’</w:t>
      </w:r>
      <w:r w:rsidR="007B7640" w:rsidRPr="00CD59CC">
        <w:rPr>
          <w:rFonts w:ascii="Arial" w:hAnsi="Arial" w:cs="Arial"/>
        </w:rPr>
        <w:t xml:space="preserve"> </w:t>
      </w:r>
      <w:r w:rsidRPr="00CD59CC">
        <w:rPr>
          <w:rFonts w:ascii="Arial" w:hAnsi="Arial" w:cs="Arial"/>
        </w:rPr>
        <w:t>learning</w:t>
      </w:r>
      <w:r w:rsidR="007B7640" w:rsidRPr="00CD59CC">
        <w:rPr>
          <w:rFonts w:ascii="Arial" w:hAnsi="Arial" w:cs="Arial"/>
        </w:rPr>
        <w:t xml:space="preserve"> </w:t>
      </w:r>
      <w:r w:rsidRPr="00CD59CC">
        <w:rPr>
          <w:rFonts w:ascii="Arial" w:hAnsi="Arial" w:cs="Arial"/>
        </w:rPr>
        <w:t>ability</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given</w:t>
      </w:r>
      <w:r w:rsidR="007B7640" w:rsidRPr="00CD59CC">
        <w:rPr>
          <w:rFonts w:ascii="Arial" w:hAnsi="Arial" w:cs="Arial"/>
        </w:rPr>
        <w:t xml:space="preserve"> </w:t>
      </w:r>
      <w:r w:rsidRPr="00CD59CC">
        <w:rPr>
          <w:rFonts w:ascii="Arial" w:hAnsi="Arial" w:cs="Arial"/>
        </w:rPr>
        <w:t>rise</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controversy.</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particular,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Hungarian</w:t>
      </w:r>
      <w:r w:rsidR="007B7640" w:rsidRPr="00CD59CC">
        <w:rPr>
          <w:rFonts w:ascii="Arial" w:hAnsi="Arial" w:cs="Arial"/>
        </w:rPr>
        <w:t xml:space="preserve"> </w:t>
      </w:r>
      <w:r w:rsidRPr="00CD59CC">
        <w:rPr>
          <w:rFonts w:ascii="Arial" w:hAnsi="Arial" w:cs="Arial"/>
        </w:rPr>
        <w:t>authorities</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set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borderline</w:t>
      </w:r>
      <w:r w:rsidR="007B7640" w:rsidRPr="00CD59CC">
        <w:rPr>
          <w:rFonts w:ascii="Arial" w:hAnsi="Arial" w:cs="Arial"/>
        </w:rPr>
        <w:t xml:space="preserve"> </w:t>
      </w:r>
      <w:r w:rsidRPr="00CD59CC">
        <w:rPr>
          <w:rFonts w:ascii="Arial" w:hAnsi="Arial" w:cs="Arial"/>
        </w:rPr>
        <w:t>value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mental</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IQ</w:t>
      </w:r>
      <w:r w:rsidR="007B7640" w:rsidRPr="00CD59CC">
        <w:rPr>
          <w:rFonts w:ascii="Arial" w:hAnsi="Arial" w:cs="Arial"/>
        </w:rPr>
        <w:t xml:space="preserve"> </w:t>
      </w:r>
      <w:r w:rsidRPr="00CD59CC">
        <w:rPr>
          <w:rFonts w:ascii="Arial" w:hAnsi="Arial" w:cs="Arial"/>
        </w:rPr>
        <w:t>86</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thus</w:t>
      </w:r>
      <w:r w:rsidR="007B7640" w:rsidRPr="00CD59CC">
        <w:rPr>
          <w:rFonts w:ascii="Arial" w:hAnsi="Arial" w:cs="Arial"/>
        </w:rPr>
        <w:t xml:space="preserve"> </w:t>
      </w:r>
      <w:r w:rsidRPr="00CD59CC">
        <w:rPr>
          <w:rFonts w:ascii="Arial" w:hAnsi="Arial" w:cs="Arial"/>
        </w:rPr>
        <w:t>significantly</w:t>
      </w:r>
      <w:r w:rsidR="007B7640" w:rsidRPr="00CD59CC">
        <w:rPr>
          <w:rFonts w:ascii="Arial" w:hAnsi="Arial" w:cs="Arial"/>
        </w:rPr>
        <w:t xml:space="preserve"> </w:t>
      </w:r>
      <w:r w:rsidRPr="00CD59CC">
        <w:rPr>
          <w:rFonts w:ascii="Arial" w:hAnsi="Arial" w:cs="Arial"/>
        </w:rPr>
        <w:t>higher</w:t>
      </w:r>
      <w:r w:rsidR="007B7640" w:rsidRPr="00CD59CC">
        <w:rPr>
          <w:rFonts w:ascii="Arial" w:hAnsi="Arial" w:cs="Arial"/>
        </w:rPr>
        <w:t xml:space="preserve"> </w:t>
      </w:r>
      <w:r w:rsidRPr="00CD59CC">
        <w:rPr>
          <w:rFonts w:ascii="Arial" w:hAnsi="Arial" w:cs="Arial"/>
        </w:rPr>
        <w:t>than</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World</w:t>
      </w:r>
      <w:r w:rsidR="007B7640" w:rsidRPr="00CD59CC">
        <w:rPr>
          <w:rFonts w:ascii="Arial" w:hAnsi="Arial" w:cs="Arial"/>
        </w:rPr>
        <w:t xml:space="preserve"> </w:t>
      </w:r>
      <w:r w:rsidRPr="00CD59CC">
        <w:rPr>
          <w:rFonts w:ascii="Arial" w:hAnsi="Arial" w:cs="Arial"/>
        </w:rPr>
        <w:t>Health</w:t>
      </w:r>
      <w:r w:rsidR="007B7640" w:rsidRPr="00CD59CC">
        <w:rPr>
          <w:rFonts w:ascii="Arial" w:hAnsi="Arial" w:cs="Arial"/>
        </w:rPr>
        <w:t xml:space="preserve"> </w:t>
      </w:r>
      <w:r w:rsidRPr="00CD59CC">
        <w:rPr>
          <w:rFonts w:ascii="Arial" w:hAnsi="Arial" w:cs="Arial"/>
        </w:rPr>
        <w:t>Organisation</w:t>
      </w:r>
      <w:r w:rsidR="007B7640" w:rsidRPr="00CD59CC">
        <w:rPr>
          <w:rFonts w:ascii="Arial" w:hAnsi="Arial" w:cs="Arial"/>
        </w:rPr>
        <w:t xml:space="preserve"> </w:t>
      </w:r>
      <w:r w:rsidRPr="00CD59CC">
        <w:rPr>
          <w:rFonts w:ascii="Arial" w:hAnsi="Arial" w:cs="Arial"/>
        </w:rPr>
        <w:t>value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IQ</w:t>
      </w:r>
      <w:r w:rsidR="007B7640" w:rsidRPr="00CD59CC">
        <w:rPr>
          <w:rFonts w:ascii="Arial" w:hAnsi="Arial" w:cs="Arial"/>
        </w:rPr>
        <w:t xml:space="preserve"> </w:t>
      </w:r>
      <w:r w:rsidRPr="00CD59CC">
        <w:rPr>
          <w:rFonts w:ascii="Arial" w:hAnsi="Arial" w:cs="Arial"/>
        </w:rPr>
        <w:t>70.</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ECtHR</w:t>
      </w:r>
      <w:r w:rsidR="007B7640" w:rsidRPr="00CD59CC">
        <w:rPr>
          <w:rFonts w:ascii="Arial" w:hAnsi="Arial" w:cs="Arial"/>
        </w:rPr>
        <w:t xml:space="preserve"> </w:t>
      </w:r>
      <w:r w:rsidRPr="00CD59CC">
        <w:rPr>
          <w:rFonts w:ascii="Arial" w:hAnsi="Arial" w:cs="Arial"/>
        </w:rPr>
        <w:t>also</w:t>
      </w:r>
      <w:r w:rsidR="007B7640" w:rsidRPr="00CD59CC">
        <w:rPr>
          <w:rFonts w:ascii="Arial" w:hAnsi="Arial" w:cs="Arial"/>
        </w:rPr>
        <w:t xml:space="preserve"> </w:t>
      </w:r>
      <w:r w:rsidRPr="00CD59CC">
        <w:rPr>
          <w:rFonts w:ascii="Arial" w:hAnsi="Arial" w:cs="Arial"/>
        </w:rPr>
        <w:t>pointed</w:t>
      </w:r>
      <w:r w:rsidR="007B7640" w:rsidRPr="00CD59CC">
        <w:rPr>
          <w:rFonts w:ascii="Arial" w:hAnsi="Arial" w:cs="Arial"/>
        </w:rPr>
        <w:t xml:space="preserve"> </w:t>
      </w:r>
      <w:r w:rsidRPr="00CD59CC">
        <w:rPr>
          <w:rFonts w:ascii="Arial" w:hAnsi="Arial" w:cs="Arial"/>
        </w:rPr>
        <w:t>out</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panel</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failed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individualise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applicants’</w:t>
      </w:r>
      <w:r w:rsidR="007B7640" w:rsidRPr="00CD59CC">
        <w:rPr>
          <w:rFonts w:ascii="Arial" w:hAnsi="Arial" w:cs="Arial"/>
        </w:rPr>
        <w:t xml:space="preserve"> </w:t>
      </w:r>
      <w:r w:rsidRPr="00CD59CC">
        <w:rPr>
          <w:rFonts w:ascii="Arial" w:hAnsi="Arial" w:cs="Arial"/>
        </w:rPr>
        <w:t>diagnoses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specify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nature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educational</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ECtHR</w:t>
      </w:r>
      <w:r w:rsidR="007B7640" w:rsidRPr="00CD59CC">
        <w:rPr>
          <w:rFonts w:ascii="Arial" w:hAnsi="Arial" w:cs="Arial"/>
        </w:rPr>
        <w:t xml:space="preserve"> </w:t>
      </w:r>
      <w:r w:rsidRPr="00CD59CC">
        <w:rPr>
          <w:rFonts w:ascii="Arial" w:hAnsi="Arial" w:cs="Arial"/>
        </w:rPr>
        <w:t>concluded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schooling</w:t>
      </w:r>
      <w:r w:rsidR="007B7640" w:rsidRPr="00CD59CC">
        <w:rPr>
          <w:rFonts w:ascii="Arial" w:hAnsi="Arial" w:cs="Arial"/>
        </w:rPr>
        <w:t xml:space="preserve"> </w:t>
      </w:r>
      <w:r w:rsidRPr="00CD59CC">
        <w:rPr>
          <w:rFonts w:ascii="Arial" w:hAnsi="Arial" w:cs="Arial"/>
        </w:rPr>
        <w:t>arrangements</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Roma</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alleged</w:t>
      </w:r>
      <w:r w:rsidR="007B7640" w:rsidRPr="00CD59CC">
        <w:rPr>
          <w:rFonts w:ascii="Arial" w:hAnsi="Arial" w:cs="Arial"/>
        </w:rPr>
        <w:t xml:space="preserve"> </w:t>
      </w:r>
      <w:r w:rsidRPr="00CD59CC">
        <w:rPr>
          <w:rFonts w:ascii="Arial" w:hAnsi="Arial" w:cs="Arial"/>
        </w:rPr>
        <w:t>“mild</w:t>
      </w:r>
      <w:r w:rsidR="007B7640" w:rsidRPr="00CD59CC">
        <w:rPr>
          <w:rFonts w:ascii="Arial" w:hAnsi="Arial" w:cs="Arial"/>
        </w:rPr>
        <w:t xml:space="preserve"> </w:t>
      </w:r>
      <w:r w:rsidRPr="00CD59CC">
        <w:rPr>
          <w:rFonts w:ascii="Arial" w:hAnsi="Arial" w:cs="Arial"/>
        </w:rPr>
        <w:t>mental</w:t>
      </w:r>
      <w:r w:rsidR="007B7640" w:rsidRPr="00CD59CC">
        <w:rPr>
          <w:rFonts w:ascii="Arial" w:hAnsi="Arial" w:cs="Arial"/>
        </w:rPr>
        <w:t xml:space="preserve"> </w:t>
      </w:r>
      <w:r w:rsidRPr="00CD59CC">
        <w:rPr>
          <w:rFonts w:ascii="Arial" w:hAnsi="Arial" w:cs="Arial"/>
        </w:rPr>
        <w:t>disability”</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not</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attended</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adequate</w:t>
      </w:r>
      <w:r w:rsidR="007B7640" w:rsidRPr="00CD59CC">
        <w:rPr>
          <w:rFonts w:ascii="Arial" w:hAnsi="Arial" w:cs="Arial"/>
        </w:rPr>
        <w:t xml:space="preserve"> </w:t>
      </w:r>
      <w:r w:rsidRPr="00CD59CC">
        <w:rPr>
          <w:rFonts w:ascii="Arial" w:hAnsi="Arial" w:cs="Arial"/>
        </w:rPr>
        <w:t>safeguards</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would</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ensured</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special</w:t>
      </w:r>
      <w:r w:rsidR="007B7640" w:rsidRPr="00CD59CC">
        <w:rPr>
          <w:rFonts w:ascii="Arial" w:hAnsi="Arial" w:cs="Arial"/>
        </w:rPr>
        <w:t xml:space="preserve"> </w:t>
      </w:r>
      <w:r w:rsidRPr="00CD59CC">
        <w:rPr>
          <w:rFonts w:ascii="Arial" w:hAnsi="Arial" w:cs="Arial"/>
        </w:rPr>
        <w:t>needs</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members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disadvantaged</w:t>
      </w:r>
      <w:r w:rsidR="007B7640" w:rsidRPr="00CD59CC">
        <w:rPr>
          <w:rFonts w:ascii="Arial" w:hAnsi="Arial" w:cs="Arial"/>
        </w:rPr>
        <w:t xml:space="preserve"> </w:t>
      </w:r>
      <w:r w:rsidRPr="00CD59CC">
        <w:rPr>
          <w:rFonts w:ascii="Arial" w:hAnsi="Arial" w:cs="Arial"/>
        </w:rPr>
        <w:t>group</w:t>
      </w:r>
      <w:r w:rsidR="007B7640" w:rsidRPr="00CD59CC">
        <w:rPr>
          <w:rFonts w:ascii="Arial" w:hAnsi="Arial" w:cs="Arial"/>
        </w:rPr>
        <w:t xml:space="preserve"> </w:t>
      </w:r>
      <w:r w:rsidRPr="00CD59CC">
        <w:rPr>
          <w:rFonts w:ascii="Arial" w:hAnsi="Arial" w:cs="Arial"/>
        </w:rPr>
        <w:t>were</w:t>
      </w:r>
      <w:r w:rsidR="007B7640" w:rsidRPr="00CD59CC">
        <w:rPr>
          <w:rFonts w:ascii="Arial" w:hAnsi="Arial" w:cs="Arial"/>
        </w:rPr>
        <w:t xml:space="preserve"> </w:t>
      </w:r>
      <w:r w:rsidRPr="00CD59CC">
        <w:rPr>
          <w:rFonts w:ascii="Arial" w:hAnsi="Arial" w:cs="Arial"/>
        </w:rPr>
        <w:t>taken</w:t>
      </w:r>
      <w:r w:rsidR="007B7640" w:rsidRPr="00CD59CC">
        <w:rPr>
          <w:rFonts w:ascii="Arial" w:hAnsi="Arial" w:cs="Arial"/>
        </w:rPr>
        <w:t xml:space="preserve"> </w:t>
      </w:r>
      <w:r w:rsidRPr="00CD59CC">
        <w:rPr>
          <w:rFonts w:ascii="Arial" w:hAnsi="Arial" w:cs="Arial"/>
        </w:rPr>
        <w:t>into</w:t>
      </w:r>
      <w:r w:rsidR="007B7640" w:rsidRPr="00CD59CC">
        <w:rPr>
          <w:rFonts w:ascii="Arial" w:hAnsi="Arial" w:cs="Arial"/>
        </w:rPr>
        <w:t xml:space="preserve"> </w:t>
      </w:r>
      <w:r w:rsidRPr="00CD59CC">
        <w:rPr>
          <w:rFonts w:ascii="Arial" w:hAnsi="Arial" w:cs="Arial"/>
        </w:rPr>
        <w:t>account.</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result</w:t>
      </w:r>
      <w:r w:rsidR="007B7640" w:rsidRPr="00CD59CC">
        <w:rPr>
          <w:rFonts w:ascii="Arial" w:hAnsi="Arial" w:cs="Arial"/>
        </w:rPr>
        <w:t xml:space="preserve"> </w:t>
      </w:r>
      <w:r w:rsidRPr="00CD59CC">
        <w:rPr>
          <w:rFonts w:ascii="Arial" w:hAnsi="Arial" w:cs="Arial"/>
        </w:rPr>
        <w:t>they</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isolated</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pupils</w:t>
      </w:r>
      <w:r w:rsidR="007B7640" w:rsidRPr="00CD59CC">
        <w:rPr>
          <w:rFonts w:ascii="Arial" w:hAnsi="Arial" w:cs="Arial"/>
        </w:rPr>
        <w:t xml:space="preserve"> </w:t>
      </w:r>
      <w:r w:rsidRPr="00CD59CC">
        <w:rPr>
          <w:rFonts w:ascii="Arial" w:hAnsi="Arial" w:cs="Arial"/>
        </w:rPr>
        <w:t>from</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wider</w:t>
      </w:r>
      <w:r w:rsidR="007B7640" w:rsidRPr="00CD59CC">
        <w:rPr>
          <w:rFonts w:ascii="Arial" w:hAnsi="Arial" w:cs="Arial"/>
        </w:rPr>
        <w:t xml:space="preserve"> </w:t>
      </w:r>
      <w:r w:rsidRPr="00CD59CC">
        <w:rPr>
          <w:rFonts w:ascii="Arial" w:hAnsi="Arial" w:cs="Arial"/>
        </w:rPr>
        <w:t>population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received</w:t>
      </w:r>
      <w:r w:rsidR="007B7640" w:rsidRPr="00CD59CC">
        <w:rPr>
          <w:rFonts w:ascii="Arial" w:hAnsi="Arial" w:cs="Arial"/>
        </w:rPr>
        <w:t xml:space="preserve"> </w:t>
      </w:r>
      <w:r w:rsidRPr="00CD59CC">
        <w:rPr>
          <w:rFonts w:ascii="Arial" w:hAnsi="Arial" w:cs="Arial"/>
        </w:rPr>
        <w:t>an</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which</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likely</w:t>
      </w:r>
      <w:r w:rsidR="007B7640" w:rsidRPr="00CD59CC">
        <w:rPr>
          <w:rFonts w:ascii="Arial" w:hAnsi="Arial" w:cs="Arial"/>
        </w:rPr>
        <w:t xml:space="preserve"> </w:t>
      </w:r>
      <w:r w:rsidRPr="00CD59CC">
        <w:rPr>
          <w:rFonts w:ascii="Arial" w:hAnsi="Arial" w:cs="Arial"/>
        </w:rPr>
        <w:lastRenderedPageBreak/>
        <w:t>to</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compromised</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personal</w:t>
      </w:r>
      <w:r w:rsidR="007B7640" w:rsidRPr="00CD59CC">
        <w:rPr>
          <w:rFonts w:ascii="Arial" w:hAnsi="Arial" w:cs="Arial"/>
        </w:rPr>
        <w:t xml:space="preserve"> </w:t>
      </w:r>
      <w:r w:rsidRPr="00CD59CC">
        <w:rPr>
          <w:rFonts w:ascii="Arial" w:hAnsi="Arial" w:cs="Arial"/>
        </w:rPr>
        <w:t>development</w:t>
      </w:r>
      <w:r w:rsidR="007B7640" w:rsidRPr="00CD59CC">
        <w:rPr>
          <w:rFonts w:ascii="Arial" w:hAnsi="Arial" w:cs="Arial"/>
        </w:rPr>
        <w:t xml:space="preserve"> </w:t>
      </w:r>
      <w:r w:rsidRPr="00CD59CC">
        <w:rPr>
          <w:rFonts w:ascii="Arial" w:hAnsi="Arial" w:cs="Arial"/>
        </w:rPr>
        <w:t>instead</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helping</w:t>
      </w:r>
      <w:r w:rsidR="007B7640" w:rsidRPr="00CD59CC">
        <w:rPr>
          <w:rFonts w:ascii="Arial" w:hAnsi="Arial" w:cs="Arial"/>
        </w:rPr>
        <w:t xml:space="preserve"> </w:t>
      </w:r>
      <w:r w:rsidRPr="00CD59CC">
        <w:rPr>
          <w:rFonts w:ascii="Arial" w:hAnsi="Arial" w:cs="Arial"/>
        </w:rPr>
        <w:t>them</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develop</w:t>
      </w:r>
      <w:r w:rsidR="007B7640" w:rsidRPr="00CD59CC">
        <w:rPr>
          <w:rFonts w:ascii="Arial" w:hAnsi="Arial" w:cs="Arial"/>
        </w:rPr>
        <w:t xml:space="preserve"> </w:t>
      </w:r>
      <w:r w:rsidRPr="00CD59CC">
        <w:rPr>
          <w:rFonts w:ascii="Arial" w:hAnsi="Arial" w:cs="Arial"/>
        </w:rPr>
        <w:t>skills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facilitate</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life</w:t>
      </w:r>
      <w:r w:rsidR="007B7640" w:rsidRPr="00CD59CC">
        <w:rPr>
          <w:rFonts w:ascii="Arial" w:hAnsi="Arial" w:cs="Arial"/>
        </w:rPr>
        <w:t xml:space="preserve"> </w:t>
      </w:r>
      <w:r w:rsidRPr="00CD59CC">
        <w:rPr>
          <w:rFonts w:ascii="Arial" w:hAnsi="Arial" w:cs="Arial"/>
        </w:rPr>
        <w:t>among</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majority</w:t>
      </w:r>
      <w:r w:rsidR="007B7640" w:rsidRPr="00CD59CC">
        <w:rPr>
          <w:rFonts w:ascii="Arial" w:hAnsi="Arial" w:cs="Arial"/>
        </w:rPr>
        <w:t xml:space="preserve"> </w:t>
      </w:r>
      <w:r w:rsidRPr="00CD59CC">
        <w:rPr>
          <w:rFonts w:ascii="Arial" w:hAnsi="Arial" w:cs="Arial"/>
        </w:rPr>
        <w:t>population,</w:t>
      </w:r>
      <w:r w:rsidR="007B7640" w:rsidRPr="00CD59CC">
        <w:rPr>
          <w:rFonts w:ascii="Arial" w:hAnsi="Arial" w:cs="Arial"/>
        </w:rPr>
        <w:t xml:space="preserve"> </w:t>
      </w:r>
      <w:r w:rsidRPr="00CD59CC">
        <w:rPr>
          <w:rFonts w:ascii="Arial" w:hAnsi="Arial" w:cs="Arial"/>
        </w:rPr>
        <w:t>accordingly,</w:t>
      </w:r>
      <w:r w:rsidR="007B7640" w:rsidRPr="00CD59CC">
        <w:rPr>
          <w:rFonts w:ascii="Arial" w:hAnsi="Arial" w:cs="Arial"/>
        </w:rPr>
        <w:t xml:space="preserve"> </w:t>
      </w:r>
      <w:r w:rsidRPr="00CD59CC">
        <w:rPr>
          <w:rFonts w:ascii="Arial" w:hAnsi="Arial" w:cs="Arial"/>
        </w:rPr>
        <w:t>there</w:t>
      </w:r>
      <w:r w:rsidR="007B7640" w:rsidRPr="00CD59CC">
        <w:rPr>
          <w:rFonts w:ascii="Arial" w:hAnsi="Arial" w:cs="Arial"/>
        </w:rPr>
        <w:t xml:space="preserve"> </w:t>
      </w:r>
      <w:r w:rsidRPr="00CD59CC">
        <w:rPr>
          <w:rFonts w:ascii="Arial" w:hAnsi="Arial" w:cs="Arial"/>
        </w:rPr>
        <w:t>had</w:t>
      </w:r>
      <w:r w:rsidR="007B7640" w:rsidRPr="00CD59CC">
        <w:rPr>
          <w:rFonts w:ascii="Arial" w:hAnsi="Arial" w:cs="Arial"/>
        </w:rPr>
        <w:t xml:space="preserve"> </w:t>
      </w:r>
      <w:r w:rsidRPr="00CD59CC">
        <w:rPr>
          <w:rFonts w:ascii="Arial" w:hAnsi="Arial" w:cs="Arial"/>
        </w:rPr>
        <w:t>been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violation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2</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Protocol</w:t>
      </w:r>
      <w:r w:rsidR="007B7640" w:rsidRPr="00CD59CC">
        <w:rPr>
          <w:rFonts w:ascii="Arial" w:hAnsi="Arial" w:cs="Arial"/>
        </w:rPr>
        <w:t xml:space="preserve"> </w:t>
      </w:r>
      <w:r w:rsidRPr="00CD59CC">
        <w:rPr>
          <w:rFonts w:ascii="Arial" w:hAnsi="Arial" w:cs="Arial"/>
        </w:rPr>
        <w:t>No.</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conjunction</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14</w:t>
      </w:r>
      <w:r w:rsidR="007B7640" w:rsidRPr="00CD59CC">
        <w:rPr>
          <w:rFonts w:ascii="Arial" w:hAnsi="Arial" w:cs="Arial"/>
        </w:rPr>
        <w:t xml:space="preserve"> </w:t>
      </w:r>
      <w:r w:rsidRPr="00CD59CC">
        <w:rPr>
          <w:rFonts w:ascii="Arial" w:hAnsi="Arial" w:cs="Arial"/>
        </w:rPr>
        <w:t>(ban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discrimination)</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European</w:t>
      </w:r>
      <w:r w:rsidR="007B7640" w:rsidRPr="00CD59CC">
        <w:rPr>
          <w:rFonts w:ascii="Arial" w:hAnsi="Arial" w:cs="Arial"/>
        </w:rPr>
        <w:t xml:space="preserve"> </w:t>
      </w:r>
      <w:r w:rsidRPr="00CD59CC">
        <w:rPr>
          <w:rFonts w:ascii="Arial" w:hAnsi="Arial" w:cs="Arial"/>
        </w:rPr>
        <w:t>Convention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Human</w:t>
      </w:r>
      <w:r w:rsidR="007B7640" w:rsidRPr="00CD59CC">
        <w:rPr>
          <w:rFonts w:ascii="Arial" w:hAnsi="Arial" w:cs="Arial"/>
        </w:rPr>
        <w:t xml:space="preserve"> </w:t>
      </w:r>
      <w:r w:rsidRPr="00CD59CC">
        <w:rPr>
          <w:rFonts w:ascii="Arial" w:hAnsi="Arial" w:cs="Arial"/>
        </w:rPr>
        <w:t>Rights</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respect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both</w:t>
      </w:r>
      <w:r w:rsidR="007B7640" w:rsidRPr="00CD59CC">
        <w:rPr>
          <w:rFonts w:ascii="Arial" w:hAnsi="Arial" w:cs="Arial"/>
        </w:rPr>
        <w:t xml:space="preserve"> </w:t>
      </w:r>
      <w:r w:rsidRPr="00CD59CC">
        <w:rPr>
          <w:rFonts w:ascii="Arial" w:hAnsi="Arial" w:cs="Arial"/>
        </w:rPr>
        <w:t>applicants.</w:t>
      </w:r>
    </w:p>
    <w:p w14:paraId="42C24729" w14:textId="77777777" w:rsidR="007F2EEE" w:rsidRPr="00CD59CC" w:rsidRDefault="007F2EEE" w:rsidP="00CD59CC">
      <w:pPr>
        <w:rPr>
          <w:rFonts w:ascii="Arial" w:hAnsi="Arial" w:cs="Arial"/>
        </w:rPr>
      </w:pPr>
    </w:p>
    <w:p w14:paraId="3230B68E" w14:textId="77777777" w:rsidR="007F2EEE" w:rsidRPr="00CD59CC" w:rsidRDefault="007F2EEE" w:rsidP="00CD59CC">
      <w:pPr>
        <w:rPr>
          <w:rFonts w:ascii="Arial" w:hAnsi="Arial" w:cs="Arial"/>
        </w:rPr>
      </w:pPr>
      <w:r w:rsidRPr="00CD59CC">
        <w:rPr>
          <w:rFonts w:ascii="Arial" w:hAnsi="Arial" w:cs="Arial"/>
        </w:rPr>
        <w:t>In</w:t>
      </w:r>
      <w:r w:rsidR="007B7640" w:rsidRPr="00CD59CC">
        <w:rPr>
          <w:rFonts w:ascii="Arial" w:hAnsi="Arial" w:cs="Arial"/>
        </w:rPr>
        <w:t xml:space="preserve"> </w:t>
      </w:r>
      <w:r w:rsidRPr="00CD59CC">
        <w:rPr>
          <w:rFonts w:ascii="Arial" w:hAnsi="Arial" w:cs="Arial"/>
        </w:rPr>
        <w:t>terms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Article</w:t>
      </w:r>
      <w:r w:rsidR="007B7640" w:rsidRPr="00CD59CC">
        <w:rPr>
          <w:rFonts w:ascii="Arial" w:hAnsi="Arial" w:cs="Arial"/>
        </w:rPr>
        <w:t xml:space="preserve"> </w:t>
      </w:r>
      <w:r w:rsidRPr="00CD59CC">
        <w:rPr>
          <w:rFonts w:ascii="Arial" w:hAnsi="Arial" w:cs="Arial"/>
        </w:rPr>
        <w:t>13</w:t>
      </w:r>
      <w:r w:rsidR="007B7640" w:rsidRPr="00CD59CC">
        <w:rPr>
          <w:rFonts w:ascii="Arial" w:hAnsi="Arial" w:cs="Arial"/>
        </w:rPr>
        <w:t xml:space="preserve"> </w:t>
      </w:r>
      <w:r w:rsidRPr="00CD59CC">
        <w:rPr>
          <w:rFonts w:ascii="Arial" w:hAnsi="Arial" w:cs="Arial"/>
        </w:rPr>
        <w:t>Paragraph</w:t>
      </w:r>
      <w:r w:rsidR="007B7640" w:rsidRPr="00CD59CC">
        <w:rPr>
          <w:rFonts w:ascii="Arial" w:hAnsi="Arial" w:cs="Arial"/>
        </w:rPr>
        <w:t xml:space="preserve"> </w:t>
      </w:r>
      <w:r w:rsidRPr="00CD59CC">
        <w:rPr>
          <w:rFonts w:ascii="Arial" w:hAnsi="Arial" w:cs="Arial"/>
        </w:rPr>
        <w:t>(1)</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RPD</w:t>
      </w:r>
      <w:r w:rsidR="007B7640" w:rsidRPr="00CD59CC">
        <w:rPr>
          <w:rFonts w:ascii="Arial" w:hAnsi="Arial" w:cs="Arial"/>
        </w:rPr>
        <w:t xml:space="preserve"> </w:t>
      </w:r>
      <w:r w:rsidRPr="00CD59CC">
        <w:rPr>
          <w:rFonts w:ascii="Arial" w:hAnsi="Arial" w:cs="Arial"/>
        </w:rPr>
        <w:t>Act,</w:t>
      </w:r>
      <w:r w:rsidR="007B7640" w:rsidRPr="00CD59CC">
        <w:rPr>
          <w:rFonts w:ascii="Arial" w:hAnsi="Arial" w:cs="Arial"/>
        </w:rPr>
        <w:t xml:space="preserve"> </w:t>
      </w:r>
      <w:r w:rsidRPr="00CD59CC">
        <w:rPr>
          <w:rFonts w:ascii="Arial" w:hAnsi="Arial" w:cs="Arial"/>
        </w:rPr>
        <w:t>persons</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disabilities</w:t>
      </w:r>
      <w:r w:rsidR="007B7640" w:rsidRPr="00CD59CC">
        <w:rPr>
          <w:rFonts w:ascii="Arial" w:hAnsi="Arial" w:cs="Arial"/>
        </w:rPr>
        <w:t xml:space="preserve"> </w:t>
      </w:r>
      <w:r w:rsidRPr="00CD59CC">
        <w:rPr>
          <w:rFonts w:ascii="Arial" w:hAnsi="Arial" w:cs="Arial"/>
        </w:rPr>
        <w:t>have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right</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participate</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early</w:t>
      </w:r>
      <w:r w:rsidR="007B7640" w:rsidRPr="00CD59CC">
        <w:rPr>
          <w:rFonts w:ascii="Arial" w:hAnsi="Arial" w:cs="Arial"/>
        </w:rPr>
        <w:t xml:space="preserve"> </w:t>
      </w:r>
      <w:r w:rsidRPr="00CD59CC">
        <w:rPr>
          <w:rFonts w:ascii="Arial" w:hAnsi="Arial" w:cs="Arial"/>
        </w:rPr>
        <w:t>development</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care,</w:t>
      </w:r>
      <w:r w:rsidR="007B7640" w:rsidRPr="00CD59CC">
        <w:rPr>
          <w:rFonts w:ascii="Arial" w:hAnsi="Arial" w:cs="Arial"/>
        </w:rPr>
        <w:t xml:space="preserve"> </w:t>
      </w:r>
      <w:r w:rsidRPr="00CD59CC">
        <w:rPr>
          <w:rFonts w:ascii="Arial" w:hAnsi="Arial" w:cs="Arial"/>
        </w:rPr>
        <w:t>kindergarten</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school</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developmental</w:t>
      </w:r>
      <w:r w:rsidR="007B7640" w:rsidRPr="00CD59CC">
        <w:rPr>
          <w:rFonts w:ascii="Arial" w:hAnsi="Arial" w:cs="Arial"/>
        </w:rPr>
        <w:t xml:space="preserve"> </w:t>
      </w:r>
      <w:r w:rsidRPr="00CD59CC">
        <w:rPr>
          <w:rFonts w:ascii="Arial" w:hAnsi="Arial" w:cs="Arial"/>
        </w:rPr>
        <w:t>preparation,</w:t>
      </w:r>
      <w:r w:rsidR="007B7640" w:rsidRPr="00CD59CC">
        <w:rPr>
          <w:rFonts w:ascii="Arial" w:hAnsi="Arial" w:cs="Arial"/>
        </w:rPr>
        <w:t xml:space="preserve"> </w:t>
      </w:r>
      <w:r w:rsidRPr="00CD59CC">
        <w:rPr>
          <w:rFonts w:ascii="Arial" w:hAnsi="Arial" w:cs="Arial"/>
        </w:rPr>
        <w:t>vocational</w:t>
      </w:r>
      <w:r w:rsidR="007B7640" w:rsidRPr="00CD59CC">
        <w:rPr>
          <w:rFonts w:ascii="Arial" w:hAnsi="Arial" w:cs="Arial"/>
        </w:rPr>
        <w:t xml:space="preserve"> </w:t>
      </w:r>
      <w:r w:rsidRPr="00CD59CC">
        <w:rPr>
          <w:rFonts w:ascii="Arial" w:hAnsi="Arial" w:cs="Arial"/>
        </w:rPr>
        <w:t>training,</w:t>
      </w:r>
      <w:r w:rsidR="007B7640" w:rsidRPr="00CD59CC">
        <w:rPr>
          <w:rFonts w:ascii="Arial" w:hAnsi="Arial" w:cs="Arial"/>
        </w:rPr>
        <w:t xml:space="preserve"> </w:t>
      </w:r>
      <w:r w:rsidRPr="00CD59CC">
        <w:rPr>
          <w:rFonts w:ascii="Arial" w:hAnsi="Arial" w:cs="Arial"/>
        </w:rPr>
        <w:t>adult</w:t>
      </w:r>
      <w:r w:rsidR="007B7640" w:rsidRPr="00CD59CC">
        <w:rPr>
          <w:rFonts w:ascii="Arial" w:hAnsi="Arial" w:cs="Arial"/>
        </w:rPr>
        <w:t xml:space="preserve"> </w:t>
      </w:r>
      <w:r w:rsidRPr="00CD59CC">
        <w:rPr>
          <w:rFonts w:ascii="Arial" w:hAnsi="Arial" w:cs="Arial"/>
        </w:rPr>
        <w:t>training</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tertiary</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accordance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their</w:t>
      </w:r>
      <w:r w:rsidR="007B7640" w:rsidRPr="00CD59CC">
        <w:rPr>
          <w:rFonts w:ascii="Arial" w:hAnsi="Arial" w:cs="Arial"/>
        </w:rPr>
        <w:t xml:space="preserve"> </w:t>
      </w:r>
      <w:r w:rsidRPr="00CD59CC">
        <w:rPr>
          <w:rFonts w:ascii="Arial" w:hAnsi="Arial" w:cs="Arial"/>
        </w:rPr>
        <w:t>state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age</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line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provisions</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relevant</w:t>
      </w:r>
      <w:r w:rsidR="007B7640" w:rsidRPr="00CD59CC">
        <w:rPr>
          <w:rFonts w:ascii="Arial" w:hAnsi="Arial" w:cs="Arial"/>
        </w:rPr>
        <w:t xml:space="preserve"> </w:t>
      </w:r>
      <w:r w:rsidRPr="00CD59CC">
        <w:rPr>
          <w:rFonts w:ascii="Arial" w:hAnsi="Arial" w:cs="Arial"/>
        </w:rPr>
        <w:t>laws.</w:t>
      </w:r>
      <w:r w:rsidR="007B7640" w:rsidRPr="00CD59CC">
        <w:rPr>
          <w:rFonts w:ascii="Arial" w:hAnsi="Arial" w:cs="Arial"/>
        </w:rPr>
        <w:t xml:space="preserve"> </w:t>
      </w:r>
    </w:p>
    <w:p w14:paraId="11D82414" w14:textId="77777777" w:rsidR="007F2EEE" w:rsidRPr="00CD59CC" w:rsidRDefault="007F2EEE" w:rsidP="00CD59CC">
      <w:pPr>
        <w:pStyle w:val="BodyText"/>
        <w:rPr>
          <w:rFonts w:ascii="Arial" w:hAnsi="Arial" w:cs="Arial"/>
          <w:i w:val="0"/>
          <w:lang w:val="en-GB"/>
        </w:rPr>
      </w:pPr>
    </w:p>
    <w:p w14:paraId="2BECD97A" w14:textId="77777777" w:rsidR="007F2EEE" w:rsidRPr="00CD59CC" w:rsidRDefault="007F2EEE" w:rsidP="00CD59CC">
      <w:pPr>
        <w:pStyle w:val="BodyText"/>
        <w:rPr>
          <w:rFonts w:ascii="Arial" w:hAnsi="Arial" w:cs="Arial"/>
          <w:i w:val="0"/>
          <w:lang w:val="en-GB"/>
        </w:rPr>
      </w:pPr>
      <w:r w:rsidRPr="00CD59CC">
        <w:rPr>
          <w:rFonts w:ascii="Arial" w:hAnsi="Arial" w:cs="Arial"/>
          <w:i w:val="0"/>
          <w:lang w:val="en-GB"/>
        </w:rPr>
        <w:t>As</w:t>
      </w:r>
      <w:r w:rsidR="007B7640" w:rsidRPr="00CD59CC">
        <w:rPr>
          <w:rFonts w:ascii="Arial" w:hAnsi="Arial" w:cs="Arial"/>
          <w:i w:val="0"/>
          <w:lang w:val="en-GB"/>
        </w:rPr>
        <w:t xml:space="preserve"> </w:t>
      </w:r>
      <w:r w:rsidRPr="00CD59CC">
        <w:rPr>
          <w:rFonts w:ascii="Arial" w:hAnsi="Arial" w:cs="Arial"/>
          <w:i w:val="0"/>
          <w:lang w:val="en-GB"/>
        </w:rPr>
        <w:t>it</w:t>
      </w:r>
      <w:r w:rsidR="007B7640" w:rsidRPr="00CD59CC">
        <w:rPr>
          <w:rFonts w:ascii="Arial" w:hAnsi="Arial" w:cs="Arial"/>
          <w:i w:val="0"/>
          <w:lang w:val="en-GB"/>
        </w:rPr>
        <w:t xml:space="preserve"> </w:t>
      </w:r>
      <w:r w:rsidRPr="00CD59CC">
        <w:rPr>
          <w:rFonts w:ascii="Arial" w:hAnsi="Arial" w:cs="Arial"/>
          <w:i w:val="0"/>
          <w:lang w:val="en-GB"/>
        </w:rPr>
        <w:t>was</w:t>
      </w:r>
      <w:r w:rsidR="007B7640" w:rsidRPr="00CD59CC">
        <w:rPr>
          <w:rFonts w:ascii="Arial" w:hAnsi="Arial" w:cs="Arial"/>
          <w:i w:val="0"/>
          <w:lang w:val="en-GB"/>
        </w:rPr>
        <w:t xml:space="preserve"> </w:t>
      </w:r>
      <w:r w:rsidRPr="00CD59CC">
        <w:rPr>
          <w:rFonts w:ascii="Arial" w:hAnsi="Arial" w:cs="Arial"/>
          <w:i w:val="0"/>
          <w:lang w:val="en-GB"/>
        </w:rPr>
        <w:t>outlined</w:t>
      </w:r>
      <w:r w:rsidR="007B7640" w:rsidRPr="00CD59CC">
        <w:rPr>
          <w:rFonts w:ascii="Arial" w:hAnsi="Arial" w:cs="Arial"/>
          <w:i w:val="0"/>
          <w:lang w:val="en-GB"/>
        </w:rPr>
        <w:t xml:space="preserve"> </w:t>
      </w:r>
      <w:r w:rsidRPr="00CD59CC">
        <w:rPr>
          <w:rFonts w:ascii="Arial" w:hAnsi="Arial" w:cs="Arial"/>
          <w:i w:val="0"/>
          <w:lang w:val="en-GB"/>
        </w:rPr>
        <w:t>above,</w:t>
      </w:r>
      <w:r w:rsidR="007B7640" w:rsidRPr="00CD59CC">
        <w:rPr>
          <w:rFonts w:ascii="Arial" w:hAnsi="Arial" w:cs="Arial"/>
          <w:i w:val="0"/>
          <w:lang w:val="en-GB"/>
        </w:rPr>
        <w:t xml:space="preserve"> </w:t>
      </w:r>
      <w:r w:rsidRPr="00CD59CC">
        <w:rPr>
          <w:rFonts w:ascii="Arial" w:hAnsi="Arial" w:cs="Arial"/>
          <w:i w:val="0"/>
          <w:lang w:val="en-GB"/>
        </w:rPr>
        <w:t>under</w:t>
      </w:r>
      <w:r w:rsidR="007B7640" w:rsidRPr="00CD59CC">
        <w:rPr>
          <w:rFonts w:ascii="Arial" w:hAnsi="Arial" w:cs="Arial"/>
          <w:i w:val="0"/>
          <w:lang w:val="en-GB"/>
        </w:rPr>
        <w:t xml:space="preserve"> </w:t>
      </w:r>
      <w:r w:rsidRPr="00CD59CC">
        <w:rPr>
          <w:rFonts w:ascii="Arial" w:hAnsi="Arial" w:cs="Arial"/>
          <w:i w:val="0"/>
          <w:lang w:val="en-GB"/>
        </w:rPr>
        <w:t>Paragraph</w:t>
      </w:r>
      <w:r w:rsidR="007B7640" w:rsidRPr="00CD59CC">
        <w:rPr>
          <w:rFonts w:ascii="Arial" w:hAnsi="Arial" w:cs="Arial"/>
          <w:i w:val="0"/>
          <w:lang w:val="en-GB"/>
        </w:rPr>
        <w:t xml:space="preserve"> </w:t>
      </w:r>
      <w:r w:rsidRPr="00CD59CC">
        <w:rPr>
          <w:rFonts w:ascii="Arial" w:hAnsi="Arial" w:cs="Arial"/>
          <w:i w:val="0"/>
          <w:lang w:val="en-GB"/>
        </w:rPr>
        <w:t>(2)</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same</w:t>
      </w:r>
      <w:r w:rsidR="007B7640" w:rsidRPr="00CD59CC">
        <w:rPr>
          <w:rFonts w:ascii="Arial" w:hAnsi="Arial" w:cs="Arial"/>
          <w:i w:val="0"/>
          <w:lang w:val="en-GB"/>
        </w:rPr>
        <w:t xml:space="preserve"> </w:t>
      </w:r>
      <w:r w:rsidRPr="00CD59CC">
        <w:rPr>
          <w:rFonts w:ascii="Arial" w:hAnsi="Arial" w:cs="Arial"/>
          <w:i w:val="0"/>
          <w:lang w:val="en-GB"/>
        </w:rPr>
        <w:t>Article,</w:t>
      </w:r>
      <w:r w:rsidR="007B7640" w:rsidRPr="00CD59CC">
        <w:rPr>
          <w:rFonts w:ascii="Arial" w:hAnsi="Arial" w:cs="Arial"/>
          <w:i w:val="0"/>
          <w:lang w:val="en-GB"/>
        </w:rPr>
        <w:t xml:space="preserve"> </w:t>
      </w:r>
      <w:r w:rsidRPr="00CD59CC">
        <w:rPr>
          <w:rFonts w:ascii="Arial" w:hAnsi="Arial" w:cs="Arial"/>
          <w:i w:val="0"/>
          <w:lang w:val="en-GB"/>
        </w:rPr>
        <w:t>if</w:t>
      </w:r>
      <w:r w:rsidR="007B7640" w:rsidRPr="00CD59CC">
        <w:rPr>
          <w:rFonts w:ascii="Arial" w:hAnsi="Arial" w:cs="Arial"/>
          <w:i w:val="0"/>
          <w:lang w:val="en-GB"/>
        </w:rPr>
        <w:t xml:space="preserve"> </w:t>
      </w:r>
      <w:r w:rsidRPr="00CD59CC">
        <w:rPr>
          <w:rFonts w:ascii="Arial" w:hAnsi="Arial" w:cs="Arial"/>
          <w:i w:val="0"/>
          <w:lang w:val="en-GB"/>
        </w:rPr>
        <w:t>–</w:t>
      </w:r>
      <w:r w:rsidR="007B7640" w:rsidRPr="00CD59CC">
        <w:rPr>
          <w:rFonts w:ascii="Arial" w:hAnsi="Arial" w:cs="Arial"/>
          <w:i w:val="0"/>
          <w:lang w:val="en-GB"/>
        </w:rPr>
        <w:t xml:space="preserve"> </w:t>
      </w:r>
      <w:r w:rsidRPr="00CD59CC">
        <w:rPr>
          <w:rFonts w:ascii="Arial" w:hAnsi="Arial" w:cs="Arial"/>
          <w:i w:val="0"/>
          <w:lang w:val="en-GB"/>
        </w:rPr>
        <w:t>based</w:t>
      </w:r>
      <w:r w:rsidR="007B7640" w:rsidRPr="00CD59CC">
        <w:rPr>
          <w:rFonts w:ascii="Arial" w:hAnsi="Arial" w:cs="Arial"/>
          <w:i w:val="0"/>
          <w:lang w:val="en-GB"/>
        </w:rPr>
        <w:t xml:space="preserve"> </w:t>
      </w:r>
      <w:r w:rsidRPr="00CD59CC">
        <w:rPr>
          <w:rFonts w:ascii="Arial" w:hAnsi="Arial" w:cs="Arial"/>
          <w:i w:val="0"/>
          <w:lang w:val="en-GB"/>
        </w:rPr>
        <w:t>on</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opinion</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specialised</w:t>
      </w:r>
      <w:r w:rsidR="007B7640" w:rsidRPr="00CD59CC">
        <w:rPr>
          <w:rFonts w:ascii="Arial" w:hAnsi="Arial" w:cs="Arial"/>
          <w:i w:val="0"/>
          <w:lang w:val="en-GB"/>
        </w:rPr>
        <w:t xml:space="preserve"> </w:t>
      </w:r>
      <w:r w:rsidRPr="00CD59CC">
        <w:rPr>
          <w:rFonts w:ascii="Arial" w:hAnsi="Arial" w:cs="Arial"/>
          <w:i w:val="0"/>
          <w:lang w:val="en-GB"/>
        </w:rPr>
        <w:t>expert</w:t>
      </w:r>
      <w:r w:rsidR="007B7640" w:rsidRPr="00CD59CC">
        <w:rPr>
          <w:rFonts w:ascii="Arial" w:hAnsi="Arial" w:cs="Arial"/>
          <w:i w:val="0"/>
          <w:lang w:val="en-GB"/>
        </w:rPr>
        <w:t xml:space="preserve"> </w:t>
      </w:r>
      <w:r w:rsidRPr="00CD59CC">
        <w:rPr>
          <w:rFonts w:ascii="Arial" w:hAnsi="Arial" w:cs="Arial"/>
          <w:i w:val="0"/>
          <w:lang w:val="en-GB"/>
        </w:rPr>
        <w:t>panel</w:t>
      </w:r>
      <w:r w:rsidR="007B7640" w:rsidRPr="00CD59CC">
        <w:rPr>
          <w:rFonts w:ascii="Arial" w:hAnsi="Arial" w:cs="Arial"/>
          <w:i w:val="0"/>
          <w:lang w:val="en-GB"/>
        </w:rPr>
        <w:t xml:space="preserve"> </w:t>
      </w:r>
      <w:r w:rsidRPr="00CD59CC">
        <w:rPr>
          <w:rFonts w:ascii="Arial" w:hAnsi="Arial" w:cs="Arial"/>
          <w:i w:val="0"/>
          <w:lang w:val="en-GB"/>
        </w:rPr>
        <w:t>–</w:t>
      </w:r>
      <w:r w:rsidR="007B7640" w:rsidRPr="00CD59CC">
        <w:rPr>
          <w:rFonts w:ascii="Arial" w:hAnsi="Arial" w:cs="Arial"/>
          <w:i w:val="0"/>
          <w:lang w:val="en-GB"/>
        </w:rPr>
        <w:t xml:space="preserve"> </w:t>
      </w:r>
      <w:r w:rsidRPr="00CD59CC">
        <w:rPr>
          <w:rFonts w:ascii="Arial" w:hAnsi="Arial" w:cs="Arial"/>
          <w:i w:val="0"/>
          <w:lang w:val="en-GB"/>
        </w:rPr>
        <w:t>it</w:t>
      </w:r>
      <w:r w:rsidR="007B7640" w:rsidRPr="00CD59CC">
        <w:rPr>
          <w:rFonts w:ascii="Arial" w:hAnsi="Arial" w:cs="Arial"/>
          <w:i w:val="0"/>
          <w:lang w:val="en-GB"/>
        </w:rPr>
        <w:t xml:space="preserve"> </w:t>
      </w:r>
      <w:r w:rsidRPr="00CD59CC">
        <w:rPr>
          <w:rFonts w:ascii="Arial" w:hAnsi="Arial" w:cs="Arial"/>
          <w:i w:val="0"/>
          <w:lang w:val="en-GB"/>
        </w:rPr>
        <w:t>is</w:t>
      </w:r>
      <w:r w:rsidR="007B7640" w:rsidRPr="00CD59CC">
        <w:rPr>
          <w:rFonts w:ascii="Arial" w:hAnsi="Arial" w:cs="Arial"/>
          <w:i w:val="0"/>
          <w:lang w:val="en-GB"/>
        </w:rPr>
        <w:t xml:space="preserve"> </w:t>
      </w:r>
      <w:r w:rsidRPr="00CD59CC">
        <w:rPr>
          <w:rFonts w:ascii="Arial" w:hAnsi="Arial" w:cs="Arial"/>
          <w:i w:val="0"/>
          <w:lang w:val="en-GB"/>
        </w:rPr>
        <w:t>advantageous</w:t>
      </w:r>
      <w:r w:rsidR="007B7640" w:rsidRPr="00CD59CC">
        <w:rPr>
          <w:rFonts w:ascii="Arial" w:hAnsi="Arial" w:cs="Arial"/>
          <w:i w:val="0"/>
          <w:lang w:val="en-GB"/>
        </w:rPr>
        <w:t xml:space="preserve"> </w:t>
      </w:r>
      <w:r w:rsidRPr="00CD59CC">
        <w:rPr>
          <w:rFonts w:ascii="Arial" w:hAnsi="Arial" w:cs="Arial"/>
          <w:i w:val="0"/>
          <w:lang w:val="en-GB"/>
        </w:rPr>
        <w:t>for</w:t>
      </w:r>
      <w:r w:rsidR="007B7640" w:rsidRPr="00CD59CC">
        <w:rPr>
          <w:rFonts w:ascii="Arial" w:hAnsi="Arial" w:cs="Arial"/>
          <w:i w:val="0"/>
          <w:lang w:val="en-GB"/>
        </w:rPr>
        <w:t xml:space="preserve"> </w:t>
      </w:r>
      <w:r w:rsidRPr="00CD59CC">
        <w:rPr>
          <w:rFonts w:ascii="Arial" w:hAnsi="Arial" w:cs="Arial"/>
          <w:i w:val="0"/>
          <w:lang w:val="en-GB"/>
        </w:rPr>
        <w:t>the</w:t>
      </w:r>
      <w:r w:rsidR="007B7640" w:rsidRPr="00CD59CC">
        <w:rPr>
          <w:rFonts w:ascii="Arial" w:hAnsi="Arial" w:cs="Arial"/>
          <w:i w:val="0"/>
          <w:lang w:val="en-GB"/>
        </w:rPr>
        <w:t xml:space="preserve"> </w:t>
      </w:r>
      <w:r w:rsidRPr="00CD59CC">
        <w:rPr>
          <w:rFonts w:ascii="Arial" w:hAnsi="Arial" w:cs="Arial"/>
          <w:i w:val="0"/>
          <w:lang w:val="en-GB"/>
        </w:rPr>
        <w:t>development</w:t>
      </w:r>
      <w:r w:rsidR="007B7640" w:rsidRPr="00CD59CC">
        <w:rPr>
          <w:rFonts w:ascii="Arial" w:hAnsi="Arial" w:cs="Arial"/>
          <w:i w:val="0"/>
          <w:lang w:val="en-GB"/>
        </w:rPr>
        <w:t xml:space="preserve"> </w:t>
      </w:r>
      <w:r w:rsidRPr="00CD59CC">
        <w:rPr>
          <w:rFonts w:ascii="Arial" w:hAnsi="Arial" w:cs="Arial"/>
          <w:i w:val="0"/>
          <w:lang w:val="en-GB"/>
        </w:rPr>
        <w:t>of</w:t>
      </w:r>
      <w:r w:rsidR="007B7640" w:rsidRPr="00CD59CC">
        <w:rPr>
          <w:rFonts w:ascii="Arial" w:hAnsi="Arial" w:cs="Arial"/>
          <w:i w:val="0"/>
          <w:lang w:val="en-GB"/>
        </w:rPr>
        <w:t xml:space="preserve"> </w:t>
      </w:r>
      <w:r w:rsidRPr="00CD59CC">
        <w:rPr>
          <w:rFonts w:ascii="Arial" w:hAnsi="Arial" w:cs="Arial"/>
          <w:i w:val="0"/>
          <w:lang w:val="en-GB"/>
        </w:rPr>
        <w:t>their</w:t>
      </w:r>
      <w:r w:rsidR="007B7640" w:rsidRPr="00CD59CC">
        <w:rPr>
          <w:rFonts w:ascii="Arial" w:hAnsi="Arial" w:cs="Arial"/>
          <w:i w:val="0"/>
          <w:lang w:val="en-GB"/>
        </w:rPr>
        <w:t xml:space="preserve"> </w:t>
      </w:r>
      <w:r w:rsidRPr="00CD59CC">
        <w:rPr>
          <w:rFonts w:ascii="Arial" w:hAnsi="Arial" w:cs="Arial"/>
          <w:i w:val="0"/>
          <w:lang w:val="en-GB"/>
        </w:rPr>
        <w:t>skills,</w:t>
      </w:r>
      <w:r w:rsidR="007B7640" w:rsidRPr="00CD59CC">
        <w:rPr>
          <w:rFonts w:ascii="Arial" w:hAnsi="Arial" w:cs="Arial"/>
          <w:i w:val="0"/>
          <w:lang w:val="en-GB"/>
        </w:rPr>
        <w:t xml:space="preserve"> </w:t>
      </w:r>
      <w:r w:rsidRPr="00CD59CC">
        <w:rPr>
          <w:rFonts w:ascii="Arial" w:hAnsi="Arial" w:cs="Arial"/>
          <w:i w:val="0"/>
          <w:lang w:val="en-GB"/>
        </w:rPr>
        <w:t>persons</w:t>
      </w:r>
      <w:r w:rsidR="007B7640" w:rsidRPr="00CD59CC">
        <w:rPr>
          <w:rFonts w:ascii="Arial" w:hAnsi="Arial" w:cs="Arial"/>
          <w:i w:val="0"/>
          <w:lang w:val="en-GB"/>
        </w:rPr>
        <w:t xml:space="preserve"> </w:t>
      </w:r>
      <w:r w:rsidRPr="00CD59CC">
        <w:rPr>
          <w:rFonts w:ascii="Arial" w:hAnsi="Arial" w:cs="Arial"/>
          <w:i w:val="0"/>
          <w:lang w:val="en-GB"/>
        </w:rPr>
        <w:t>with</w:t>
      </w:r>
      <w:r w:rsidR="007B7640" w:rsidRPr="00CD59CC">
        <w:rPr>
          <w:rFonts w:ascii="Arial" w:hAnsi="Arial" w:cs="Arial"/>
          <w:i w:val="0"/>
          <w:lang w:val="en-GB"/>
        </w:rPr>
        <w:t xml:space="preserve"> </w:t>
      </w:r>
      <w:r w:rsidRPr="00CD59CC">
        <w:rPr>
          <w:rFonts w:ascii="Arial" w:hAnsi="Arial" w:cs="Arial"/>
          <w:i w:val="0"/>
          <w:lang w:val="en-GB"/>
        </w:rPr>
        <w:t>disabilities</w:t>
      </w:r>
      <w:r w:rsidR="007B7640" w:rsidRPr="00CD59CC">
        <w:rPr>
          <w:rFonts w:ascii="Arial" w:hAnsi="Arial" w:cs="Arial"/>
          <w:i w:val="0"/>
          <w:lang w:val="en-GB"/>
        </w:rPr>
        <w:t xml:space="preserve"> </w:t>
      </w:r>
      <w:r w:rsidRPr="00CD59CC">
        <w:rPr>
          <w:rFonts w:ascii="Arial" w:hAnsi="Arial" w:cs="Arial"/>
          <w:i w:val="0"/>
          <w:lang w:val="en-GB"/>
        </w:rPr>
        <w:t>shall</w:t>
      </w:r>
      <w:r w:rsidR="007B7640" w:rsidRPr="00CD59CC">
        <w:rPr>
          <w:rFonts w:ascii="Arial" w:hAnsi="Arial" w:cs="Arial"/>
          <w:i w:val="0"/>
          <w:lang w:val="en-GB"/>
        </w:rPr>
        <w:t xml:space="preserve"> </w:t>
      </w:r>
      <w:r w:rsidRPr="00CD59CC">
        <w:rPr>
          <w:rFonts w:ascii="Arial" w:hAnsi="Arial" w:cs="Arial"/>
          <w:i w:val="0"/>
          <w:lang w:val="en-GB"/>
        </w:rPr>
        <w:t>participate</w:t>
      </w:r>
      <w:r w:rsidR="007B7640" w:rsidRPr="00CD59CC">
        <w:rPr>
          <w:rFonts w:ascii="Arial" w:hAnsi="Arial" w:cs="Arial"/>
          <w:i w:val="0"/>
          <w:lang w:val="en-GB"/>
        </w:rPr>
        <w:t xml:space="preserve"> </w:t>
      </w:r>
      <w:r w:rsidRPr="00CD59CC">
        <w:rPr>
          <w:rFonts w:ascii="Arial" w:hAnsi="Arial" w:cs="Arial"/>
          <w:i w:val="0"/>
          <w:lang w:val="en-GB"/>
        </w:rPr>
        <w:t>in</w:t>
      </w:r>
      <w:r w:rsidR="007B7640" w:rsidRPr="00CD59CC">
        <w:rPr>
          <w:rFonts w:ascii="Arial" w:hAnsi="Arial" w:cs="Arial"/>
          <w:i w:val="0"/>
          <w:lang w:val="en-GB"/>
        </w:rPr>
        <w:t xml:space="preserve"> </w:t>
      </w:r>
      <w:r w:rsidRPr="00CD59CC">
        <w:rPr>
          <w:rFonts w:ascii="Arial" w:hAnsi="Arial" w:cs="Arial"/>
          <w:i w:val="0"/>
          <w:lang w:val="en-GB"/>
        </w:rPr>
        <w:t>integrated</w:t>
      </w:r>
      <w:r w:rsidR="007B7640" w:rsidRPr="00CD59CC">
        <w:rPr>
          <w:rFonts w:ascii="Arial" w:hAnsi="Arial" w:cs="Arial"/>
          <w:i w:val="0"/>
          <w:lang w:val="en-GB"/>
        </w:rPr>
        <w:t xml:space="preserve"> </w:t>
      </w:r>
      <w:r w:rsidRPr="00CD59CC">
        <w:rPr>
          <w:rFonts w:ascii="Arial" w:hAnsi="Arial" w:cs="Arial"/>
          <w:i w:val="0"/>
          <w:lang w:val="en-GB"/>
        </w:rPr>
        <w:t>kindergarten</w:t>
      </w:r>
      <w:r w:rsidR="007B7640" w:rsidRPr="00CD59CC">
        <w:rPr>
          <w:rFonts w:ascii="Arial" w:hAnsi="Arial" w:cs="Arial"/>
          <w:i w:val="0"/>
          <w:lang w:val="en-GB"/>
        </w:rPr>
        <w:t xml:space="preserve"> </w:t>
      </w:r>
      <w:r w:rsidRPr="00CD59CC">
        <w:rPr>
          <w:rFonts w:ascii="Arial" w:hAnsi="Arial" w:cs="Arial"/>
          <w:i w:val="0"/>
          <w:lang w:val="en-GB"/>
        </w:rPr>
        <w:t>and</w:t>
      </w:r>
      <w:r w:rsidR="007B7640" w:rsidRPr="00CD59CC">
        <w:rPr>
          <w:rFonts w:ascii="Arial" w:hAnsi="Arial" w:cs="Arial"/>
          <w:i w:val="0"/>
          <w:lang w:val="en-GB"/>
        </w:rPr>
        <w:t xml:space="preserve"> </w:t>
      </w:r>
      <w:r w:rsidRPr="00CD59CC">
        <w:rPr>
          <w:rFonts w:ascii="Arial" w:hAnsi="Arial" w:cs="Arial"/>
          <w:i w:val="0"/>
          <w:lang w:val="en-GB"/>
        </w:rPr>
        <w:t>school</w:t>
      </w:r>
      <w:r w:rsidR="007B7640" w:rsidRPr="00CD59CC">
        <w:rPr>
          <w:rFonts w:ascii="Arial" w:hAnsi="Arial" w:cs="Arial"/>
          <w:i w:val="0"/>
          <w:lang w:val="en-GB"/>
        </w:rPr>
        <w:t xml:space="preserve"> </w:t>
      </w:r>
      <w:r w:rsidRPr="00CD59CC">
        <w:rPr>
          <w:rFonts w:ascii="Arial" w:hAnsi="Arial" w:cs="Arial"/>
          <w:i w:val="0"/>
          <w:lang w:val="en-GB"/>
        </w:rPr>
        <w:t>education.</w:t>
      </w:r>
      <w:r w:rsidR="007B7640" w:rsidRPr="00CD59CC">
        <w:rPr>
          <w:rFonts w:ascii="Arial" w:hAnsi="Arial" w:cs="Arial"/>
          <w:i w:val="0"/>
          <w:lang w:val="en-GB"/>
        </w:rPr>
        <w:t xml:space="preserve"> </w:t>
      </w:r>
    </w:p>
    <w:p w14:paraId="385FD85D" w14:textId="77777777" w:rsidR="007F2EEE" w:rsidRPr="00CD59CC" w:rsidRDefault="007F2EEE" w:rsidP="00CD59CC">
      <w:pPr>
        <w:pStyle w:val="BodyText"/>
        <w:rPr>
          <w:rFonts w:ascii="Arial" w:hAnsi="Arial" w:cs="Arial"/>
          <w:i w:val="0"/>
          <w:lang w:val="en-GB"/>
        </w:rPr>
      </w:pPr>
    </w:p>
    <w:p w14:paraId="4FFC46B8" w14:textId="77777777" w:rsidR="007F2EEE" w:rsidRPr="00CD59CC" w:rsidRDefault="007F2EEE" w:rsidP="00CD59CC">
      <w:pPr>
        <w:rPr>
          <w:rFonts w:ascii="Arial" w:hAnsi="Arial" w:cs="Arial"/>
        </w:rPr>
      </w:pPr>
      <w:r w:rsidRPr="00CD59CC">
        <w:rPr>
          <w:rFonts w:ascii="Arial" w:hAnsi="Arial" w:cs="Arial"/>
        </w:rPr>
        <w:t>Until</w:t>
      </w:r>
      <w:r w:rsidR="007B7640" w:rsidRPr="00CD59CC">
        <w:rPr>
          <w:rFonts w:ascii="Arial" w:hAnsi="Arial" w:cs="Arial"/>
        </w:rPr>
        <w:t xml:space="preserve"> </w:t>
      </w:r>
      <w:r w:rsidRPr="00CD59CC">
        <w:rPr>
          <w:rFonts w:ascii="Arial" w:hAnsi="Arial" w:cs="Arial"/>
        </w:rPr>
        <w:t>August</w:t>
      </w:r>
      <w:r w:rsidR="007B7640" w:rsidRPr="00CD59CC">
        <w:rPr>
          <w:rFonts w:ascii="Arial" w:hAnsi="Arial" w:cs="Arial"/>
        </w:rPr>
        <w:t xml:space="preserve"> </w:t>
      </w:r>
      <w:r w:rsidRPr="00CD59CC">
        <w:rPr>
          <w:rFonts w:ascii="Arial" w:hAnsi="Arial" w:cs="Arial"/>
        </w:rPr>
        <w:t>2010,</w:t>
      </w:r>
      <w:r w:rsidR="007B7640" w:rsidRPr="00CD59CC">
        <w:rPr>
          <w:rFonts w:ascii="Arial" w:hAnsi="Arial" w:cs="Arial"/>
        </w:rPr>
        <w:t xml:space="preserve"> </w:t>
      </w:r>
      <w:r w:rsidRPr="00CD59CC">
        <w:rPr>
          <w:rFonts w:ascii="Arial" w:hAnsi="Arial" w:cs="Arial"/>
        </w:rPr>
        <w:t>Decree</w:t>
      </w:r>
      <w:r w:rsidR="007B7640" w:rsidRPr="00CD59CC">
        <w:rPr>
          <w:rFonts w:ascii="Arial" w:hAnsi="Arial" w:cs="Arial"/>
        </w:rPr>
        <w:t xml:space="preserve"> </w:t>
      </w:r>
      <w:r w:rsidRPr="00CD59CC">
        <w:rPr>
          <w:rFonts w:ascii="Arial" w:hAnsi="Arial" w:cs="Arial"/>
        </w:rPr>
        <w:t>14/1994</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Ministry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on</w:t>
      </w:r>
      <w:r w:rsidR="007B7640" w:rsidRPr="00CD59CC">
        <w:rPr>
          <w:rFonts w:ascii="Arial" w:hAnsi="Arial" w:cs="Arial"/>
        </w:rPr>
        <w:t xml:space="preserve"> </w:t>
      </w:r>
      <w:r w:rsidRPr="00CD59CC">
        <w:rPr>
          <w:rFonts w:ascii="Arial" w:hAnsi="Arial" w:cs="Arial"/>
        </w:rPr>
        <w:t>Educational</w:t>
      </w:r>
      <w:r w:rsidR="007B7640" w:rsidRPr="00CD59CC">
        <w:rPr>
          <w:rFonts w:ascii="Arial" w:hAnsi="Arial" w:cs="Arial"/>
        </w:rPr>
        <w:t xml:space="preserve"> </w:t>
      </w:r>
      <w:r w:rsidRPr="00CD59CC">
        <w:rPr>
          <w:rFonts w:ascii="Arial" w:hAnsi="Arial" w:cs="Arial"/>
        </w:rPr>
        <w:t>Obligations</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Pedagogical</w:t>
      </w:r>
      <w:r w:rsidR="007B7640" w:rsidRPr="00CD59CC">
        <w:rPr>
          <w:rFonts w:ascii="Arial" w:hAnsi="Arial" w:cs="Arial"/>
        </w:rPr>
        <w:t xml:space="preserve"> </w:t>
      </w:r>
      <w:r w:rsidRPr="00CD59CC">
        <w:rPr>
          <w:rFonts w:ascii="Arial" w:hAnsi="Arial" w:cs="Arial"/>
        </w:rPr>
        <w:t>Services</w:t>
      </w:r>
      <w:r w:rsidR="007B7640" w:rsidRPr="00CD59CC">
        <w:rPr>
          <w:rFonts w:ascii="Arial" w:hAnsi="Arial" w:cs="Arial"/>
        </w:rPr>
        <w:t xml:space="preserve"> </w:t>
      </w:r>
      <w:r w:rsidRPr="00CD59CC">
        <w:rPr>
          <w:rFonts w:ascii="Arial" w:hAnsi="Arial" w:cs="Arial"/>
        </w:rPr>
        <w:t>(hereinafter</w:t>
      </w:r>
      <w:r w:rsidR="007B7640" w:rsidRPr="00CD59CC">
        <w:rPr>
          <w:rFonts w:ascii="Arial" w:hAnsi="Arial" w:cs="Arial"/>
        </w:rPr>
        <w:t xml:space="preserve"> </w:t>
      </w:r>
      <w:r w:rsidRPr="00CD59CC">
        <w:rPr>
          <w:rFonts w:ascii="Arial" w:hAnsi="Arial" w:cs="Arial"/>
        </w:rPr>
        <w:t>MKM</w:t>
      </w:r>
      <w:r w:rsidR="007B7640" w:rsidRPr="00CD59CC">
        <w:rPr>
          <w:rFonts w:ascii="Arial" w:hAnsi="Arial" w:cs="Arial"/>
        </w:rPr>
        <w:t xml:space="preserve"> </w:t>
      </w:r>
      <w:r w:rsidRPr="00CD59CC">
        <w:rPr>
          <w:rFonts w:ascii="Arial" w:hAnsi="Arial" w:cs="Arial"/>
        </w:rPr>
        <w:t>Decree</w:t>
      </w:r>
      <w:r w:rsidR="007B7640" w:rsidRPr="00CD59CC">
        <w:rPr>
          <w:rFonts w:ascii="Arial" w:hAnsi="Arial" w:cs="Arial"/>
        </w:rPr>
        <w:t xml:space="preserve"> </w:t>
      </w:r>
      <w:r w:rsidRPr="00CD59CC">
        <w:rPr>
          <w:rFonts w:ascii="Arial" w:hAnsi="Arial" w:cs="Arial"/>
        </w:rPr>
        <w:t>14/1994)</w:t>
      </w:r>
      <w:r w:rsidR="007B7640" w:rsidRPr="00CD59CC">
        <w:rPr>
          <w:rFonts w:ascii="Arial" w:hAnsi="Arial" w:cs="Arial"/>
        </w:rPr>
        <w:t xml:space="preserve"> </w:t>
      </w:r>
      <w:r w:rsidRPr="00CD59CC">
        <w:rPr>
          <w:rFonts w:ascii="Arial" w:hAnsi="Arial" w:cs="Arial"/>
        </w:rPr>
        <w:t>regulated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procedure</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panel</w:t>
      </w:r>
      <w:r w:rsidR="007B7640" w:rsidRPr="00CD59CC">
        <w:rPr>
          <w:rFonts w:ascii="Arial" w:hAnsi="Arial" w:cs="Arial"/>
        </w:rPr>
        <w:t xml:space="preserve"> </w:t>
      </w:r>
      <w:r w:rsidRPr="00CD59CC">
        <w:rPr>
          <w:rFonts w:ascii="Arial" w:hAnsi="Arial" w:cs="Arial"/>
        </w:rPr>
        <w:t>vested</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task</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examining</w:t>
      </w:r>
      <w:r w:rsidR="007B7640" w:rsidRPr="00CD59CC">
        <w:rPr>
          <w:rFonts w:ascii="Arial" w:hAnsi="Arial" w:cs="Arial"/>
        </w:rPr>
        <w:t xml:space="preserve"> </w:t>
      </w:r>
      <w:r w:rsidRPr="00CD59CC">
        <w:rPr>
          <w:rFonts w:ascii="Arial" w:hAnsi="Arial" w:cs="Arial"/>
        </w:rPr>
        <w:t>children</w:t>
      </w:r>
      <w:r w:rsidR="007B7640" w:rsidRPr="00CD59CC">
        <w:rPr>
          <w:rFonts w:ascii="Arial" w:hAnsi="Arial" w:cs="Arial"/>
        </w:rPr>
        <w:t xml:space="preserve"> </w:t>
      </w:r>
      <w:r w:rsidRPr="00CD59CC">
        <w:rPr>
          <w:rFonts w:ascii="Arial" w:hAnsi="Arial" w:cs="Arial"/>
        </w:rPr>
        <w:t>whose</w:t>
      </w:r>
      <w:r w:rsidR="007B7640" w:rsidRPr="00CD59CC">
        <w:rPr>
          <w:rFonts w:ascii="Arial" w:hAnsi="Arial" w:cs="Arial"/>
        </w:rPr>
        <w:t xml:space="preserve"> </w:t>
      </w:r>
      <w:r w:rsidRPr="00CD59CC">
        <w:rPr>
          <w:rFonts w:ascii="Arial" w:hAnsi="Arial" w:cs="Arial"/>
        </w:rPr>
        <w:t>ability</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cope</w:t>
      </w:r>
      <w:r w:rsidR="007B7640" w:rsidRPr="00CD59CC">
        <w:rPr>
          <w:rFonts w:ascii="Arial" w:hAnsi="Arial" w:cs="Arial"/>
        </w:rPr>
        <w:t xml:space="preserve"> </w:t>
      </w:r>
      <w:r w:rsidRPr="00CD59CC">
        <w:rPr>
          <w:rFonts w:ascii="Arial" w:hAnsi="Arial" w:cs="Arial"/>
        </w:rPr>
        <w:t>with</w:t>
      </w:r>
      <w:r w:rsidR="007B7640" w:rsidRPr="00CD59CC">
        <w:rPr>
          <w:rFonts w:ascii="Arial" w:hAnsi="Arial" w:cs="Arial"/>
        </w:rPr>
        <w:t xml:space="preserve"> </w:t>
      </w:r>
      <w:r w:rsidRPr="00CD59CC">
        <w:rPr>
          <w:rFonts w:ascii="Arial" w:hAnsi="Arial" w:cs="Arial"/>
        </w:rPr>
        <w:t>“ordinary”</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seemed</w:t>
      </w:r>
      <w:r w:rsidR="007B7640" w:rsidRPr="00CD59CC">
        <w:rPr>
          <w:rFonts w:ascii="Arial" w:hAnsi="Arial" w:cs="Arial"/>
        </w:rPr>
        <w:t xml:space="preserve"> </w:t>
      </w:r>
      <w:r w:rsidRPr="00CD59CC">
        <w:rPr>
          <w:rFonts w:ascii="Arial" w:hAnsi="Arial" w:cs="Arial"/>
        </w:rPr>
        <w:t>questionable.</w:t>
      </w:r>
    </w:p>
    <w:p w14:paraId="1C31E001" w14:textId="77777777" w:rsidR="007F2EEE" w:rsidRPr="00CD59CC" w:rsidRDefault="007F2EEE" w:rsidP="00CD59CC">
      <w:pPr>
        <w:rPr>
          <w:rFonts w:ascii="Arial" w:hAnsi="Arial" w:cs="Arial"/>
        </w:rPr>
      </w:pPr>
    </w:p>
    <w:p w14:paraId="406B5410" w14:textId="77777777" w:rsidR="007F2EEE" w:rsidRPr="00CD59CC" w:rsidRDefault="007F2EEE" w:rsidP="00CD59CC">
      <w:pPr>
        <w:rPr>
          <w:rFonts w:ascii="Arial" w:hAnsi="Arial" w:cs="Arial"/>
        </w:rPr>
      </w:pPr>
      <w:r w:rsidRPr="00CD59CC">
        <w:rPr>
          <w:rFonts w:ascii="Arial" w:hAnsi="Arial" w:cs="Arial"/>
        </w:rPr>
        <w:t>Although</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law</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formulated</w:t>
      </w:r>
      <w:r w:rsidR="007B7640" w:rsidRPr="00CD59CC">
        <w:rPr>
          <w:rFonts w:ascii="Arial" w:hAnsi="Arial" w:cs="Arial"/>
        </w:rPr>
        <w:t xml:space="preserve"> </w:t>
      </w:r>
      <w:r w:rsidRPr="00CD59CC">
        <w:rPr>
          <w:rFonts w:ascii="Arial" w:hAnsi="Arial" w:cs="Arial"/>
        </w:rPr>
        <w:t>in</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way</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to</w:t>
      </w:r>
      <w:r w:rsidR="007B7640" w:rsidRPr="00CD59CC">
        <w:rPr>
          <w:rFonts w:ascii="Arial" w:hAnsi="Arial" w:cs="Arial"/>
        </w:rPr>
        <w:t xml:space="preserve"> </w:t>
      </w:r>
      <w:r w:rsidRPr="00CD59CC">
        <w:rPr>
          <w:rFonts w:ascii="Arial" w:hAnsi="Arial" w:cs="Arial"/>
        </w:rPr>
        <w:t>create</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possibility</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integrated</w:t>
      </w:r>
      <w:r w:rsidR="007B7640" w:rsidRPr="00CD59CC">
        <w:rPr>
          <w:rFonts w:ascii="Arial" w:hAnsi="Arial" w:cs="Arial"/>
        </w:rPr>
        <w:t xml:space="preserve"> </w:t>
      </w:r>
      <w:r w:rsidRPr="00CD59CC">
        <w:rPr>
          <w:rFonts w:ascii="Arial" w:hAnsi="Arial" w:cs="Arial"/>
        </w:rPr>
        <w:t>education,</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insert</w:t>
      </w:r>
      <w:r w:rsidR="007B7640" w:rsidRPr="00CD59CC">
        <w:rPr>
          <w:rFonts w:ascii="Arial" w:hAnsi="Arial" w:cs="Arial"/>
        </w:rPr>
        <w:t xml:space="preserve"> </w:t>
      </w:r>
      <w:r w:rsidRPr="00CD59CC">
        <w:rPr>
          <w:rFonts w:ascii="Arial" w:hAnsi="Arial" w:cs="Arial"/>
        </w:rPr>
        <w:t>safeguards</w:t>
      </w:r>
      <w:r w:rsidR="007B7640" w:rsidRPr="00CD59CC">
        <w:rPr>
          <w:rFonts w:ascii="Arial" w:hAnsi="Arial" w:cs="Arial"/>
        </w:rPr>
        <w:t xml:space="preserve"> </w:t>
      </w:r>
      <w:r w:rsidRPr="00CD59CC">
        <w:rPr>
          <w:rFonts w:ascii="Arial" w:hAnsi="Arial" w:cs="Arial"/>
        </w:rPr>
        <w:t>(such</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strong</w:t>
      </w:r>
      <w:r w:rsidR="007B7640" w:rsidRPr="00CD59CC">
        <w:rPr>
          <w:rFonts w:ascii="Arial" w:hAnsi="Arial" w:cs="Arial"/>
        </w:rPr>
        <w:t xml:space="preserve"> </w:t>
      </w:r>
      <w:r w:rsidRPr="00CD59CC">
        <w:rPr>
          <w:rFonts w:ascii="Arial" w:hAnsi="Arial" w:cs="Arial"/>
        </w:rPr>
        <w:t>parental</w:t>
      </w:r>
      <w:r w:rsidR="007B7640" w:rsidRPr="00CD59CC">
        <w:rPr>
          <w:rFonts w:ascii="Arial" w:hAnsi="Arial" w:cs="Arial"/>
        </w:rPr>
        <w:t xml:space="preserve"> </w:t>
      </w:r>
      <w:r w:rsidRPr="00CD59CC">
        <w:rPr>
          <w:rFonts w:ascii="Arial" w:hAnsi="Arial" w:cs="Arial"/>
        </w:rPr>
        <w:t>involvement)</w:t>
      </w:r>
      <w:r w:rsidR="007B7640" w:rsidRPr="00CD59CC">
        <w:rPr>
          <w:rFonts w:ascii="Arial" w:hAnsi="Arial" w:cs="Arial"/>
        </w:rPr>
        <w:t xml:space="preserve"> </w:t>
      </w:r>
      <w:r w:rsidRPr="00CD59CC">
        <w:rPr>
          <w:rFonts w:ascii="Arial" w:hAnsi="Arial" w:cs="Arial"/>
        </w:rPr>
        <w:t>aimed</w:t>
      </w:r>
      <w:r w:rsidR="007B7640" w:rsidRPr="00CD59CC">
        <w:rPr>
          <w:rFonts w:ascii="Arial" w:hAnsi="Arial" w:cs="Arial"/>
        </w:rPr>
        <w:t xml:space="preserve"> </w:t>
      </w:r>
      <w:r w:rsidRPr="00CD59CC">
        <w:rPr>
          <w:rFonts w:ascii="Arial" w:hAnsi="Arial" w:cs="Arial"/>
        </w:rPr>
        <w:t>at</w:t>
      </w:r>
      <w:r w:rsidR="007B7640" w:rsidRPr="00CD59CC">
        <w:rPr>
          <w:rFonts w:ascii="Arial" w:hAnsi="Arial" w:cs="Arial"/>
        </w:rPr>
        <w:t xml:space="preserve"> </w:t>
      </w:r>
      <w:r w:rsidRPr="00CD59CC">
        <w:rPr>
          <w:rFonts w:ascii="Arial" w:hAnsi="Arial" w:cs="Arial"/>
        </w:rPr>
        <w:t>guaranteeing</w:t>
      </w:r>
      <w:r w:rsidR="007B7640" w:rsidRPr="00CD59CC">
        <w:rPr>
          <w:rFonts w:ascii="Arial" w:hAnsi="Arial" w:cs="Arial"/>
        </w:rPr>
        <w:t xml:space="preserve"> </w:t>
      </w:r>
      <w:r w:rsidRPr="00CD59CC">
        <w:rPr>
          <w:rFonts w:ascii="Arial" w:hAnsi="Arial" w:cs="Arial"/>
        </w:rPr>
        <w:t>that</w:t>
      </w:r>
      <w:r w:rsidR="007B7640" w:rsidRPr="00CD59CC">
        <w:rPr>
          <w:rFonts w:ascii="Arial" w:hAnsi="Arial" w:cs="Arial"/>
        </w:rPr>
        <w:t xml:space="preserve"> </w:t>
      </w:r>
      <w:r w:rsidRPr="00CD59CC">
        <w:rPr>
          <w:rFonts w:ascii="Arial" w:hAnsi="Arial" w:cs="Arial"/>
        </w:rPr>
        <w:t>this</w:t>
      </w:r>
      <w:r w:rsidR="007B7640" w:rsidRPr="00CD59CC">
        <w:rPr>
          <w:rFonts w:ascii="Arial" w:hAnsi="Arial" w:cs="Arial"/>
        </w:rPr>
        <w:t xml:space="preserve"> </w:t>
      </w:r>
      <w:r w:rsidRPr="00CD59CC">
        <w:rPr>
          <w:rFonts w:ascii="Arial" w:hAnsi="Arial" w:cs="Arial"/>
        </w:rPr>
        <w:t>possibility</w:t>
      </w:r>
      <w:r w:rsidR="007B7640" w:rsidRPr="00CD59CC">
        <w:rPr>
          <w:rFonts w:ascii="Arial" w:hAnsi="Arial" w:cs="Arial"/>
        </w:rPr>
        <w:t xml:space="preserve"> </w:t>
      </w:r>
      <w:r w:rsidRPr="00CD59CC">
        <w:rPr>
          <w:rFonts w:ascii="Arial" w:hAnsi="Arial" w:cs="Arial"/>
        </w:rPr>
        <w:t>could</w:t>
      </w:r>
      <w:r w:rsidR="007B7640" w:rsidRPr="00CD59CC">
        <w:rPr>
          <w:rFonts w:ascii="Arial" w:hAnsi="Arial" w:cs="Arial"/>
        </w:rPr>
        <w:t xml:space="preserve"> </w:t>
      </w:r>
      <w:r w:rsidRPr="00CD59CC">
        <w:rPr>
          <w:rFonts w:ascii="Arial" w:hAnsi="Arial" w:cs="Arial"/>
        </w:rPr>
        <w:t>be</w:t>
      </w:r>
      <w:r w:rsidR="007B7640" w:rsidRPr="00CD59CC">
        <w:rPr>
          <w:rFonts w:ascii="Arial" w:hAnsi="Arial" w:cs="Arial"/>
        </w:rPr>
        <w:t xml:space="preserve"> </w:t>
      </w:r>
      <w:r w:rsidRPr="00CD59CC">
        <w:rPr>
          <w:rFonts w:ascii="Arial" w:hAnsi="Arial" w:cs="Arial"/>
        </w:rPr>
        <w:t>fulfilled,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expert</w:t>
      </w:r>
      <w:r w:rsidR="007B7640" w:rsidRPr="00CD59CC">
        <w:rPr>
          <w:rFonts w:ascii="Arial" w:hAnsi="Arial" w:cs="Arial"/>
        </w:rPr>
        <w:t xml:space="preserve"> </w:t>
      </w:r>
      <w:r w:rsidRPr="00CD59CC">
        <w:rPr>
          <w:rFonts w:ascii="Arial" w:hAnsi="Arial" w:cs="Arial"/>
        </w:rPr>
        <w:t>panels’</w:t>
      </w:r>
      <w:r w:rsidR="007B7640" w:rsidRPr="00CD59CC">
        <w:rPr>
          <w:rFonts w:ascii="Arial" w:hAnsi="Arial" w:cs="Arial"/>
        </w:rPr>
        <w:t xml:space="preserve"> </w:t>
      </w:r>
      <w:r w:rsidRPr="00CD59CC">
        <w:rPr>
          <w:rFonts w:ascii="Arial" w:hAnsi="Arial" w:cs="Arial"/>
        </w:rPr>
        <w:t>practice</w:t>
      </w:r>
      <w:r w:rsidR="007B7640" w:rsidRPr="00CD59CC">
        <w:rPr>
          <w:rFonts w:ascii="Arial" w:hAnsi="Arial" w:cs="Arial"/>
        </w:rPr>
        <w:t xml:space="preserve"> </w:t>
      </w:r>
      <w:r w:rsidRPr="00CD59CC">
        <w:rPr>
          <w:rFonts w:ascii="Arial" w:hAnsi="Arial" w:cs="Arial"/>
        </w:rPr>
        <w:t>was</w:t>
      </w:r>
      <w:r w:rsidR="007B7640" w:rsidRPr="00CD59CC">
        <w:rPr>
          <w:rFonts w:ascii="Arial" w:hAnsi="Arial" w:cs="Arial"/>
        </w:rPr>
        <w:t xml:space="preserve"> </w:t>
      </w:r>
      <w:r w:rsidRPr="00CD59CC">
        <w:rPr>
          <w:rFonts w:ascii="Arial" w:hAnsi="Arial" w:cs="Arial"/>
        </w:rPr>
        <w:t>highly</w:t>
      </w:r>
      <w:r w:rsidR="007B7640" w:rsidRPr="00CD59CC">
        <w:rPr>
          <w:rFonts w:ascii="Arial" w:hAnsi="Arial" w:cs="Arial"/>
        </w:rPr>
        <w:t xml:space="preserve"> </w:t>
      </w:r>
      <w:r w:rsidRPr="00CD59CC">
        <w:rPr>
          <w:rFonts w:ascii="Arial" w:hAnsi="Arial" w:cs="Arial"/>
        </w:rPr>
        <w:t>problematic.</w:t>
      </w:r>
      <w:r w:rsidR="007B7640" w:rsidRPr="00CD59CC">
        <w:rPr>
          <w:rFonts w:ascii="Arial" w:hAnsi="Arial" w:cs="Arial"/>
        </w:rPr>
        <w:t xml:space="preserve"> </w:t>
      </w:r>
      <w:r w:rsidRPr="00CD59CC">
        <w:rPr>
          <w:rFonts w:ascii="Arial" w:hAnsi="Arial" w:cs="Arial"/>
        </w:rPr>
        <w:t>A</w:t>
      </w:r>
      <w:r w:rsidR="007B7640" w:rsidRPr="00CD59CC">
        <w:rPr>
          <w:rFonts w:ascii="Arial" w:hAnsi="Arial" w:cs="Arial"/>
        </w:rPr>
        <w:t xml:space="preserve"> </w:t>
      </w:r>
      <w:r w:rsidRPr="00CD59CC">
        <w:rPr>
          <w:rFonts w:ascii="Arial" w:hAnsi="Arial" w:cs="Arial"/>
        </w:rPr>
        <w:t>country</w:t>
      </w:r>
      <w:r w:rsidR="007B7640" w:rsidRPr="00CD59CC">
        <w:rPr>
          <w:rFonts w:ascii="Arial" w:hAnsi="Arial" w:cs="Arial"/>
        </w:rPr>
        <w:t xml:space="preserve"> </w:t>
      </w:r>
      <w:r w:rsidRPr="00CD59CC">
        <w:rPr>
          <w:rFonts w:ascii="Arial" w:hAnsi="Arial" w:cs="Arial"/>
        </w:rPr>
        <w:t>report</w:t>
      </w:r>
      <w:r w:rsidR="007B7640" w:rsidRPr="00CD59CC">
        <w:rPr>
          <w:rFonts w:ascii="Arial" w:hAnsi="Arial" w:cs="Arial"/>
        </w:rPr>
        <w:t xml:space="preserve"> </w:t>
      </w:r>
      <w:r w:rsidRPr="00CD59CC">
        <w:rPr>
          <w:rFonts w:ascii="Arial" w:hAnsi="Arial" w:cs="Arial"/>
        </w:rPr>
        <w:t>written</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UNESCO</w:t>
      </w:r>
      <w:r w:rsidR="007B7640" w:rsidRPr="00CD59CC">
        <w:rPr>
          <w:rFonts w:ascii="Arial" w:hAnsi="Arial" w:cs="Arial"/>
        </w:rPr>
        <w:t xml:space="preserve"> </w:t>
      </w:r>
      <w:r w:rsidRPr="00CD59CC">
        <w:rPr>
          <w:rFonts w:ascii="Arial" w:hAnsi="Arial" w:cs="Arial"/>
        </w:rPr>
        <w:t>by</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Institute</w:t>
      </w:r>
      <w:r w:rsidR="007B7640" w:rsidRPr="00CD59CC">
        <w:rPr>
          <w:rFonts w:ascii="Arial" w:hAnsi="Arial" w:cs="Arial"/>
        </w:rPr>
        <w:t xml:space="preserve"> </w:t>
      </w:r>
      <w:r w:rsidRPr="00CD59CC">
        <w:rPr>
          <w:rFonts w:ascii="Arial" w:hAnsi="Arial" w:cs="Arial"/>
        </w:rPr>
        <w:t>for</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Research</w:t>
      </w:r>
      <w:r w:rsidR="007B7640" w:rsidRPr="00CD59CC">
        <w:rPr>
          <w:rFonts w:ascii="Arial" w:hAnsi="Arial" w:cs="Arial"/>
        </w:rPr>
        <w:t xml:space="preserve"> </w:t>
      </w:r>
      <w:r w:rsidRPr="00CD59CC">
        <w:rPr>
          <w:rFonts w:ascii="Arial" w:hAnsi="Arial" w:cs="Arial"/>
        </w:rPr>
        <w:t>and</w:t>
      </w:r>
      <w:r w:rsidR="007B7640" w:rsidRPr="00CD59CC">
        <w:rPr>
          <w:rFonts w:ascii="Arial" w:hAnsi="Arial" w:cs="Arial"/>
        </w:rPr>
        <w:t xml:space="preserve"> </w:t>
      </w:r>
      <w:r w:rsidRPr="00CD59CC">
        <w:rPr>
          <w:rFonts w:ascii="Arial" w:hAnsi="Arial" w:cs="Arial"/>
        </w:rPr>
        <w:t>Development</w:t>
      </w:r>
      <w:r w:rsidR="007B7640" w:rsidRPr="00CD59CC">
        <w:rPr>
          <w:rFonts w:ascii="Arial" w:hAnsi="Arial" w:cs="Arial"/>
        </w:rPr>
        <w:t xml:space="preserve"> </w:t>
      </w:r>
      <w:r w:rsidRPr="00CD59CC">
        <w:rPr>
          <w:rFonts w:ascii="Arial" w:hAnsi="Arial" w:cs="Arial"/>
        </w:rPr>
        <w:t>of</w:t>
      </w:r>
      <w:r w:rsidR="007B7640" w:rsidRPr="00CD59CC">
        <w:rPr>
          <w:rFonts w:ascii="Arial" w:hAnsi="Arial" w:cs="Arial"/>
        </w:rPr>
        <w:t xml:space="preserve"> </w:t>
      </w:r>
      <w:r w:rsidRPr="00CD59CC">
        <w:rPr>
          <w:rFonts w:ascii="Arial" w:hAnsi="Arial" w:cs="Arial"/>
        </w:rPr>
        <w:t>Education</w:t>
      </w:r>
      <w:r w:rsidRPr="00CD59CC">
        <w:rPr>
          <w:rStyle w:val="FootnoteReference"/>
          <w:rFonts w:ascii="Arial" w:hAnsi="Arial" w:cs="Arial"/>
        </w:rPr>
        <w:footnoteReference w:id="68"/>
      </w:r>
      <w:r w:rsidR="007B7640" w:rsidRPr="00CD59CC">
        <w:rPr>
          <w:rFonts w:ascii="Arial" w:hAnsi="Arial" w:cs="Arial"/>
        </w:rPr>
        <w:t xml:space="preserve"> </w:t>
      </w:r>
      <w:r w:rsidRPr="00CD59CC">
        <w:rPr>
          <w:rFonts w:ascii="Arial" w:hAnsi="Arial" w:cs="Arial"/>
        </w:rPr>
        <w:t>described</w:t>
      </w:r>
      <w:r w:rsidR="007B7640" w:rsidRPr="00CD59CC">
        <w:rPr>
          <w:rFonts w:ascii="Arial" w:hAnsi="Arial" w:cs="Arial"/>
        </w:rPr>
        <w:t xml:space="preserve"> </w:t>
      </w:r>
      <w:r w:rsidRPr="00CD59CC">
        <w:rPr>
          <w:rFonts w:ascii="Arial" w:hAnsi="Arial" w:cs="Arial"/>
        </w:rPr>
        <w:t>the</w:t>
      </w:r>
      <w:r w:rsidR="007B7640" w:rsidRPr="00CD59CC">
        <w:rPr>
          <w:rFonts w:ascii="Arial" w:hAnsi="Arial" w:cs="Arial"/>
        </w:rPr>
        <w:t xml:space="preserve"> </w:t>
      </w:r>
      <w:r w:rsidRPr="00CD59CC">
        <w:rPr>
          <w:rFonts w:ascii="Arial" w:hAnsi="Arial" w:cs="Arial"/>
        </w:rPr>
        <w:t>situation</w:t>
      </w:r>
      <w:r w:rsidR="007B7640" w:rsidRPr="00CD59CC">
        <w:rPr>
          <w:rFonts w:ascii="Arial" w:hAnsi="Arial" w:cs="Arial"/>
        </w:rPr>
        <w:t xml:space="preserve"> </w:t>
      </w:r>
      <w:r w:rsidRPr="00CD59CC">
        <w:rPr>
          <w:rFonts w:ascii="Arial" w:hAnsi="Arial" w:cs="Arial"/>
        </w:rPr>
        <w:t>as</w:t>
      </w:r>
      <w:r w:rsidR="007B7640" w:rsidRPr="00CD59CC">
        <w:rPr>
          <w:rFonts w:ascii="Arial" w:hAnsi="Arial" w:cs="Arial"/>
        </w:rPr>
        <w:t xml:space="preserve"> </w:t>
      </w:r>
      <w:r w:rsidRPr="00CD59CC">
        <w:rPr>
          <w:rFonts w:ascii="Arial" w:hAnsi="Arial" w:cs="Arial"/>
        </w:rPr>
        <w:t>follows:</w:t>
      </w:r>
      <w:r w:rsidR="007B7640" w:rsidRPr="00CD59CC">
        <w:rPr>
          <w:rFonts w:ascii="Arial" w:hAnsi="Arial" w:cs="Arial"/>
        </w:rPr>
        <w:t xml:space="preserve"> </w:t>
      </w:r>
    </w:p>
    <w:p w14:paraId="7084D183" w14:textId="77777777" w:rsidR="007F2EEE" w:rsidRPr="00CD59CC" w:rsidRDefault="007F2EEE" w:rsidP="00CD59CC">
      <w:pPr>
        <w:rPr>
          <w:rFonts w:ascii="Arial" w:hAnsi="Arial" w:cs="Arial"/>
        </w:rPr>
      </w:pPr>
    </w:p>
    <w:p w14:paraId="3266776A" w14:textId="77777777" w:rsidR="007F2EEE" w:rsidRPr="00BB4E9F" w:rsidRDefault="007F2EEE" w:rsidP="00BB4E9F">
      <w:pPr>
        <w:pStyle w:val="Quote"/>
      </w:pPr>
      <w:r w:rsidRPr="006F0AF2">
        <w:t>“In</w:t>
      </w:r>
      <w:r w:rsidR="007B7640" w:rsidRPr="00C86D09">
        <w:t xml:space="preserve"> </w:t>
      </w:r>
      <w:r w:rsidRPr="00C86D09">
        <w:t>terms</w:t>
      </w:r>
      <w:r w:rsidR="007B7640" w:rsidRPr="00C86D09">
        <w:t xml:space="preserve"> </w:t>
      </w:r>
      <w:r w:rsidRPr="00C86D09">
        <w:t>of</w:t>
      </w:r>
      <w:r w:rsidR="007B7640" w:rsidRPr="00C80EC8">
        <w:t xml:space="preserve"> </w:t>
      </w:r>
      <w:r w:rsidRPr="00BB4E9F">
        <w:t>the</w:t>
      </w:r>
      <w:r w:rsidR="007B7640" w:rsidRPr="00BB4E9F">
        <w:t xml:space="preserve"> </w:t>
      </w:r>
      <w:r w:rsidRPr="00BB4E9F">
        <w:t>Hungarian</w:t>
      </w:r>
      <w:r w:rsidR="007B7640" w:rsidRPr="00BB4E9F">
        <w:t xml:space="preserve"> </w:t>
      </w:r>
      <w:r w:rsidRPr="00BB4E9F">
        <w:t>laws,</w:t>
      </w:r>
      <w:r w:rsidR="007B7640" w:rsidRPr="00BB4E9F">
        <w:t xml:space="preserve"> </w:t>
      </w:r>
      <w:r w:rsidRPr="00BB4E9F">
        <w:t>‘children</w:t>
      </w:r>
      <w:r w:rsidR="007B7640" w:rsidRPr="00BB4E9F">
        <w:t xml:space="preserve"> </w:t>
      </w:r>
      <w:r w:rsidRPr="00BB4E9F">
        <w:t>with</w:t>
      </w:r>
      <w:r w:rsidR="007B7640" w:rsidRPr="00BB4E9F">
        <w:t xml:space="preserve"> </w:t>
      </w:r>
      <w:r w:rsidRPr="00BB4E9F">
        <w:t>special</w:t>
      </w:r>
      <w:r w:rsidR="007B7640" w:rsidRPr="00BB4E9F">
        <w:t xml:space="preserve"> </w:t>
      </w:r>
      <w:r w:rsidRPr="00BB4E9F">
        <w:t>educational</w:t>
      </w:r>
      <w:r w:rsidR="007B7640" w:rsidRPr="00BB4E9F">
        <w:t xml:space="preserve"> </w:t>
      </w:r>
      <w:r w:rsidRPr="00BB4E9F">
        <w:t>needs’</w:t>
      </w:r>
      <w:r w:rsidR="007B7640" w:rsidRPr="00BB4E9F">
        <w:t xml:space="preserve"> </w:t>
      </w:r>
      <w:r w:rsidRPr="00BB4E9F">
        <w:t>are</w:t>
      </w:r>
      <w:r w:rsidR="007B7640" w:rsidRPr="00BB4E9F">
        <w:t xml:space="preserve"> </w:t>
      </w:r>
      <w:r w:rsidRPr="00BB4E9F">
        <w:t>pupils</w:t>
      </w:r>
      <w:r w:rsidR="007B7640" w:rsidRPr="00BB4E9F">
        <w:t xml:space="preserve"> </w:t>
      </w:r>
      <w:r w:rsidRPr="00BB4E9F">
        <w:t>with</w:t>
      </w:r>
      <w:r w:rsidR="007B7640" w:rsidRPr="00BB4E9F">
        <w:t xml:space="preserve"> </w:t>
      </w:r>
      <w:r w:rsidRPr="00BB4E9F">
        <w:t>physical,</w:t>
      </w:r>
      <w:r w:rsidR="007B7640" w:rsidRPr="00BB4E9F">
        <w:t xml:space="preserve"> </w:t>
      </w:r>
      <w:r w:rsidRPr="00BB4E9F">
        <w:t>sensory</w:t>
      </w:r>
      <w:r w:rsidR="007B7640" w:rsidRPr="00BB4E9F">
        <w:t xml:space="preserve">  </w:t>
      </w:r>
      <w:r w:rsidRPr="00BB4E9F">
        <w:t>or</w:t>
      </w:r>
      <w:r w:rsidR="007B7640" w:rsidRPr="00BB4E9F">
        <w:t xml:space="preserve"> </w:t>
      </w:r>
      <w:r w:rsidRPr="00BB4E9F">
        <w:t>mental</w:t>
      </w:r>
      <w:r w:rsidR="007B7640" w:rsidRPr="00BB4E9F">
        <w:t xml:space="preserve"> </w:t>
      </w:r>
      <w:r w:rsidRPr="00BB4E9F">
        <w:t>disabilities,</w:t>
      </w:r>
      <w:r w:rsidR="007B7640" w:rsidRPr="00BB4E9F">
        <w:t xml:space="preserve"> </w:t>
      </w:r>
      <w:r w:rsidRPr="00BB4E9F">
        <w:t>speech</w:t>
      </w:r>
      <w:r w:rsidR="007B7640" w:rsidRPr="00BB4E9F">
        <w:t xml:space="preserve"> </w:t>
      </w:r>
      <w:r w:rsidRPr="00BB4E9F">
        <w:t>disorder,</w:t>
      </w:r>
      <w:r w:rsidR="007B7640" w:rsidRPr="00BB4E9F">
        <w:t xml:space="preserve"> </w:t>
      </w:r>
      <w:r w:rsidRPr="00BB4E9F">
        <w:t>autism,</w:t>
      </w:r>
      <w:r w:rsidR="007B7640" w:rsidRPr="00BB4E9F">
        <w:t xml:space="preserve"> </w:t>
      </w:r>
      <w:r w:rsidRPr="00BB4E9F">
        <w:t>or</w:t>
      </w:r>
      <w:r w:rsidR="007B7640" w:rsidRPr="00BB4E9F">
        <w:t xml:space="preserve"> </w:t>
      </w:r>
      <w:r w:rsidRPr="00BB4E9F">
        <w:t>suffering</w:t>
      </w:r>
      <w:r w:rsidR="007B7640" w:rsidRPr="00BB4E9F">
        <w:t xml:space="preserve"> </w:t>
      </w:r>
      <w:r w:rsidRPr="00BB4E9F">
        <w:t>from</w:t>
      </w:r>
      <w:r w:rsidR="007B7640" w:rsidRPr="00BB4E9F">
        <w:t xml:space="preserve"> </w:t>
      </w:r>
      <w:r w:rsidRPr="00BB4E9F">
        <w:t>more</w:t>
      </w:r>
      <w:r w:rsidR="007B7640" w:rsidRPr="00BB4E9F">
        <w:t xml:space="preserve"> </w:t>
      </w:r>
      <w:r w:rsidRPr="00BB4E9F">
        <w:t>than</w:t>
      </w:r>
      <w:r w:rsidR="007B7640" w:rsidRPr="00BB4E9F">
        <w:t xml:space="preserve"> </w:t>
      </w:r>
      <w:r w:rsidRPr="00BB4E9F">
        <w:t>one</w:t>
      </w:r>
      <w:r w:rsidR="007B7640" w:rsidRPr="00BB4E9F">
        <w:t xml:space="preserve"> </w:t>
      </w:r>
      <w:r w:rsidRPr="00BB4E9F">
        <w:t>disability,</w:t>
      </w:r>
      <w:r w:rsidR="007B7640" w:rsidRPr="00BB4E9F">
        <w:t xml:space="preserve"> </w:t>
      </w:r>
      <w:r w:rsidRPr="00BB4E9F">
        <w:t>also</w:t>
      </w:r>
      <w:r w:rsidR="007B7640" w:rsidRPr="00BB4E9F">
        <w:t xml:space="preserve"> </w:t>
      </w:r>
      <w:r w:rsidRPr="00BB4E9F">
        <w:t>pupils</w:t>
      </w:r>
      <w:r w:rsidR="007B7640" w:rsidRPr="00BB4E9F">
        <w:t xml:space="preserve"> </w:t>
      </w:r>
      <w:r w:rsidRPr="00BB4E9F">
        <w:t>who</w:t>
      </w:r>
      <w:r w:rsidR="007B7640" w:rsidRPr="00BB4E9F">
        <w:t xml:space="preserve"> </w:t>
      </w:r>
      <w:r w:rsidRPr="00BB4E9F">
        <w:t>are</w:t>
      </w:r>
      <w:r w:rsidR="007B7640" w:rsidRPr="00BB4E9F">
        <w:t xml:space="preserve"> </w:t>
      </w:r>
      <w:r w:rsidRPr="00BB4E9F">
        <w:t>severely</w:t>
      </w:r>
      <w:r w:rsidR="007B7640" w:rsidRPr="00BB4E9F">
        <w:t xml:space="preserve"> </w:t>
      </w:r>
      <w:r w:rsidRPr="00BB4E9F">
        <w:t>and</w:t>
      </w:r>
      <w:r w:rsidR="007B7640" w:rsidRPr="00BB4E9F">
        <w:t xml:space="preserve"> </w:t>
      </w:r>
      <w:r w:rsidRPr="00BB4E9F">
        <w:t>constantly</w:t>
      </w:r>
      <w:r w:rsidR="007B7640" w:rsidRPr="00BB4E9F">
        <w:t xml:space="preserve"> </w:t>
      </w:r>
      <w:r w:rsidRPr="00BB4E9F">
        <w:t>hindered</w:t>
      </w:r>
      <w:r w:rsidR="007B7640" w:rsidRPr="00BB4E9F">
        <w:t xml:space="preserve"> </w:t>
      </w:r>
      <w:r w:rsidRPr="00BB4E9F">
        <w:t>in</w:t>
      </w:r>
      <w:r w:rsidR="007B7640" w:rsidRPr="00BB4E9F">
        <w:t xml:space="preserve"> </w:t>
      </w:r>
      <w:r w:rsidRPr="00BB4E9F">
        <w:t>the</w:t>
      </w:r>
      <w:r w:rsidR="007B7640" w:rsidRPr="00BB4E9F">
        <w:t xml:space="preserve"> </w:t>
      </w:r>
      <w:r w:rsidRPr="00BB4E9F">
        <w:t>learning</w:t>
      </w:r>
      <w:r w:rsidR="007B7640" w:rsidRPr="00BB4E9F">
        <w:t xml:space="preserve"> </w:t>
      </w:r>
      <w:r w:rsidRPr="00BB4E9F">
        <w:t>process</w:t>
      </w:r>
      <w:r w:rsidR="007B7640" w:rsidRPr="00BB4E9F">
        <w:t xml:space="preserve"> </w:t>
      </w:r>
      <w:r w:rsidRPr="00BB4E9F">
        <w:t>by</w:t>
      </w:r>
      <w:r w:rsidR="007B7640" w:rsidRPr="00BB4E9F">
        <w:t xml:space="preserve"> </w:t>
      </w:r>
      <w:r w:rsidRPr="00BB4E9F">
        <w:t>psychological</w:t>
      </w:r>
      <w:r w:rsidR="007B7640" w:rsidRPr="00BB4E9F">
        <w:t xml:space="preserve"> </w:t>
      </w:r>
      <w:r w:rsidRPr="00BB4E9F">
        <w:t>developmental</w:t>
      </w:r>
      <w:r w:rsidR="007B7640" w:rsidRPr="00BB4E9F">
        <w:t xml:space="preserve"> </w:t>
      </w:r>
      <w:r w:rsidRPr="00BB4E9F">
        <w:t>problems</w:t>
      </w:r>
      <w:r w:rsidR="007B7640" w:rsidRPr="00BB4E9F">
        <w:t xml:space="preserve">  </w:t>
      </w:r>
      <w:r w:rsidRPr="00BB4E9F">
        <w:t>(e.g.</w:t>
      </w:r>
      <w:r w:rsidR="007B7640" w:rsidRPr="00BB4E9F">
        <w:t xml:space="preserve"> </w:t>
      </w:r>
      <w:r w:rsidRPr="00BB4E9F">
        <w:t>children</w:t>
      </w:r>
      <w:r w:rsidR="007B7640" w:rsidRPr="00BB4E9F">
        <w:t xml:space="preserve"> </w:t>
      </w:r>
      <w:r w:rsidRPr="00BB4E9F">
        <w:t>with</w:t>
      </w:r>
      <w:r w:rsidR="007B7640" w:rsidRPr="00BB4E9F">
        <w:t xml:space="preserve"> </w:t>
      </w:r>
      <w:r w:rsidRPr="00BB4E9F">
        <w:t>dyslexia,</w:t>
      </w:r>
      <w:r w:rsidR="007B7640" w:rsidRPr="00BB4E9F">
        <w:t xml:space="preserve"> </w:t>
      </w:r>
      <w:r w:rsidRPr="00BB4E9F">
        <w:t>dysgraphia,</w:t>
      </w:r>
      <w:r w:rsidR="007B7640" w:rsidRPr="00BB4E9F">
        <w:t xml:space="preserve"> </w:t>
      </w:r>
      <w:r w:rsidRPr="00BB4E9F">
        <w:t>or</w:t>
      </w:r>
      <w:r w:rsidR="007B7640" w:rsidRPr="00BB4E9F">
        <w:t xml:space="preserve"> </w:t>
      </w:r>
      <w:r w:rsidRPr="00BB4E9F">
        <w:t>hyperactive</w:t>
      </w:r>
      <w:r w:rsidR="007B7640" w:rsidRPr="00BB4E9F">
        <w:t xml:space="preserve"> </w:t>
      </w:r>
      <w:r w:rsidRPr="00BB4E9F">
        <w:t>children).</w:t>
      </w:r>
      <w:r w:rsidR="007B7640" w:rsidRPr="00BB4E9F">
        <w:t xml:space="preserve"> </w:t>
      </w:r>
    </w:p>
    <w:p w14:paraId="1FFFFBD8" w14:textId="77777777" w:rsidR="007F2EEE" w:rsidRPr="00BB4E9F" w:rsidRDefault="007F2EEE" w:rsidP="00BB4E9F">
      <w:pPr>
        <w:pStyle w:val="Quote"/>
      </w:pPr>
    </w:p>
    <w:p w14:paraId="3A6D5B3F" w14:textId="77777777" w:rsidR="007F2EEE" w:rsidRPr="00BB4E9F" w:rsidRDefault="007F2EEE" w:rsidP="00BB4E9F">
      <w:pPr>
        <w:pStyle w:val="Quote"/>
      </w:pPr>
      <w:r w:rsidRPr="00BB4E9F">
        <w:t>According</w:t>
      </w:r>
      <w:r w:rsidR="007B7640" w:rsidRPr="00BB4E9F">
        <w:t xml:space="preserve"> </w:t>
      </w:r>
      <w:r w:rsidRPr="00BB4E9F">
        <w:t>to</w:t>
      </w:r>
      <w:r w:rsidR="007B7640" w:rsidRPr="00BB4E9F">
        <w:t xml:space="preserve"> </w:t>
      </w:r>
      <w:r w:rsidRPr="00BB4E9F">
        <w:t>the</w:t>
      </w:r>
      <w:r w:rsidR="007B7640" w:rsidRPr="00BB4E9F">
        <w:t xml:space="preserve"> </w:t>
      </w:r>
      <w:r w:rsidRPr="00BB4E9F">
        <w:t>statistics</w:t>
      </w:r>
      <w:r w:rsidR="007B7640" w:rsidRPr="00BB4E9F">
        <w:t xml:space="preserve"> </w:t>
      </w:r>
      <w:r w:rsidRPr="00BB4E9F">
        <w:t>of</w:t>
      </w:r>
      <w:r w:rsidR="007B7640" w:rsidRPr="00BB4E9F">
        <w:t xml:space="preserve"> </w:t>
      </w:r>
      <w:r w:rsidRPr="00BB4E9F">
        <w:t>the</w:t>
      </w:r>
      <w:r w:rsidR="007B7640" w:rsidRPr="00BB4E9F">
        <w:t xml:space="preserve"> </w:t>
      </w:r>
      <w:r w:rsidRPr="00BB4E9F">
        <w:t>Ministry</w:t>
      </w:r>
      <w:r w:rsidR="007B7640" w:rsidRPr="00BB4E9F">
        <w:t xml:space="preserve"> </w:t>
      </w:r>
      <w:r w:rsidRPr="00BB4E9F">
        <w:t>of</w:t>
      </w:r>
      <w:r w:rsidR="007B7640" w:rsidRPr="00BB4E9F">
        <w:t xml:space="preserve"> </w:t>
      </w:r>
      <w:r w:rsidRPr="00BB4E9F">
        <w:t>Education,</w:t>
      </w:r>
      <w:r w:rsidR="007B7640" w:rsidRPr="00BB4E9F">
        <w:t xml:space="preserve"> </w:t>
      </w:r>
      <w:r w:rsidRPr="00BB4E9F">
        <w:t>in</w:t>
      </w:r>
      <w:r w:rsidR="007B7640" w:rsidRPr="00BB4E9F">
        <w:t xml:space="preserve"> </w:t>
      </w:r>
      <w:r w:rsidRPr="00BB4E9F">
        <w:t>2005,</w:t>
      </w:r>
      <w:r w:rsidR="007B7640" w:rsidRPr="00BB4E9F">
        <w:t xml:space="preserve"> </w:t>
      </w:r>
      <w:r w:rsidRPr="00BB4E9F">
        <w:t>there</w:t>
      </w:r>
      <w:r w:rsidR="007B7640" w:rsidRPr="00BB4E9F">
        <w:t xml:space="preserve"> </w:t>
      </w:r>
      <w:r w:rsidRPr="00BB4E9F">
        <w:t>were</w:t>
      </w:r>
      <w:r w:rsidR="007B7640" w:rsidRPr="00BB4E9F">
        <w:t xml:space="preserve"> </w:t>
      </w:r>
      <w:r w:rsidRPr="00BB4E9F">
        <w:t>57,000</w:t>
      </w:r>
      <w:r w:rsidR="007B7640" w:rsidRPr="00BB4E9F">
        <w:t xml:space="preserve"> </w:t>
      </w:r>
      <w:r w:rsidRPr="00BB4E9F">
        <w:t>children</w:t>
      </w:r>
      <w:r w:rsidR="007B7640" w:rsidRPr="00BB4E9F">
        <w:t xml:space="preserve"> </w:t>
      </w:r>
      <w:r w:rsidRPr="00BB4E9F">
        <w:t>with</w:t>
      </w:r>
      <w:r w:rsidR="007B7640" w:rsidRPr="00BB4E9F">
        <w:t xml:space="preserve"> </w:t>
      </w:r>
      <w:r w:rsidRPr="00BB4E9F">
        <w:t>special</w:t>
      </w:r>
      <w:r w:rsidR="007B7640" w:rsidRPr="00BB4E9F">
        <w:t xml:space="preserve"> </w:t>
      </w:r>
      <w:r w:rsidRPr="00BB4E9F">
        <w:t>educational</w:t>
      </w:r>
      <w:r w:rsidR="007B7640" w:rsidRPr="00BB4E9F">
        <w:t xml:space="preserve"> </w:t>
      </w:r>
      <w:r w:rsidRPr="00BB4E9F">
        <w:t>needs</w:t>
      </w:r>
      <w:r w:rsidR="007B7640" w:rsidRPr="00BB4E9F">
        <w:t xml:space="preserve"> </w:t>
      </w:r>
      <w:r w:rsidRPr="00BB4E9F">
        <w:t>in</w:t>
      </w:r>
      <w:r w:rsidR="007B7640" w:rsidRPr="00BB4E9F">
        <w:t xml:space="preserve"> </w:t>
      </w:r>
      <w:r w:rsidRPr="00BB4E9F">
        <w:t>Hungary.</w:t>
      </w:r>
      <w:r w:rsidR="007B7640" w:rsidRPr="00BB4E9F">
        <w:t xml:space="preserve"> </w:t>
      </w:r>
    </w:p>
    <w:p w14:paraId="10524832" w14:textId="77777777" w:rsidR="007F2EEE" w:rsidRPr="00BB4E9F" w:rsidRDefault="007F2EEE" w:rsidP="00BB4E9F">
      <w:pPr>
        <w:pStyle w:val="Quote"/>
      </w:pPr>
    </w:p>
    <w:p w14:paraId="3FA86481" w14:textId="77777777" w:rsidR="007F2EEE" w:rsidRPr="00BB4E9F" w:rsidRDefault="007F2EEE" w:rsidP="00BB4E9F">
      <w:pPr>
        <w:pStyle w:val="Quote"/>
      </w:pPr>
      <w:r w:rsidRPr="00BB4E9F">
        <w:t>The</w:t>
      </w:r>
      <w:r w:rsidR="007B7640" w:rsidRPr="00BB4E9F">
        <w:t xml:space="preserve"> </w:t>
      </w:r>
      <w:r w:rsidRPr="00BB4E9F">
        <w:t>Hungarian</w:t>
      </w:r>
      <w:r w:rsidR="007B7640" w:rsidRPr="00BB4E9F">
        <w:t xml:space="preserve"> </w:t>
      </w:r>
      <w:r w:rsidRPr="00BB4E9F">
        <w:t>educational</w:t>
      </w:r>
      <w:r w:rsidR="007B7640" w:rsidRPr="00BB4E9F">
        <w:t xml:space="preserve"> </w:t>
      </w:r>
      <w:r w:rsidRPr="00BB4E9F">
        <w:t>system</w:t>
      </w:r>
      <w:r w:rsidR="007B7640" w:rsidRPr="00BB4E9F">
        <w:t xml:space="preserve"> </w:t>
      </w:r>
      <w:r w:rsidRPr="00BB4E9F">
        <w:t>does</w:t>
      </w:r>
      <w:r w:rsidR="007B7640" w:rsidRPr="00BB4E9F">
        <w:t xml:space="preserve"> </w:t>
      </w:r>
      <w:r w:rsidRPr="00BB4E9F">
        <w:t>not</w:t>
      </w:r>
      <w:r w:rsidR="007B7640" w:rsidRPr="00BB4E9F">
        <w:t xml:space="preserve"> </w:t>
      </w:r>
      <w:r w:rsidRPr="00BB4E9F">
        <w:t>guarantee</w:t>
      </w:r>
      <w:r w:rsidR="007B7640" w:rsidRPr="00BB4E9F">
        <w:t xml:space="preserve"> </w:t>
      </w:r>
      <w:r w:rsidRPr="00BB4E9F">
        <w:t>equal</w:t>
      </w:r>
      <w:r w:rsidR="007B7640" w:rsidRPr="00BB4E9F">
        <w:t xml:space="preserve"> </w:t>
      </w:r>
      <w:r w:rsidRPr="00BB4E9F">
        <w:t>opportunities</w:t>
      </w:r>
      <w:r w:rsidR="007B7640" w:rsidRPr="00BB4E9F">
        <w:t xml:space="preserve"> </w:t>
      </w:r>
      <w:r w:rsidRPr="00BB4E9F">
        <w:t>for</w:t>
      </w:r>
      <w:r w:rsidR="007B7640" w:rsidRPr="00BB4E9F">
        <w:t xml:space="preserve"> </w:t>
      </w:r>
      <w:r w:rsidRPr="00BB4E9F">
        <w:t>such</w:t>
      </w:r>
      <w:r w:rsidR="007B7640" w:rsidRPr="00BB4E9F">
        <w:t xml:space="preserve"> </w:t>
      </w:r>
      <w:r w:rsidRPr="00BB4E9F">
        <w:t>children.</w:t>
      </w:r>
      <w:r w:rsidR="007B7640" w:rsidRPr="00BB4E9F">
        <w:t xml:space="preserve"> </w:t>
      </w:r>
      <w:r w:rsidRPr="00BB4E9F">
        <w:t>The</w:t>
      </w:r>
      <w:r w:rsidR="007B7640" w:rsidRPr="00BB4E9F">
        <w:t xml:space="preserve"> </w:t>
      </w:r>
      <w:r w:rsidRPr="00BB4E9F">
        <w:t>majority</w:t>
      </w:r>
      <w:r w:rsidR="007B7640" w:rsidRPr="00BB4E9F">
        <w:t xml:space="preserve"> </w:t>
      </w:r>
      <w:r w:rsidRPr="00BB4E9F">
        <w:t>of</w:t>
      </w:r>
      <w:r w:rsidR="007B7640" w:rsidRPr="00BB4E9F">
        <w:t xml:space="preserve"> </w:t>
      </w:r>
      <w:r w:rsidRPr="00BB4E9F">
        <w:t>pupils</w:t>
      </w:r>
      <w:r w:rsidR="007B7640" w:rsidRPr="00BB4E9F">
        <w:t xml:space="preserve"> </w:t>
      </w:r>
      <w:r w:rsidRPr="00BB4E9F">
        <w:t>with</w:t>
      </w:r>
      <w:r w:rsidR="007B7640" w:rsidRPr="00BB4E9F">
        <w:t xml:space="preserve"> </w:t>
      </w:r>
      <w:r w:rsidRPr="00BB4E9F">
        <w:t>different</w:t>
      </w:r>
      <w:r w:rsidR="007B7640" w:rsidRPr="00BB4E9F">
        <w:t xml:space="preserve"> </w:t>
      </w:r>
      <w:r w:rsidRPr="00BB4E9F">
        <w:t>forms</w:t>
      </w:r>
      <w:r w:rsidR="007B7640" w:rsidRPr="00BB4E9F">
        <w:t xml:space="preserve"> </w:t>
      </w:r>
      <w:r w:rsidRPr="00BB4E9F">
        <w:t>of</w:t>
      </w:r>
      <w:r w:rsidR="007B7640" w:rsidRPr="00BB4E9F">
        <w:t xml:space="preserve"> </w:t>
      </w:r>
      <w:r w:rsidRPr="00BB4E9F">
        <w:t>disability</w:t>
      </w:r>
      <w:r w:rsidR="007B7640" w:rsidRPr="00BB4E9F">
        <w:t xml:space="preserve"> </w:t>
      </w:r>
      <w:r w:rsidRPr="00BB4E9F">
        <w:t>studies</w:t>
      </w:r>
      <w:r w:rsidR="007B7640" w:rsidRPr="00BB4E9F">
        <w:t xml:space="preserve"> </w:t>
      </w:r>
      <w:r w:rsidRPr="00BB4E9F">
        <w:t>in</w:t>
      </w:r>
      <w:r w:rsidR="007B7640" w:rsidRPr="00BB4E9F">
        <w:t xml:space="preserve"> </w:t>
      </w:r>
      <w:r w:rsidRPr="00BB4E9F">
        <w:t>specialised,</w:t>
      </w:r>
      <w:r w:rsidR="007B7640" w:rsidRPr="00BB4E9F">
        <w:t xml:space="preserve"> </w:t>
      </w:r>
      <w:r w:rsidRPr="00BB4E9F">
        <w:t>segregated</w:t>
      </w:r>
      <w:r w:rsidR="007B7640" w:rsidRPr="00BB4E9F">
        <w:t xml:space="preserve"> </w:t>
      </w:r>
      <w:r w:rsidRPr="00BB4E9F">
        <w:t>schools.</w:t>
      </w:r>
      <w:r w:rsidR="007B7640" w:rsidRPr="00BB4E9F">
        <w:t xml:space="preserve"> </w:t>
      </w:r>
      <w:r w:rsidRPr="00BB4E9F">
        <w:t>Empirical</w:t>
      </w:r>
      <w:r w:rsidR="007B7640" w:rsidRPr="00BB4E9F">
        <w:t xml:space="preserve"> </w:t>
      </w:r>
      <w:r w:rsidRPr="00BB4E9F">
        <w:t>research</w:t>
      </w:r>
      <w:r w:rsidR="007B7640" w:rsidRPr="00BB4E9F">
        <w:t xml:space="preserve"> </w:t>
      </w:r>
      <w:r w:rsidRPr="00BB4E9F">
        <w:t>shows</w:t>
      </w:r>
      <w:r w:rsidR="007B7640" w:rsidRPr="00BB4E9F">
        <w:t xml:space="preserve"> </w:t>
      </w:r>
      <w:r w:rsidRPr="00BB4E9F">
        <w:t>that</w:t>
      </w:r>
      <w:r w:rsidR="007B7640" w:rsidRPr="00BB4E9F">
        <w:t xml:space="preserve"> </w:t>
      </w:r>
      <w:r w:rsidRPr="00BB4E9F">
        <w:t>this</w:t>
      </w:r>
      <w:r w:rsidR="007B7640" w:rsidRPr="00BB4E9F">
        <w:t xml:space="preserve"> </w:t>
      </w:r>
      <w:r w:rsidRPr="00BB4E9F">
        <w:t>separation</w:t>
      </w:r>
      <w:r w:rsidR="007B7640" w:rsidRPr="00BB4E9F">
        <w:t xml:space="preserve"> </w:t>
      </w:r>
      <w:r w:rsidRPr="00BB4E9F">
        <w:t>from</w:t>
      </w:r>
      <w:r w:rsidR="007B7640" w:rsidRPr="00BB4E9F">
        <w:t xml:space="preserve"> </w:t>
      </w:r>
      <w:r w:rsidRPr="00BB4E9F">
        <w:t>society</w:t>
      </w:r>
      <w:r w:rsidR="007B7640" w:rsidRPr="00BB4E9F">
        <w:t xml:space="preserve"> </w:t>
      </w:r>
      <w:r w:rsidRPr="00BB4E9F">
        <w:t>generates</w:t>
      </w:r>
      <w:r w:rsidR="007B7640" w:rsidRPr="00BB4E9F">
        <w:t xml:space="preserve"> </w:t>
      </w:r>
      <w:r w:rsidRPr="00BB4E9F">
        <w:t>disadvantages</w:t>
      </w:r>
      <w:r w:rsidR="007B7640" w:rsidRPr="00BB4E9F">
        <w:t xml:space="preserve"> </w:t>
      </w:r>
      <w:r w:rsidRPr="00BB4E9F">
        <w:t>in</w:t>
      </w:r>
      <w:r w:rsidR="007B7640" w:rsidRPr="00BB4E9F">
        <w:t xml:space="preserve"> </w:t>
      </w:r>
      <w:r w:rsidRPr="00BB4E9F">
        <w:t>the</w:t>
      </w:r>
      <w:r w:rsidR="007B7640" w:rsidRPr="00BB4E9F">
        <w:t xml:space="preserve"> </w:t>
      </w:r>
      <w:r w:rsidRPr="00BB4E9F">
        <w:t>labour</w:t>
      </w:r>
      <w:r w:rsidR="007B7640" w:rsidRPr="00BB4E9F">
        <w:t xml:space="preserve"> </w:t>
      </w:r>
      <w:r w:rsidRPr="00BB4E9F">
        <w:t>market</w:t>
      </w:r>
      <w:r w:rsidR="007B7640" w:rsidRPr="00BB4E9F">
        <w:t xml:space="preserve"> </w:t>
      </w:r>
      <w:r w:rsidRPr="00BB4E9F">
        <w:t>and</w:t>
      </w:r>
      <w:r w:rsidR="007B7640" w:rsidRPr="00BB4E9F">
        <w:t xml:space="preserve"> </w:t>
      </w:r>
      <w:r w:rsidRPr="00BB4E9F">
        <w:t>hinders</w:t>
      </w:r>
      <w:r w:rsidR="007B7640" w:rsidRPr="00BB4E9F">
        <w:t xml:space="preserve"> </w:t>
      </w:r>
      <w:r w:rsidRPr="00BB4E9F">
        <w:t>the</w:t>
      </w:r>
      <w:r w:rsidR="007B7640" w:rsidRPr="00BB4E9F">
        <w:t xml:space="preserve"> </w:t>
      </w:r>
      <w:r w:rsidRPr="00BB4E9F">
        <w:t>integration</w:t>
      </w:r>
      <w:r w:rsidR="007B7640" w:rsidRPr="00BB4E9F">
        <w:t xml:space="preserve"> </w:t>
      </w:r>
      <w:r w:rsidRPr="00BB4E9F">
        <w:t>of</w:t>
      </w:r>
      <w:r w:rsidR="007B7640" w:rsidRPr="00BB4E9F">
        <w:t xml:space="preserve"> </w:t>
      </w:r>
      <w:r w:rsidRPr="00BB4E9F">
        <w:t>people</w:t>
      </w:r>
      <w:r w:rsidR="007B7640" w:rsidRPr="00BB4E9F">
        <w:t xml:space="preserve"> </w:t>
      </w:r>
      <w:r w:rsidRPr="00BB4E9F">
        <w:t>with</w:t>
      </w:r>
      <w:r w:rsidR="007B7640" w:rsidRPr="00BB4E9F">
        <w:t xml:space="preserve"> </w:t>
      </w:r>
      <w:r w:rsidRPr="00BB4E9F">
        <w:t>disabilities.</w:t>
      </w:r>
      <w:r w:rsidR="007B7640" w:rsidRPr="00BB4E9F">
        <w:t xml:space="preserve"> </w:t>
      </w:r>
      <w:r w:rsidRPr="00BB4E9F">
        <w:t>The</w:t>
      </w:r>
      <w:r w:rsidR="007B7640" w:rsidRPr="00BB4E9F">
        <w:t xml:space="preserve"> </w:t>
      </w:r>
      <w:r w:rsidRPr="00BB4E9F">
        <w:t>average</w:t>
      </w:r>
      <w:r w:rsidR="007B7640" w:rsidRPr="00BB4E9F">
        <w:t xml:space="preserve"> </w:t>
      </w:r>
      <w:r w:rsidRPr="00BB4E9F">
        <w:t>level</w:t>
      </w:r>
      <w:r w:rsidR="007B7640" w:rsidRPr="00BB4E9F">
        <w:t xml:space="preserve"> </w:t>
      </w:r>
      <w:r w:rsidRPr="00BB4E9F">
        <w:t>of</w:t>
      </w:r>
      <w:r w:rsidR="007B7640" w:rsidRPr="00BB4E9F">
        <w:t xml:space="preserve"> </w:t>
      </w:r>
      <w:r w:rsidRPr="00BB4E9F">
        <w:t>education</w:t>
      </w:r>
      <w:r w:rsidR="007B7640" w:rsidRPr="00BB4E9F">
        <w:t xml:space="preserve"> </w:t>
      </w:r>
      <w:r w:rsidRPr="00BB4E9F">
        <w:t>of</w:t>
      </w:r>
      <w:r w:rsidR="007B7640" w:rsidRPr="00BB4E9F">
        <w:t xml:space="preserve"> </w:t>
      </w:r>
      <w:r w:rsidRPr="00BB4E9F">
        <w:t>people</w:t>
      </w:r>
      <w:r w:rsidR="007B7640" w:rsidRPr="00BB4E9F">
        <w:t xml:space="preserve"> </w:t>
      </w:r>
      <w:r w:rsidRPr="00BB4E9F">
        <w:lastRenderedPageBreak/>
        <w:t>with</w:t>
      </w:r>
      <w:r w:rsidR="007B7640" w:rsidRPr="00BB4E9F">
        <w:t xml:space="preserve"> </w:t>
      </w:r>
      <w:r w:rsidRPr="00BB4E9F">
        <w:t>disabilities</w:t>
      </w:r>
      <w:r w:rsidR="007B7640" w:rsidRPr="00BB4E9F">
        <w:t xml:space="preserve"> </w:t>
      </w:r>
      <w:r w:rsidRPr="00BB4E9F">
        <w:t>is</w:t>
      </w:r>
      <w:r w:rsidR="007B7640" w:rsidRPr="00BB4E9F">
        <w:t xml:space="preserve"> </w:t>
      </w:r>
      <w:r w:rsidRPr="00BB4E9F">
        <w:t>way</w:t>
      </w:r>
      <w:r w:rsidR="007B7640" w:rsidRPr="00BB4E9F">
        <w:t xml:space="preserve"> </w:t>
      </w:r>
      <w:r w:rsidRPr="00BB4E9F">
        <w:t>below</w:t>
      </w:r>
      <w:r w:rsidR="007B7640" w:rsidRPr="00BB4E9F">
        <w:t xml:space="preserve"> </w:t>
      </w:r>
      <w:r w:rsidRPr="00BB4E9F">
        <w:t>that</w:t>
      </w:r>
      <w:r w:rsidR="007B7640" w:rsidRPr="00BB4E9F">
        <w:t xml:space="preserve"> </w:t>
      </w:r>
      <w:r w:rsidRPr="00BB4E9F">
        <w:t>of</w:t>
      </w:r>
      <w:r w:rsidR="007B7640" w:rsidRPr="00BB4E9F">
        <w:t xml:space="preserve"> </w:t>
      </w:r>
      <w:r w:rsidRPr="00BB4E9F">
        <w:t>the</w:t>
      </w:r>
      <w:r w:rsidR="007B7640" w:rsidRPr="00BB4E9F">
        <w:t xml:space="preserve"> </w:t>
      </w:r>
      <w:r w:rsidRPr="00BB4E9F">
        <w:t>general</w:t>
      </w:r>
      <w:r w:rsidR="007B7640" w:rsidRPr="00BB4E9F">
        <w:t xml:space="preserve"> </w:t>
      </w:r>
      <w:r w:rsidRPr="00BB4E9F">
        <w:t>society.</w:t>
      </w:r>
      <w:r w:rsidR="007B7640" w:rsidRPr="00BB4E9F">
        <w:t xml:space="preserve"> </w:t>
      </w:r>
      <w:r w:rsidRPr="00BB4E9F">
        <w:t>70%</w:t>
      </w:r>
      <w:r w:rsidR="007B7640" w:rsidRPr="00BB4E9F">
        <w:t xml:space="preserve"> </w:t>
      </w:r>
      <w:r w:rsidRPr="00BB4E9F">
        <w:t>of</w:t>
      </w:r>
      <w:r w:rsidR="007B7640" w:rsidRPr="00BB4E9F">
        <w:t xml:space="preserve"> </w:t>
      </w:r>
      <w:r w:rsidRPr="00BB4E9F">
        <w:t>persons</w:t>
      </w:r>
      <w:r w:rsidR="007B7640" w:rsidRPr="00BB4E9F">
        <w:t xml:space="preserve"> </w:t>
      </w:r>
      <w:r w:rsidRPr="00BB4E9F">
        <w:t>with</w:t>
      </w:r>
      <w:r w:rsidR="007B7640" w:rsidRPr="00BB4E9F">
        <w:t xml:space="preserve"> </w:t>
      </w:r>
      <w:r w:rsidRPr="00BB4E9F">
        <w:t>disabilities</w:t>
      </w:r>
      <w:r w:rsidR="007B7640" w:rsidRPr="00BB4E9F">
        <w:t xml:space="preserve"> </w:t>
      </w:r>
      <w:r w:rsidRPr="00BB4E9F">
        <w:t>over</w:t>
      </w:r>
      <w:r w:rsidR="007B7640" w:rsidRPr="00BB4E9F">
        <w:t xml:space="preserve"> </w:t>
      </w:r>
      <w:r w:rsidRPr="00BB4E9F">
        <w:t>the</w:t>
      </w:r>
      <w:r w:rsidR="007B7640" w:rsidRPr="00BB4E9F">
        <w:t xml:space="preserve"> </w:t>
      </w:r>
      <w:r w:rsidRPr="00BB4E9F">
        <w:t>age</w:t>
      </w:r>
      <w:r w:rsidR="007B7640" w:rsidRPr="00BB4E9F">
        <w:t xml:space="preserve"> </w:t>
      </w:r>
      <w:r w:rsidRPr="00BB4E9F">
        <w:t>of</w:t>
      </w:r>
      <w:r w:rsidR="007B7640" w:rsidRPr="00BB4E9F">
        <w:t xml:space="preserve"> </w:t>
      </w:r>
      <w:r w:rsidRPr="00BB4E9F">
        <w:t>15</w:t>
      </w:r>
      <w:r w:rsidR="007B7640" w:rsidRPr="00BB4E9F">
        <w:t xml:space="preserve"> </w:t>
      </w:r>
      <w:r w:rsidRPr="00BB4E9F">
        <w:t>have</w:t>
      </w:r>
      <w:r w:rsidR="007B7640" w:rsidRPr="00BB4E9F">
        <w:t xml:space="preserve"> </w:t>
      </w:r>
      <w:r w:rsidRPr="00BB4E9F">
        <w:t>only</w:t>
      </w:r>
      <w:r w:rsidR="007B7640" w:rsidRPr="00BB4E9F">
        <w:t xml:space="preserve"> </w:t>
      </w:r>
      <w:r w:rsidRPr="00BB4E9F">
        <w:t>elementary</w:t>
      </w:r>
      <w:r w:rsidR="007B7640" w:rsidRPr="00BB4E9F">
        <w:t xml:space="preserve"> </w:t>
      </w:r>
      <w:r w:rsidRPr="00BB4E9F">
        <w:t>schooling.</w:t>
      </w:r>
      <w:r w:rsidR="007B7640" w:rsidRPr="00BB4E9F">
        <w:t xml:space="preserve"> </w:t>
      </w:r>
      <w:r w:rsidRPr="00BB4E9F">
        <w:t>[…]</w:t>
      </w:r>
      <w:r w:rsidR="007B7640" w:rsidRPr="00BB4E9F">
        <w:t xml:space="preserve"> </w:t>
      </w:r>
    </w:p>
    <w:p w14:paraId="266EFCCA" w14:textId="77777777" w:rsidR="007F2EEE" w:rsidRPr="00BB4E9F" w:rsidRDefault="007F2EEE" w:rsidP="00BB4E9F">
      <w:pPr>
        <w:pStyle w:val="Quote"/>
      </w:pPr>
      <w:r w:rsidRPr="006F0AF2">
        <w:t>The</w:t>
      </w:r>
      <w:r w:rsidR="007B7640" w:rsidRPr="00C86D09">
        <w:t xml:space="preserve"> </w:t>
      </w:r>
      <w:r w:rsidRPr="00C86D09">
        <w:t>integrated</w:t>
      </w:r>
      <w:r w:rsidR="007B7640" w:rsidRPr="00C86D09">
        <w:t xml:space="preserve"> </w:t>
      </w:r>
      <w:r w:rsidRPr="00C86D09">
        <w:t>education</w:t>
      </w:r>
      <w:r w:rsidR="007B7640" w:rsidRPr="00C80EC8">
        <w:t xml:space="preserve"> </w:t>
      </w:r>
      <w:r w:rsidRPr="00BB4E9F">
        <w:t>of</w:t>
      </w:r>
      <w:r w:rsidR="007B7640" w:rsidRPr="00BB4E9F">
        <w:t xml:space="preserve"> </w:t>
      </w:r>
      <w:r w:rsidRPr="00BB4E9F">
        <w:t>pupils</w:t>
      </w:r>
      <w:r w:rsidR="007B7640" w:rsidRPr="00BB4E9F">
        <w:t xml:space="preserve"> </w:t>
      </w:r>
      <w:r w:rsidRPr="00BB4E9F">
        <w:t>with</w:t>
      </w:r>
      <w:r w:rsidR="007B7640" w:rsidRPr="00BB4E9F">
        <w:t xml:space="preserve"> </w:t>
      </w:r>
      <w:r w:rsidRPr="00BB4E9F">
        <w:t>special</w:t>
      </w:r>
      <w:r w:rsidR="007B7640" w:rsidRPr="00BB4E9F">
        <w:t xml:space="preserve"> </w:t>
      </w:r>
      <w:r w:rsidRPr="00BB4E9F">
        <w:t>educational</w:t>
      </w:r>
      <w:r w:rsidR="007B7640" w:rsidRPr="00BB4E9F">
        <w:t xml:space="preserve"> </w:t>
      </w:r>
      <w:r w:rsidRPr="00BB4E9F">
        <w:t>needs</w:t>
      </w:r>
      <w:r w:rsidR="007B7640" w:rsidRPr="00BB4E9F">
        <w:t xml:space="preserve"> </w:t>
      </w:r>
      <w:r w:rsidRPr="00BB4E9F">
        <w:t>has</w:t>
      </w:r>
      <w:r w:rsidR="007B7640" w:rsidRPr="00BB4E9F">
        <w:t xml:space="preserve"> </w:t>
      </w:r>
      <w:r w:rsidRPr="00BB4E9F">
        <w:t>been</w:t>
      </w:r>
      <w:r w:rsidR="007B7640" w:rsidRPr="00BB4E9F">
        <w:t xml:space="preserve"> </w:t>
      </w:r>
      <w:r w:rsidRPr="00BB4E9F">
        <w:t>one</w:t>
      </w:r>
      <w:r w:rsidR="007B7640" w:rsidRPr="00BB4E9F">
        <w:t xml:space="preserve"> </w:t>
      </w:r>
      <w:r w:rsidRPr="00BB4E9F">
        <w:t>of</w:t>
      </w:r>
      <w:r w:rsidR="007B7640" w:rsidRPr="00BB4E9F">
        <w:t xml:space="preserve"> </w:t>
      </w:r>
      <w:r w:rsidRPr="00BB4E9F">
        <w:t>the</w:t>
      </w:r>
      <w:r w:rsidR="007B7640" w:rsidRPr="00BB4E9F">
        <w:t xml:space="preserve"> </w:t>
      </w:r>
      <w:r w:rsidRPr="00BB4E9F">
        <w:t>main</w:t>
      </w:r>
      <w:r w:rsidR="007B7640" w:rsidRPr="00BB4E9F">
        <w:t xml:space="preserve"> </w:t>
      </w:r>
      <w:r w:rsidRPr="00BB4E9F">
        <w:t>objectives</w:t>
      </w:r>
      <w:r w:rsidR="007B7640" w:rsidRPr="00BB4E9F">
        <w:t xml:space="preserve"> </w:t>
      </w:r>
      <w:r w:rsidRPr="00BB4E9F">
        <w:t>of</w:t>
      </w:r>
      <w:r w:rsidR="007B7640" w:rsidRPr="00BB4E9F">
        <w:t xml:space="preserve"> </w:t>
      </w:r>
      <w:r w:rsidRPr="00BB4E9F">
        <w:t>Hungarian</w:t>
      </w:r>
      <w:r w:rsidR="007B7640" w:rsidRPr="00BB4E9F">
        <w:t xml:space="preserve"> </w:t>
      </w:r>
      <w:r w:rsidRPr="00BB4E9F">
        <w:t>educational</w:t>
      </w:r>
      <w:r w:rsidR="007B7640" w:rsidRPr="00BB4E9F">
        <w:t xml:space="preserve"> </w:t>
      </w:r>
      <w:r w:rsidRPr="00BB4E9F">
        <w:t>policy</w:t>
      </w:r>
      <w:r w:rsidR="007B7640" w:rsidRPr="00BB4E9F">
        <w:t xml:space="preserve"> </w:t>
      </w:r>
      <w:r w:rsidRPr="00BB4E9F">
        <w:t>since</w:t>
      </w:r>
      <w:r w:rsidR="007B7640" w:rsidRPr="00BB4E9F">
        <w:t xml:space="preserve"> </w:t>
      </w:r>
      <w:r w:rsidRPr="00BB4E9F">
        <w:t>2003.</w:t>
      </w:r>
      <w:r w:rsidR="007B7640" w:rsidRPr="00BB4E9F">
        <w:t xml:space="preserve"> </w:t>
      </w:r>
      <w:r w:rsidRPr="00BB4E9F">
        <w:t>Based</w:t>
      </w:r>
      <w:r w:rsidR="007B7640" w:rsidRPr="00BB4E9F">
        <w:t xml:space="preserve"> </w:t>
      </w:r>
      <w:r w:rsidRPr="00BB4E9F">
        <w:t>on</w:t>
      </w:r>
      <w:r w:rsidR="007B7640" w:rsidRPr="00BB4E9F">
        <w:t xml:space="preserve"> </w:t>
      </w:r>
      <w:r w:rsidRPr="00BB4E9F">
        <w:t>data</w:t>
      </w:r>
      <w:r w:rsidR="007B7640" w:rsidRPr="00BB4E9F">
        <w:t xml:space="preserve"> </w:t>
      </w:r>
      <w:r w:rsidRPr="00BB4E9F">
        <w:t>from</w:t>
      </w:r>
      <w:r w:rsidR="007B7640" w:rsidRPr="00BB4E9F">
        <w:t xml:space="preserve"> </w:t>
      </w:r>
      <w:r w:rsidRPr="00BB4E9F">
        <w:t>a</w:t>
      </w:r>
      <w:r w:rsidR="007B7640" w:rsidRPr="00BB4E9F">
        <w:t xml:space="preserve"> </w:t>
      </w:r>
      <w:r w:rsidRPr="00BB4E9F">
        <w:t>2005</w:t>
      </w:r>
      <w:r w:rsidR="007B7640" w:rsidRPr="00BB4E9F">
        <w:t xml:space="preserve"> </w:t>
      </w:r>
      <w:r w:rsidRPr="00BB4E9F">
        <w:t>survey</w:t>
      </w:r>
      <w:r w:rsidR="007B7640" w:rsidRPr="00BB4E9F">
        <w:t xml:space="preserve"> </w:t>
      </w:r>
      <w:r w:rsidRPr="00BB4E9F">
        <w:t>the</w:t>
      </w:r>
      <w:r w:rsidR="007B7640" w:rsidRPr="00BB4E9F">
        <w:t xml:space="preserve"> </w:t>
      </w:r>
      <w:r w:rsidRPr="00BB4E9F">
        <w:t>OECD</w:t>
      </w:r>
      <w:r w:rsidR="007B7640" w:rsidRPr="00BB4E9F">
        <w:t xml:space="preserve"> </w:t>
      </w:r>
      <w:r w:rsidRPr="00BB4E9F">
        <w:t>drew</w:t>
      </w:r>
      <w:r w:rsidR="007B7640" w:rsidRPr="00BB4E9F">
        <w:t xml:space="preserve"> </w:t>
      </w:r>
      <w:r w:rsidRPr="00BB4E9F">
        <w:t>attention</w:t>
      </w:r>
      <w:r w:rsidR="007B7640" w:rsidRPr="00BB4E9F">
        <w:t xml:space="preserve"> </w:t>
      </w:r>
      <w:r w:rsidRPr="00BB4E9F">
        <w:t>to</w:t>
      </w:r>
      <w:r w:rsidR="007B7640" w:rsidRPr="00BB4E9F">
        <w:t xml:space="preserve"> </w:t>
      </w:r>
      <w:r w:rsidRPr="00BB4E9F">
        <w:t>the</w:t>
      </w:r>
      <w:r w:rsidR="007B7640" w:rsidRPr="00BB4E9F">
        <w:t xml:space="preserve"> </w:t>
      </w:r>
      <w:r w:rsidRPr="00BB4E9F">
        <w:t>educational</w:t>
      </w:r>
      <w:r w:rsidR="007B7640" w:rsidRPr="00BB4E9F">
        <w:t xml:space="preserve"> </w:t>
      </w:r>
      <w:r w:rsidRPr="00BB4E9F">
        <w:t>segregation</w:t>
      </w:r>
      <w:r w:rsidR="007B7640" w:rsidRPr="00BB4E9F">
        <w:t xml:space="preserve"> </w:t>
      </w:r>
      <w:r w:rsidRPr="00BB4E9F">
        <w:t>of</w:t>
      </w:r>
      <w:r w:rsidR="007B7640" w:rsidRPr="00BB4E9F">
        <w:t xml:space="preserve"> </w:t>
      </w:r>
      <w:r w:rsidRPr="00BB4E9F">
        <w:t>children</w:t>
      </w:r>
      <w:r w:rsidR="007B7640" w:rsidRPr="00BB4E9F">
        <w:t xml:space="preserve"> </w:t>
      </w:r>
      <w:r w:rsidRPr="00BB4E9F">
        <w:t>with</w:t>
      </w:r>
      <w:r w:rsidR="007B7640" w:rsidRPr="00BB4E9F">
        <w:t xml:space="preserve"> </w:t>
      </w:r>
      <w:r w:rsidRPr="00BB4E9F">
        <w:t>slight</w:t>
      </w:r>
      <w:r w:rsidR="007B7640" w:rsidRPr="00BB4E9F">
        <w:t xml:space="preserve"> </w:t>
      </w:r>
      <w:r w:rsidRPr="00BB4E9F">
        <w:t>mental</w:t>
      </w:r>
      <w:r w:rsidR="007B7640" w:rsidRPr="00BB4E9F">
        <w:t xml:space="preserve"> </w:t>
      </w:r>
      <w:r w:rsidRPr="00BB4E9F">
        <w:t>disabilities</w:t>
      </w:r>
      <w:r w:rsidR="007B7640" w:rsidRPr="00BB4E9F">
        <w:t xml:space="preserve"> </w:t>
      </w:r>
      <w:r w:rsidRPr="00BB4E9F">
        <w:t>and</w:t>
      </w:r>
      <w:r w:rsidR="007B7640" w:rsidRPr="00BB4E9F">
        <w:t xml:space="preserve"> </w:t>
      </w:r>
      <w:r w:rsidRPr="00BB4E9F">
        <w:t>suggested</w:t>
      </w:r>
      <w:r w:rsidR="007B7640" w:rsidRPr="00BB4E9F">
        <w:t xml:space="preserve"> </w:t>
      </w:r>
      <w:r w:rsidRPr="00BB4E9F">
        <w:t>that,</w:t>
      </w:r>
      <w:r w:rsidR="007B7640" w:rsidRPr="00BB4E9F">
        <w:t xml:space="preserve"> </w:t>
      </w:r>
      <w:r w:rsidRPr="00BB4E9F">
        <w:t>with</w:t>
      </w:r>
      <w:r w:rsidR="007B7640" w:rsidRPr="00BB4E9F">
        <w:t xml:space="preserve"> </w:t>
      </w:r>
      <w:r w:rsidRPr="00BB4E9F">
        <w:t>the</w:t>
      </w:r>
      <w:r w:rsidR="007B7640" w:rsidRPr="00BB4E9F">
        <w:t xml:space="preserve"> </w:t>
      </w:r>
      <w:r w:rsidRPr="00BB4E9F">
        <w:t>exception</w:t>
      </w:r>
      <w:r w:rsidR="007B7640" w:rsidRPr="00BB4E9F">
        <w:t xml:space="preserve"> </w:t>
      </w:r>
      <w:r w:rsidRPr="00BB4E9F">
        <w:t>of</w:t>
      </w:r>
      <w:r w:rsidR="007B7640" w:rsidRPr="00BB4E9F">
        <w:t xml:space="preserve"> </w:t>
      </w:r>
      <w:r w:rsidRPr="00BB4E9F">
        <w:t>children</w:t>
      </w:r>
      <w:r w:rsidR="007B7640" w:rsidRPr="00BB4E9F">
        <w:t xml:space="preserve"> </w:t>
      </w:r>
      <w:r w:rsidRPr="00BB4E9F">
        <w:t>with</w:t>
      </w:r>
      <w:r w:rsidR="007B7640" w:rsidRPr="00BB4E9F">
        <w:t xml:space="preserve"> </w:t>
      </w:r>
      <w:r w:rsidRPr="00BB4E9F">
        <w:t>severe</w:t>
      </w:r>
      <w:r w:rsidR="007B7640" w:rsidRPr="00BB4E9F">
        <w:t xml:space="preserve"> </w:t>
      </w:r>
      <w:r w:rsidRPr="00BB4E9F">
        <w:t>mental</w:t>
      </w:r>
      <w:r w:rsidR="007B7640" w:rsidRPr="00BB4E9F">
        <w:t xml:space="preserve"> </w:t>
      </w:r>
      <w:r w:rsidRPr="00BB4E9F">
        <w:t>or</w:t>
      </w:r>
      <w:r w:rsidR="007B7640" w:rsidRPr="00BB4E9F">
        <w:t xml:space="preserve"> </w:t>
      </w:r>
      <w:r w:rsidRPr="00BB4E9F">
        <w:t>physical</w:t>
      </w:r>
      <w:r w:rsidR="007B7640" w:rsidRPr="00BB4E9F">
        <w:t xml:space="preserve"> </w:t>
      </w:r>
      <w:r w:rsidRPr="00BB4E9F">
        <w:t>disabilities,</w:t>
      </w:r>
      <w:r w:rsidR="007B7640" w:rsidRPr="00BB4E9F">
        <w:t xml:space="preserve"> </w:t>
      </w:r>
      <w:r w:rsidRPr="00BB4E9F">
        <w:t>pupils</w:t>
      </w:r>
      <w:r w:rsidR="007B7640" w:rsidRPr="00BB4E9F">
        <w:t xml:space="preserve"> </w:t>
      </w:r>
      <w:r w:rsidRPr="00BB4E9F">
        <w:t>who</w:t>
      </w:r>
      <w:r w:rsidR="007B7640" w:rsidRPr="00BB4E9F">
        <w:t xml:space="preserve"> </w:t>
      </w:r>
      <w:r w:rsidRPr="00BB4E9F">
        <w:t>are</w:t>
      </w:r>
      <w:r w:rsidR="007B7640" w:rsidRPr="00BB4E9F">
        <w:t xml:space="preserve"> </w:t>
      </w:r>
      <w:r w:rsidRPr="00BB4E9F">
        <w:t>slower</w:t>
      </w:r>
      <w:r w:rsidR="007B7640" w:rsidRPr="00BB4E9F">
        <w:t xml:space="preserve"> </w:t>
      </w:r>
      <w:r w:rsidRPr="00BB4E9F">
        <w:t>in</w:t>
      </w:r>
      <w:r w:rsidR="007B7640" w:rsidRPr="00BB4E9F">
        <w:t xml:space="preserve"> </w:t>
      </w:r>
      <w:r w:rsidRPr="00BB4E9F">
        <w:t>learning</w:t>
      </w:r>
      <w:r w:rsidR="007B7640" w:rsidRPr="00BB4E9F">
        <w:t xml:space="preserve"> </w:t>
      </w:r>
      <w:r w:rsidRPr="00BB4E9F">
        <w:t>should</w:t>
      </w:r>
      <w:r w:rsidR="007B7640" w:rsidRPr="00BB4E9F">
        <w:t xml:space="preserve"> </w:t>
      </w:r>
      <w:r w:rsidRPr="00BB4E9F">
        <w:t>be</w:t>
      </w:r>
      <w:r w:rsidR="007B7640" w:rsidRPr="00BB4E9F">
        <w:t xml:space="preserve"> </w:t>
      </w:r>
      <w:r w:rsidRPr="00BB4E9F">
        <w:t>educated</w:t>
      </w:r>
      <w:r w:rsidR="007B7640" w:rsidRPr="00BB4E9F">
        <w:t xml:space="preserve"> </w:t>
      </w:r>
      <w:r w:rsidRPr="00BB4E9F">
        <w:t>in</w:t>
      </w:r>
      <w:r w:rsidR="007B7640" w:rsidRPr="00BB4E9F">
        <w:t xml:space="preserve"> </w:t>
      </w:r>
      <w:r w:rsidRPr="00BB4E9F">
        <w:t>ordinary</w:t>
      </w:r>
      <w:r w:rsidR="007B7640" w:rsidRPr="00BB4E9F">
        <w:t xml:space="preserve"> </w:t>
      </w:r>
      <w:r w:rsidRPr="00BB4E9F">
        <w:t>schools</w:t>
      </w:r>
      <w:r w:rsidR="007B7640" w:rsidRPr="00BB4E9F">
        <w:t xml:space="preserve"> </w:t>
      </w:r>
      <w:r w:rsidRPr="00BB4E9F">
        <w:t>(Equity</w:t>
      </w:r>
      <w:r w:rsidR="007B7640" w:rsidRPr="00BB4E9F">
        <w:t xml:space="preserve"> </w:t>
      </w:r>
      <w:r w:rsidRPr="00BB4E9F">
        <w:t>in</w:t>
      </w:r>
      <w:r w:rsidR="007B7640" w:rsidRPr="00BB4E9F">
        <w:t xml:space="preserve"> </w:t>
      </w:r>
      <w:r w:rsidRPr="00BB4E9F">
        <w:t>Education,</w:t>
      </w:r>
      <w:r w:rsidR="007B7640" w:rsidRPr="00BB4E9F">
        <w:t xml:space="preserve"> </w:t>
      </w:r>
      <w:r w:rsidRPr="00BB4E9F">
        <w:t>2005).</w:t>
      </w:r>
      <w:r w:rsidR="007B7640" w:rsidRPr="00BB4E9F">
        <w:t xml:space="preserve"> </w:t>
      </w:r>
    </w:p>
    <w:p w14:paraId="0AE48935" w14:textId="77777777" w:rsidR="007F2EEE" w:rsidRPr="00BB4E9F" w:rsidRDefault="007F2EEE" w:rsidP="00BB4E9F">
      <w:pPr>
        <w:pStyle w:val="Quote"/>
      </w:pPr>
    </w:p>
    <w:p w14:paraId="7C707617" w14:textId="77777777" w:rsidR="007F2EEE" w:rsidRPr="00BB4E9F" w:rsidRDefault="007F2EEE" w:rsidP="00BB4E9F">
      <w:pPr>
        <w:pStyle w:val="Quote"/>
      </w:pPr>
      <w:r w:rsidRPr="00BB4E9F">
        <w:t>However,</w:t>
      </w:r>
      <w:r w:rsidR="007B7640" w:rsidRPr="00BB4E9F">
        <w:t xml:space="preserve"> </w:t>
      </w:r>
      <w:r w:rsidRPr="00BB4E9F">
        <w:t>the</w:t>
      </w:r>
      <w:r w:rsidR="007B7640" w:rsidRPr="00BB4E9F">
        <w:t xml:space="preserve"> </w:t>
      </w:r>
      <w:r w:rsidRPr="00BB4E9F">
        <w:t>personal</w:t>
      </w:r>
      <w:r w:rsidR="007B7640" w:rsidRPr="00BB4E9F">
        <w:t xml:space="preserve"> </w:t>
      </w:r>
      <w:r w:rsidRPr="00BB4E9F">
        <w:t>and</w:t>
      </w:r>
      <w:r w:rsidR="007B7640" w:rsidRPr="00BB4E9F">
        <w:t xml:space="preserve"> </w:t>
      </w:r>
      <w:r w:rsidRPr="00BB4E9F">
        <w:t>material</w:t>
      </w:r>
      <w:r w:rsidR="007B7640" w:rsidRPr="00BB4E9F">
        <w:t xml:space="preserve"> </w:t>
      </w:r>
      <w:r w:rsidRPr="00BB4E9F">
        <w:t>conditions</w:t>
      </w:r>
      <w:r w:rsidR="007B7640" w:rsidRPr="00BB4E9F">
        <w:t xml:space="preserve"> </w:t>
      </w:r>
      <w:r w:rsidRPr="00BB4E9F">
        <w:t>of</w:t>
      </w:r>
      <w:r w:rsidR="007B7640" w:rsidRPr="00BB4E9F">
        <w:t xml:space="preserve"> </w:t>
      </w:r>
      <w:r w:rsidRPr="00BB4E9F">
        <w:t xml:space="preserve">integrated education are missing from the Hungarian school system. The situation is aggravated by the fact that most parents and teachers have an aversion to the integrated education of pupils with special educational needs. </w:t>
      </w:r>
    </w:p>
    <w:p w14:paraId="016F4745" w14:textId="77777777" w:rsidR="007F2EEE" w:rsidRPr="00BB4E9F" w:rsidRDefault="007F2EEE" w:rsidP="00BB4E9F">
      <w:pPr>
        <w:pStyle w:val="Quote"/>
      </w:pPr>
    </w:p>
    <w:p w14:paraId="250DDFBC" w14:textId="77777777" w:rsidR="007F2EEE" w:rsidRPr="00BB4E9F" w:rsidRDefault="007F2EEE" w:rsidP="00BB4E9F">
      <w:pPr>
        <w:pStyle w:val="Quote"/>
      </w:pPr>
      <w:r w:rsidRPr="00BB4E9F">
        <w:t>A survey by the National Institute for Education showed that integration usually takes place only in elementary schools and upon the initiative of the parents of such children.”</w:t>
      </w:r>
    </w:p>
    <w:p w14:paraId="204CF595" w14:textId="77777777" w:rsidR="007F2EEE" w:rsidRPr="00CD59CC" w:rsidRDefault="007F2EEE" w:rsidP="00CD59CC">
      <w:pPr>
        <w:rPr>
          <w:rFonts w:ascii="Arial" w:hAnsi="Arial" w:cs="Arial"/>
        </w:rPr>
      </w:pPr>
    </w:p>
    <w:p w14:paraId="437622A4" w14:textId="5A0375F2" w:rsidR="009D32A0" w:rsidRPr="00CD59CC" w:rsidRDefault="007F2EEE" w:rsidP="00CD59CC">
      <w:pPr>
        <w:rPr>
          <w:rFonts w:ascii="Arial" w:hAnsi="Arial" w:cs="Arial"/>
        </w:rPr>
      </w:pPr>
      <w:r w:rsidRPr="00CD59CC">
        <w:rPr>
          <w:rFonts w:ascii="Arial" w:hAnsi="Arial" w:cs="Arial"/>
        </w:rPr>
        <w:t>The new law regulating the procedure of the expert panels (Decree 4/2010 of the Ministry of Education and Culture on Pedagogical Services</w:t>
      </w:r>
      <w:r w:rsidR="00556D87" w:rsidRPr="00CD59CC">
        <w:rPr>
          <w:rFonts w:ascii="Arial" w:hAnsi="Arial" w:cs="Arial"/>
        </w:rPr>
        <w:t>)</w:t>
      </w:r>
      <w:r w:rsidRPr="00CD59CC">
        <w:rPr>
          <w:rFonts w:ascii="Arial" w:hAnsi="Arial" w:cs="Arial"/>
        </w:rPr>
        <w:t xml:space="preserve"> </w:t>
      </w:r>
      <w:r w:rsidR="00F92AFB" w:rsidRPr="00CD59CC">
        <w:rPr>
          <w:rFonts w:ascii="Arial" w:hAnsi="Arial" w:cs="Arial"/>
        </w:rPr>
        <w:t xml:space="preserve">came into effect in August 2010, but was replaced </w:t>
      </w:r>
      <w:r w:rsidR="009D32A0" w:rsidRPr="00CD59CC">
        <w:rPr>
          <w:rFonts w:ascii="Arial" w:hAnsi="Arial" w:cs="Arial"/>
        </w:rPr>
        <w:t>as of March 2013 by Decree 15/2013 of the Ministry of Human Resources on the Operation of the Organisations of the Pedagogical Service Network.</w:t>
      </w:r>
    </w:p>
    <w:p w14:paraId="261BD70B" w14:textId="77777777" w:rsidR="009D32A0" w:rsidRPr="00CD59CC" w:rsidRDefault="009D32A0" w:rsidP="00CD59CC">
      <w:pPr>
        <w:rPr>
          <w:rFonts w:ascii="Arial" w:hAnsi="Arial" w:cs="Arial"/>
        </w:rPr>
      </w:pPr>
      <w:r w:rsidRPr="00CD59CC">
        <w:rPr>
          <w:rFonts w:ascii="Arial" w:hAnsi="Arial" w:cs="Arial"/>
        </w:rPr>
        <w:t xml:space="preserve"> </w:t>
      </w:r>
    </w:p>
    <w:p w14:paraId="15157A8B" w14:textId="77777777" w:rsidR="007C5E95" w:rsidRPr="00CD59CC" w:rsidRDefault="009D32A0" w:rsidP="00CD59CC">
      <w:pPr>
        <w:rPr>
          <w:rFonts w:ascii="Arial" w:hAnsi="Arial" w:cs="Arial"/>
        </w:rPr>
      </w:pPr>
      <w:r w:rsidRPr="00CD59CC">
        <w:rPr>
          <w:rFonts w:ascii="Arial" w:hAnsi="Arial" w:cs="Arial"/>
        </w:rPr>
        <w:t>I</w:t>
      </w:r>
      <w:r w:rsidR="007F2EEE" w:rsidRPr="00CD59CC">
        <w:rPr>
          <w:rFonts w:ascii="Arial" w:hAnsi="Arial" w:cs="Arial"/>
        </w:rPr>
        <w:t xml:space="preserve">n the absence of comprehensive studies into the impact of </w:t>
      </w:r>
      <w:r w:rsidR="00E2550B" w:rsidRPr="00CD59CC">
        <w:rPr>
          <w:rFonts w:ascii="Arial" w:hAnsi="Arial" w:cs="Arial"/>
        </w:rPr>
        <w:t xml:space="preserve">the </w:t>
      </w:r>
      <w:r w:rsidRPr="00CD59CC">
        <w:rPr>
          <w:rFonts w:ascii="Arial" w:hAnsi="Arial" w:cs="Arial"/>
        </w:rPr>
        <w:t>new developments</w:t>
      </w:r>
      <w:r w:rsidR="007F2EEE" w:rsidRPr="00CD59CC">
        <w:rPr>
          <w:rFonts w:ascii="Arial" w:hAnsi="Arial" w:cs="Arial"/>
        </w:rPr>
        <w:t xml:space="preserve">, it is </w:t>
      </w:r>
      <w:r w:rsidR="00E2550B" w:rsidRPr="00CD59CC">
        <w:rPr>
          <w:rFonts w:ascii="Arial" w:hAnsi="Arial" w:cs="Arial"/>
        </w:rPr>
        <w:t xml:space="preserve">not possible to </w:t>
      </w:r>
      <w:r w:rsidR="007C5E95" w:rsidRPr="00CD59CC">
        <w:rPr>
          <w:rFonts w:ascii="Arial" w:hAnsi="Arial" w:cs="Arial"/>
        </w:rPr>
        <w:t xml:space="preserve">fully </w:t>
      </w:r>
      <w:r w:rsidR="00E2550B" w:rsidRPr="00CD59CC">
        <w:rPr>
          <w:rFonts w:ascii="Arial" w:hAnsi="Arial" w:cs="Arial"/>
        </w:rPr>
        <w:t xml:space="preserve">assess yet whether the situation has </w:t>
      </w:r>
      <w:r w:rsidR="007C5E95" w:rsidRPr="00CD59CC">
        <w:rPr>
          <w:rFonts w:ascii="Arial" w:hAnsi="Arial" w:cs="Arial"/>
        </w:rPr>
        <w:t xml:space="preserve">significantly </w:t>
      </w:r>
      <w:r w:rsidR="00E2550B" w:rsidRPr="00CD59CC">
        <w:rPr>
          <w:rFonts w:ascii="Arial" w:hAnsi="Arial" w:cs="Arial"/>
        </w:rPr>
        <w:t>improved in the past years</w:t>
      </w:r>
      <w:r w:rsidR="007C5E95" w:rsidRPr="00CD59CC">
        <w:rPr>
          <w:rFonts w:ascii="Arial" w:hAnsi="Arial" w:cs="Arial"/>
        </w:rPr>
        <w:t xml:space="preserve">, however, </w:t>
      </w:r>
      <w:r w:rsidR="0024238C" w:rsidRPr="00CD59CC">
        <w:rPr>
          <w:rFonts w:ascii="Arial" w:hAnsi="Arial" w:cs="Arial"/>
        </w:rPr>
        <w:t>statistics seem to show that the number of children with special educational needs educated in integrated institutions is somewhat rising, while the number of children in non-integrated institutions is decreasing or stagnating (with the exception of kindergarten education).</w:t>
      </w:r>
      <w:r w:rsidR="0024238C" w:rsidRPr="00CD59CC">
        <w:rPr>
          <w:rStyle w:val="FootnoteReference"/>
          <w:rFonts w:ascii="Arial" w:hAnsi="Arial" w:cs="Arial"/>
        </w:rPr>
        <w:footnoteReference w:id="69"/>
      </w:r>
    </w:p>
    <w:p w14:paraId="740AED27" w14:textId="77777777" w:rsidR="0024238C" w:rsidRPr="00CD59CC" w:rsidRDefault="0024238C" w:rsidP="00CD59C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1827"/>
        <w:gridCol w:w="1820"/>
        <w:gridCol w:w="1814"/>
        <w:gridCol w:w="1813"/>
      </w:tblGrid>
      <w:tr w:rsidR="0024238C" w:rsidRPr="00CD59CC" w14:paraId="1E5B77D8" w14:textId="77777777" w:rsidTr="00E34CF1">
        <w:tc>
          <w:tcPr>
            <w:tcW w:w="1842" w:type="dxa"/>
          </w:tcPr>
          <w:p w14:paraId="6238D605" w14:textId="77777777" w:rsidR="0024238C" w:rsidRPr="00CD59CC" w:rsidRDefault="0024238C" w:rsidP="00CD59CC">
            <w:pPr>
              <w:rPr>
                <w:rFonts w:ascii="Arial" w:hAnsi="Arial" w:cs="Arial"/>
                <w:b/>
              </w:rPr>
            </w:pPr>
            <w:r w:rsidRPr="00CD59CC">
              <w:rPr>
                <w:rFonts w:ascii="Arial" w:hAnsi="Arial" w:cs="Arial"/>
                <w:b/>
              </w:rPr>
              <w:t>Year</w:t>
            </w:r>
          </w:p>
        </w:tc>
        <w:tc>
          <w:tcPr>
            <w:tcW w:w="1842" w:type="dxa"/>
          </w:tcPr>
          <w:p w14:paraId="39776A8A" w14:textId="77777777" w:rsidR="0024238C" w:rsidRPr="00CD59CC" w:rsidRDefault="0024238C" w:rsidP="00CD59CC">
            <w:pPr>
              <w:rPr>
                <w:rFonts w:ascii="Arial" w:hAnsi="Arial" w:cs="Arial"/>
              </w:rPr>
            </w:pPr>
            <w:r w:rsidRPr="00CD59CC">
              <w:rPr>
                <w:rFonts w:ascii="Arial" w:hAnsi="Arial" w:cs="Arial"/>
              </w:rPr>
              <w:t>Number of SEN children in integrated kindergarten groups</w:t>
            </w:r>
          </w:p>
        </w:tc>
        <w:tc>
          <w:tcPr>
            <w:tcW w:w="1842" w:type="dxa"/>
          </w:tcPr>
          <w:p w14:paraId="353EF91D" w14:textId="77777777" w:rsidR="0024238C" w:rsidRPr="00CD59CC" w:rsidRDefault="0024238C" w:rsidP="00CD59CC">
            <w:pPr>
              <w:rPr>
                <w:rFonts w:ascii="Arial" w:hAnsi="Arial" w:cs="Arial"/>
              </w:rPr>
            </w:pPr>
            <w:r w:rsidRPr="00CD59CC">
              <w:rPr>
                <w:rFonts w:ascii="Arial" w:hAnsi="Arial" w:cs="Arial"/>
              </w:rPr>
              <w:t>Number of SEN children in integrated elementary school classes</w:t>
            </w:r>
          </w:p>
        </w:tc>
        <w:tc>
          <w:tcPr>
            <w:tcW w:w="1842" w:type="dxa"/>
          </w:tcPr>
          <w:p w14:paraId="4BE7A43A" w14:textId="77777777" w:rsidR="0024238C" w:rsidRPr="00CD59CC" w:rsidRDefault="0024238C" w:rsidP="00CD59CC">
            <w:pPr>
              <w:rPr>
                <w:rFonts w:ascii="Arial" w:hAnsi="Arial" w:cs="Arial"/>
              </w:rPr>
            </w:pPr>
            <w:r w:rsidRPr="00CD59CC">
              <w:rPr>
                <w:rFonts w:ascii="Arial" w:hAnsi="Arial" w:cs="Arial"/>
              </w:rPr>
              <w:t>Number of SEN children in integrated vocational school classes</w:t>
            </w:r>
          </w:p>
        </w:tc>
        <w:tc>
          <w:tcPr>
            <w:tcW w:w="1842" w:type="dxa"/>
          </w:tcPr>
          <w:p w14:paraId="109424FB" w14:textId="77777777" w:rsidR="0024238C" w:rsidRPr="00CD59CC" w:rsidRDefault="0024238C" w:rsidP="00CD59CC">
            <w:pPr>
              <w:rPr>
                <w:rFonts w:ascii="Arial" w:hAnsi="Arial" w:cs="Arial"/>
              </w:rPr>
            </w:pPr>
            <w:r w:rsidRPr="00CD59CC">
              <w:rPr>
                <w:rFonts w:ascii="Arial" w:hAnsi="Arial" w:cs="Arial"/>
              </w:rPr>
              <w:t>Number of SEN children in integrated highs school classes</w:t>
            </w:r>
          </w:p>
        </w:tc>
      </w:tr>
      <w:tr w:rsidR="0024238C" w:rsidRPr="00CD59CC" w14:paraId="7116544A" w14:textId="77777777" w:rsidTr="00E34CF1">
        <w:tc>
          <w:tcPr>
            <w:tcW w:w="1842" w:type="dxa"/>
          </w:tcPr>
          <w:p w14:paraId="361157F6" w14:textId="77777777" w:rsidR="0024238C" w:rsidRPr="00CD59CC" w:rsidRDefault="0024238C" w:rsidP="00CD59CC">
            <w:pPr>
              <w:rPr>
                <w:rFonts w:ascii="Arial" w:hAnsi="Arial" w:cs="Arial"/>
                <w:b/>
              </w:rPr>
            </w:pPr>
            <w:r w:rsidRPr="00CD59CC">
              <w:rPr>
                <w:rFonts w:ascii="Arial" w:hAnsi="Arial" w:cs="Arial"/>
                <w:b/>
              </w:rPr>
              <w:t>2011</w:t>
            </w:r>
          </w:p>
        </w:tc>
        <w:tc>
          <w:tcPr>
            <w:tcW w:w="1842" w:type="dxa"/>
          </w:tcPr>
          <w:p w14:paraId="52683E93" w14:textId="77777777" w:rsidR="0024238C" w:rsidRPr="00CD59CC" w:rsidRDefault="0024238C" w:rsidP="00CD59CC">
            <w:pPr>
              <w:rPr>
                <w:rFonts w:ascii="Arial" w:hAnsi="Arial" w:cs="Arial"/>
              </w:rPr>
            </w:pPr>
            <w:r w:rsidRPr="00CD59CC">
              <w:rPr>
                <w:rFonts w:ascii="Arial" w:hAnsi="Arial" w:cs="Arial"/>
              </w:rPr>
              <w:t>4,264</w:t>
            </w:r>
          </w:p>
        </w:tc>
        <w:tc>
          <w:tcPr>
            <w:tcW w:w="1842" w:type="dxa"/>
          </w:tcPr>
          <w:p w14:paraId="04356ED0" w14:textId="77777777" w:rsidR="0024238C" w:rsidRPr="00CD59CC" w:rsidRDefault="0024238C" w:rsidP="00CD59CC">
            <w:pPr>
              <w:rPr>
                <w:rFonts w:ascii="Arial" w:hAnsi="Arial" w:cs="Arial"/>
              </w:rPr>
            </w:pPr>
            <w:r w:rsidRPr="00CD59CC">
              <w:rPr>
                <w:rFonts w:ascii="Arial" w:hAnsi="Arial" w:cs="Arial"/>
              </w:rPr>
              <w:t>32,573</w:t>
            </w:r>
          </w:p>
        </w:tc>
        <w:tc>
          <w:tcPr>
            <w:tcW w:w="1842" w:type="dxa"/>
          </w:tcPr>
          <w:p w14:paraId="10E8DA23" w14:textId="77777777" w:rsidR="0024238C" w:rsidRPr="00CD59CC" w:rsidRDefault="0024238C" w:rsidP="00CD59CC">
            <w:pPr>
              <w:rPr>
                <w:rFonts w:ascii="Arial" w:hAnsi="Arial" w:cs="Arial"/>
              </w:rPr>
            </w:pPr>
            <w:r w:rsidRPr="00CD59CC">
              <w:rPr>
                <w:rFonts w:ascii="Arial" w:hAnsi="Arial" w:cs="Arial"/>
              </w:rPr>
              <w:t>6,265</w:t>
            </w:r>
          </w:p>
        </w:tc>
        <w:tc>
          <w:tcPr>
            <w:tcW w:w="1842" w:type="dxa"/>
          </w:tcPr>
          <w:p w14:paraId="50052983" w14:textId="77777777" w:rsidR="0024238C" w:rsidRPr="00CD59CC" w:rsidRDefault="0024238C" w:rsidP="00CD59CC">
            <w:pPr>
              <w:rPr>
                <w:rFonts w:ascii="Arial" w:hAnsi="Arial" w:cs="Arial"/>
              </w:rPr>
            </w:pPr>
            <w:r w:rsidRPr="00CD59CC">
              <w:rPr>
                <w:rFonts w:ascii="Arial" w:hAnsi="Arial" w:cs="Arial"/>
              </w:rPr>
              <w:t>1,831</w:t>
            </w:r>
          </w:p>
        </w:tc>
      </w:tr>
      <w:tr w:rsidR="0024238C" w:rsidRPr="00CD59CC" w14:paraId="19BBED21" w14:textId="77777777" w:rsidTr="00E34CF1">
        <w:tc>
          <w:tcPr>
            <w:tcW w:w="1842" w:type="dxa"/>
          </w:tcPr>
          <w:p w14:paraId="00AC8296" w14:textId="77777777" w:rsidR="0024238C" w:rsidRPr="00CD59CC" w:rsidRDefault="0024238C" w:rsidP="00CD59CC">
            <w:pPr>
              <w:rPr>
                <w:rFonts w:ascii="Arial" w:hAnsi="Arial" w:cs="Arial"/>
                <w:b/>
              </w:rPr>
            </w:pPr>
            <w:r w:rsidRPr="00CD59CC">
              <w:rPr>
                <w:rFonts w:ascii="Arial" w:hAnsi="Arial" w:cs="Arial"/>
                <w:b/>
              </w:rPr>
              <w:t>2012</w:t>
            </w:r>
          </w:p>
        </w:tc>
        <w:tc>
          <w:tcPr>
            <w:tcW w:w="1842" w:type="dxa"/>
          </w:tcPr>
          <w:p w14:paraId="751A76F3" w14:textId="77777777" w:rsidR="0024238C" w:rsidRPr="00CD59CC" w:rsidRDefault="0024238C" w:rsidP="00CD59CC">
            <w:pPr>
              <w:rPr>
                <w:rFonts w:ascii="Arial" w:hAnsi="Arial" w:cs="Arial"/>
              </w:rPr>
            </w:pPr>
            <w:r w:rsidRPr="00CD59CC">
              <w:rPr>
                <w:rFonts w:ascii="Arial" w:hAnsi="Arial" w:cs="Arial"/>
              </w:rPr>
              <w:t>4,868</w:t>
            </w:r>
          </w:p>
        </w:tc>
        <w:tc>
          <w:tcPr>
            <w:tcW w:w="1842" w:type="dxa"/>
          </w:tcPr>
          <w:p w14:paraId="13524CE8" w14:textId="77777777" w:rsidR="0024238C" w:rsidRPr="00CD59CC" w:rsidRDefault="0024238C" w:rsidP="00CD59CC">
            <w:pPr>
              <w:rPr>
                <w:rFonts w:ascii="Arial" w:hAnsi="Arial" w:cs="Arial"/>
              </w:rPr>
            </w:pPr>
            <w:r w:rsidRPr="00CD59CC">
              <w:rPr>
                <w:rFonts w:ascii="Arial" w:hAnsi="Arial" w:cs="Arial"/>
              </w:rPr>
              <w:t>33,298</w:t>
            </w:r>
          </w:p>
        </w:tc>
        <w:tc>
          <w:tcPr>
            <w:tcW w:w="1842" w:type="dxa"/>
          </w:tcPr>
          <w:p w14:paraId="575D0C43" w14:textId="77777777" w:rsidR="0024238C" w:rsidRPr="00CD59CC" w:rsidRDefault="0024238C" w:rsidP="00CD59CC">
            <w:pPr>
              <w:rPr>
                <w:rFonts w:ascii="Arial" w:hAnsi="Arial" w:cs="Arial"/>
              </w:rPr>
            </w:pPr>
            <w:r w:rsidRPr="00CD59CC">
              <w:rPr>
                <w:rFonts w:ascii="Arial" w:hAnsi="Arial" w:cs="Arial"/>
              </w:rPr>
              <w:t>7,060</w:t>
            </w:r>
          </w:p>
        </w:tc>
        <w:tc>
          <w:tcPr>
            <w:tcW w:w="1842" w:type="dxa"/>
          </w:tcPr>
          <w:p w14:paraId="27AC5815" w14:textId="77777777" w:rsidR="0024238C" w:rsidRPr="00CD59CC" w:rsidRDefault="0024238C" w:rsidP="00CD59CC">
            <w:pPr>
              <w:rPr>
                <w:rFonts w:ascii="Arial" w:hAnsi="Arial" w:cs="Arial"/>
              </w:rPr>
            </w:pPr>
            <w:r w:rsidRPr="00CD59CC">
              <w:rPr>
                <w:rFonts w:ascii="Arial" w:hAnsi="Arial" w:cs="Arial"/>
              </w:rPr>
              <w:t>1,880</w:t>
            </w:r>
          </w:p>
        </w:tc>
      </w:tr>
      <w:tr w:rsidR="0024238C" w:rsidRPr="00CD59CC" w14:paraId="40682927" w14:textId="77777777" w:rsidTr="00E34CF1">
        <w:tc>
          <w:tcPr>
            <w:tcW w:w="1842" w:type="dxa"/>
          </w:tcPr>
          <w:p w14:paraId="5984DA1C" w14:textId="77777777" w:rsidR="0024238C" w:rsidRPr="00CD59CC" w:rsidRDefault="0024238C" w:rsidP="00CD59CC">
            <w:pPr>
              <w:rPr>
                <w:rFonts w:ascii="Arial" w:hAnsi="Arial" w:cs="Arial"/>
                <w:b/>
              </w:rPr>
            </w:pPr>
            <w:r w:rsidRPr="00CD59CC">
              <w:rPr>
                <w:rFonts w:ascii="Arial" w:hAnsi="Arial" w:cs="Arial"/>
                <w:b/>
              </w:rPr>
              <w:t>2013</w:t>
            </w:r>
          </w:p>
        </w:tc>
        <w:tc>
          <w:tcPr>
            <w:tcW w:w="1842" w:type="dxa"/>
          </w:tcPr>
          <w:p w14:paraId="58B05D2E" w14:textId="77777777" w:rsidR="0024238C" w:rsidRPr="00CD59CC" w:rsidRDefault="0024238C" w:rsidP="00CD59CC">
            <w:pPr>
              <w:rPr>
                <w:rFonts w:ascii="Arial" w:hAnsi="Arial" w:cs="Arial"/>
              </w:rPr>
            </w:pPr>
            <w:r w:rsidRPr="00CD59CC">
              <w:rPr>
                <w:rFonts w:ascii="Arial" w:hAnsi="Arial" w:cs="Arial"/>
              </w:rPr>
              <w:t>5,211</w:t>
            </w:r>
          </w:p>
        </w:tc>
        <w:tc>
          <w:tcPr>
            <w:tcW w:w="1842" w:type="dxa"/>
          </w:tcPr>
          <w:p w14:paraId="00F394F7" w14:textId="77777777" w:rsidR="0024238C" w:rsidRPr="00CD59CC" w:rsidRDefault="0024238C" w:rsidP="00CD59CC">
            <w:pPr>
              <w:rPr>
                <w:rFonts w:ascii="Arial" w:hAnsi="Arial" w:cs="Arial"/>
              </w:rPr>
            </w:pPr>
            <w:r w:rsidRPr="00CD59CC">
              <w:rPr>
                <w:rFonts w:ascii="Arial" w:hAnsi="Arial" w:cs="Arial"/>
              </w:rPr>
              <w:t>33,791</w:t>
            </w:r>
          </w:p>
        </w:tc>
        <w:tc>
          <w:tcPr>
            <w:tcW w:w="1842" w:type="dxa"/>
          </w:tcPr>
          <w:p w14:paraId="1BA686BF" w14:textId="77777777" w:rsidR="0024238C" w:rsidRPr="00CD59CC" w:rsidRDefault="0024238C" w:rsidP="00CD59CC">
            <w:pPr>
              <w:rPr>
                <w:rFonts w:ascii="Arial" w:hAnsi="Arial" w:cs="Arial"/>
              </w:rPr>
            </w:pPr>
            <w:r w:rsidRPr="00CD59CC">
              <w:rPr>
                <w:rFonts w:ascii="Arial" w:hAnsi="Arial" w:cs="Arial"/>
              </w:rPr>
              <w:t>7,095</w:t>
            </w:r>
          </w:p>
        </w:tc>
        <w:tc>
          <w:tcPr>
            <w:tcW w:w="1842" w:type="dxa"/>
          </w:tcPr>
          <w:p w14:paraId="5E8C1E02" w14:textId="77777777" w:rsidR="0024238C" w:rsidRPr="00CD59CC" w:rsidRDefault="0024238C" w:rsidP="00CD59CC">
            <w:pPr>
              <w:rPr>
                <w:rFonts w:ascii="Arial" w:hAnsi="Arial" w:cs="Arial"/>
              </w:rPr>
            </w:pPr>
            <w:r w:rsidRPr="00CD59CC">
              <w:rPr>
                <w:rFonts w:ascii="Arial" w:hAnsi="Arial" w:cs="Arial"/>
              </w:rPr>
              <w:t>1,978</w:t>
            </w:r>
          </w:p>
        </w:tc>
      </w:tr>
    </w:tbl>
    <w:p w14:paraId="76FF870B" w14:textId="77777777" w:rsidR="0024238C" w:rsidRDefault="0024238C" w:rsidP="00CD59CC">
      <w:pPr>
        <w:rPr>
          <w:rFonts w:ascii="Arial" w:hAnsi="Arial" w:cs="Arial"/>
        </w:rPr>
      </w:pPr>
    </w:p>
    <w:p w14:paraId="43ECB4F2" w14:textId="77777777" w:rsidR="00B97ED3" w:rsidRPr="00CD59CC" w:rsidRDefault="00B97ED3" w:rsidP="00CD59C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1827"/>
        <w:gridCol w:w="1820"/>
        <w:gridCol w:w="1814"/>
        <w:gridCol w:w="1813"/>
      </w:tblGrid>
      <w:tr w:rsidR="0024238C" w:rsidRPr="00CD59CC" w14:paraId="23DC90DB" w14:textId="77777777" w:rsidTr="00E34CF1">
        <w:tc>
          <w:tcPr>
            <w:tcW w:w="1842" w:type="dxa"/>
          </w:tcPr>
          <w:p w14:paraId="6AE67CCE" w14:textId="77777777" w:rsidR="0024238C" w:rsidRPr="00CD59CC" w:rsidRDefault="0024238C" w:rsidP="00CD59CC">
            <w:pPr>
              <w:rPr>
                <w:rFonts w:ascii="Arial" w:hAnsi="Arial" w:cs="Arial"/>
                <w:b/>
              </w:rPr>
            </w:pPr>
            <w:r w:rsidRPr="00CD59CC">
              <w:rPr>
                <w:rFonts w:ascii="Arial" w:hAnsi="Arial" w:cs="Arial"/>
                <w:b/>
              </w:rPr>
              <w:lastRenderedPageBreak/>
              <w:t>Year</w:t>
            </w:r>
          </w:p>
        </w:tc>
        <w:tc>
          <w:tcPr>
            <w:tcW w:w="1842" w:type="dxa"/>
          </w:tcPr>
          <w:p w14:paraId="274EE353" w14:textId="77777777" w:rsidR="0024238C" w:rsidRPr="00CD59CC" w:rsidRDefault="0024238C" w:rsidP="00CD59CC">
            <w:pPr>
              <w:rPr>
                <w:rFonts w:ascii="Arial" w:hAnsi="Arial" w:cs="Arial"/>
              </w:rPr>
            </w:pPr>
            <w:r w:rsidRPr="00CD59CC">
              <w:rPr>
                <w:rFonts w:ascii="Arial" w:hAnsi="Arial" w:cs="Arial"/>
              </w:rPr>
              <w:t>Number of SEN children in non-integrated kindergarten groups</w:t>
            </w:r>
          </w:p>
        </w:tc>
        <w:tc>
          <w:tcPr>
            <w:tcW w:w="1842" w:type="dxa"/>
          </w:tcPr>
          <w:p w14:paraId="18739DA1" w14:textId="77777777" w:rsidR="0024238C" w:rsidRPr="00CD59CC" w:rsidRDefault="0024238C" w:rsidP="00CD59CC">
            <w:pPr>
              <w:rPr>
                <w:rFonts w:ascii="Arial" w:hAnsi="Arial" w:cs="Arial"/>
              </w:rPr>
            </w:pPr>
            <w:r w:rsidRPr="00CD59CC">
              <w:rPr>
                <w:rFonts w:ascii="Arial" w:hAnsi="Arial" w:cs="Arial"/>
              </w:rPr>
              <w:t>Number of SEN children in non-integrated elementary school classes</w:t>
            </w:r>
          </w:p>
        </w:tc>
        <w:tc>
          <w:tcPr>
            <w:tcW w:w="1842" w:type="dxa"/>
          </w:tcPr>
          <w:p w14:paraId="2672DEFD" w14:textId="77777777" w:rsidR="0024238C" w:rsidRPr="00CD59CC" w:rsidRDefault="0024238C" w:rsidP="00CD59CC">
            <w:pPr>
              <w:rPr>
                <w:rFonts w:ascii="Arial" w:hAnsi="Arial" w:cs="Arial"/>
              </w:rPr>
            </w:pPr>
            <w:r w:rsidRPr="00CD59CC">
              <w:rPr>
                <w:rFonts w:ascii="Arial" w:hAnsi="Arial" w:cs="Arial"/>
              </w:rPr>
              <w:t>Number of SEN children in non-integrated vocational school classes</w:t>
            </w:r>
          </w:p>
        </w:tc>
        <w:tc>
          <w:tcPr>
            <w:tcW w:w="1842" w:type="dxa"/>
          </w:tcPr>
          <w:p w14:paraId="1FE15DEA" w14:textId="77777777" w:rsidR="0024238C" w:rsidRPr="00CD59CC" w:rsidRDefault="0024238C" w:rsidP="00CD59CC">
            <w:pPr>
              <w:rPr>
                <w:rFonts w:ascii="Arial" w:hAnsi="Arial" w:cs="Arial"/>
              </w:rPr>
            </w:pPr>
            <w:r w:rsidRPr="00CD59CC">
              <w:rPr>
                <w:rFonts w:ascii="Arial" w:hAnsi="Arial" w:cs="Arial"/>
              </w:rPr>
              <w:t>Number of SEN children in non-integrated highs school classes</w:t>
            </w:r>
          </w:p>
        </w:tc>
      </w:tr>
      <w:tr w:rsidR="0024238C" w:rsidRPr="00CD59CC" w14:paraId="5363604E" w14:textId="77777777" w:rsidTr="00E34CF1">
        <w:tc>
          <w:tcPr>
            <w:tcW w:w="1842" w:type="dxa"/>
          </w:tcPr>
          <w:p w14:paraId="5FADF9E6" w14:textId="77777777" w:rsidR="0024238C" w:rsidRPr="00CD59CC" w:rsidRDefault="0024238C" w:rsidP="00CD59CC">
            <w:pPr>
              <w:rPr>
                <w:rFonts w:ascii="Arial" w:hAnsi="Arial" w:cs="Arial"/>
                <w:b/>
              </w:rPr>
            </w:pPr>
            <w:r w:rsidRPr="00CD59CC">
              <w:rPr>
                <w:rFonts w:ascii="Arial" w:hAnsi="Arial" w:cs="Arial"/>
                <w:b/>
              </w:rPr>
              <w:t>2011</w:t>
            </w:r>
          </w:p>
        </w:tc>
        <w:tc>
          <w:tcPr>
            <w:tcW w:w="1842" w:type="dxa"/>
          </w:tcPr>
          <w:p w14:paraId="3058CC50" w14:textId="77777777" w:rsidR="0024238C" w:rsidRPr="00CD59CC" w:rsidRDefault="0024238C" w:rsidP="00CD59CC">
            <w:pPr>
              <w:rPr>
                <w:rFonts w:ascii="Arial" w:hAnsi="Arial" w:cs="Arial"/>
              </w:rPr>
            </w:pPr>
            <w:r w:rsidRPr="00CD59CC">
              <w:rPr>
                <w:rFonts w:ascii="Arial" w:hAnsi="Arial" w:cs="Arial"/>
              </w:rPr>
              <w:t>1,272</w:t>
            </w:r>
          </w:p>
        </w:tc>
        <w:tc>
          <w:tcPr>
            <w:tcW w:w="1842" w:type="dxa"/>
          </w:tcPr>
          <w:p w14:paraId="59A2F825" w14:textId="77777777" w:rsidR="0024238C" w:rsidRPr="00CD59CC" w:rsidRDefault="0024238C" w:rsidP="00CD59CC">
            <w:pPr>
              <w:rPr>
                <w:rFonts w:ascii="Arial" w:hAnsi="Arial" w:cs="Arial"/>
              </w:rPr>
            </w:pPr>
            <w:r w:rsidRPr="00CD59CC">
              <w:rPr>
                <w:rFonts w:ascii="Arial" w:hAnsi="Arial" w:cs="Arial"/>
              </w:rPr>
              <w:t>19,592</w:t>
            </w:r>
          </w:p>
        </w:tc>
        <w:tc>
          <w:tcPr>
            <w:tcW w:w="1842" w:type="dxa"/>
          </w:tcPr>
          <w:p w14:paraId="5C169089" w14:textId="77777777" w:rsidR="0024238C" w:rsidRPr="00CD59CC" w:rsidRDefault="0024238C" w:rsidP="00CD59CC">
            <w:pPr>
              <w:rPr>
                <w:rFonts w:ascii="Arial" w:hAnsi="Arial" w:cs="Arial"/>
              </w:rPr>
            </w:pPr>
            <w:r w:rsidRPr="00CD59CC">
              <w:rPr>
                <w:rFonts w:ascii="Arial" w:hAnsi="Arial" w:cs="Arial"/>
              </w:rPr>
              <w:t>345</w:t>
            </w:r>
          </w:p>
        </w:tc>
        <w:tc>
          <w:tcPr>
            <w:tcW w:w="1842" w:type="dxa"/>
          </w:tcPr>
          <w:p w14:paraId="68B3C397" w14:textId="77777777" w:rsidR="0024238C" w:rsidRPr="00CD59CC" w:rsidRDefault="0024238C" w:rsidP="00CD59CC">
            <w:pPr>
              <w:rPr>
                <w:rFonts w:ascii="Arial" w:hAnsi="Arial" w:cs="Arial"/>
              </w:rPr>
            </w:pPr>
            <w:r w:rsidRPr="00CD59CC">
              <w:rPr>
                <w:rFonts w:ascii="Arial" w:hAnsi="Arial" w:cs="Arial"/>
              </w:rPr>
              <w:t>136</w:t>
            </w:r>
          </w:p>
        </w:tc>
      </w:tr>
      <w:tr w:rsidR="0024238C" w:rsidRPr="00CD59CC" w14:paraId="0D2F00D3" w14:textId="77777777" w:rsidTr="00E34CF1">
        <w:tc>
          <w:tcPr>
            <w:tcW w:w="1842" w:type="dxa"/>
          </w:tcPr>
          <w:p w14:paraId="2672721F" w14:textId="77777777" w:rsidR="0024238C" w:rsidRPr="00CD59CC" w:rsidRDefault="0024238C" w:rsidP="00CD59CC">
            <w:pPr>
              <w:rPr>
                <w:rFonts w:ascii="Arial" w:hAnsi="Arial" w:cs="Arial"/>
                <w:b/>
              </w:rPr>
            </w:pPr>
            <w:r w:rsidRPr="00CD59CC">
              <w:rPr>
                <w:rFonts w:ascii="Arial" w:hAnsi="Arial" w:cs="Arial"/>
                <w:b/>
              </w:rPr>
              <w:t>2012</w:t>
            </w:r>
          </w:p>
        </w:tc>
        <w:tc>
          <w:tcPr>
            <w:tcW w:w="1842" w:type="dxa"/>
          </w:tcPr>
          <w:p w14:paraId="0F90C450" w14:textId="77777777" w:rsidR="0024238C" w:rsidRPr="00CD59CC" w:rsidRDefault="0024238C" w:rsidP="00CD59CC">
            <w:pPr>
              <w:rPr>
                <w:rFonts w:ascii="Arial" w:hAnsi="Arial" w:cs="Arial"/>
              </w:rPr>
            </w:pPr>
            <w:r w:rsidRPr="00CD59CC">
              <w:rPr>
                <w:rFonts w:ascii="Arial" w:hAnsi="Arial" w:cs="Arial"/>
              </w:rPr>
              <w:t>1,456</w:t>
            </w:r>
          </w:p>
        </w:tc>
        <w:tc>
          <w:tcPr>
            <w:tcW w:w="1842" w:type="dxa"/>
          </w:tcPr>
          <w:p w14:paraId="3FC7FB9E" w14:textId="77777777" w:rsidR="0024238C" w:rsidRPr="00CD59CC" w:rsidRDefault="0024238C" w:rsidP="00CD59CC">
            <w:pPr>
              <w:rPr>
                <w:rFonts w:ascii="Arial" w:hAnsi="Arial" w:cs="Arial"/>
              </w:rPr>
            </w:pPr>
            <w:r w:rsidRPr="00CD59CC">
              <w:rPr>
                <w:rFonts w:ascii="Arial" w:hAnsi="Arial" w:cs="Arial"/>
              </w:rPr>
              <w:t>18,601</w:t>
            </w:r>
          </w:p>
        </w:tc>
        <w:tc>
          <w:tcPr>
            <w:tcW w:w="1842" w:type="dxa"/>
          </w:tcPr>
          <w:p w14:paraId="760CABF8" w14:textId="77777777" w:rsidR="0024238C" w:rsidRPr="00CD59CC" w:rsidRDefault="0024238C" w:rsidP="00CD59CC">
            <w:pPr>
              <w:rPr>
                <w:rFonts w:ascii="Arial" w:hAnsi="Arial" w:cs="Arial"/>
              </w:rPr>
            </w:pPr>
            <w:r w:rsidRPr="00CD59CC">
              <w:rPr>
                <w:rFonts w:ascii="Arial" w:hAnsi="Arial" w:cs="Arial"/>
              </w:rPr>
              <w:t>190</w:t>
            </w:r>
          </w:p>
        </w:tc>
        <w:tc>
          <w:tcPr>
            <w:tcW w:w="1842" w:type="dxa"/>
          </w:tcPr>
          <w:p w14:paraId="5F2E458C" w14:textId="77777777" w:rsidR="0024238C" w:rsidRPr="00CD59CC" w:rsidRDefault="0024238C" w:rsidP="00CD59CC">
            <w:pPr>
              <w:rPr>
                <w:rFonts w:ascii="Arial" w:hAnsi="Arial" w:cs="Arial"/>
              </w:rPr>
            </w:pPr>
            <w:r w:rsidRPr="00CD59CC">
              <w:rPr>
                <w:rFonts w:ascii="Arial" w:hAnsi="Arial" w:cs="Arial"/>
              </w:rPr>
              <w:t>138</w:t>
            </w:r>
          </w:p>
        </w:tc>
      </w:tr>
      <w:tr w:rsidR="0024238C" w:rsidRPr="00CD59CC" w14:paraId="155F9EA4" w14:textId="77777777" w:rsidTr="00E34CF1">
        <w:tc>
          <w:tcPr>
            <w:tcW w:w="1842" w:type="dxa"/>
          </w:tcPr>
          <w:p w14:paraId="5F3F66E2" w14:textId="77777777" w:rsidR="0024238C" w:rsidRPr="00CD59CC" w:rsidRDefault="0024238C" w:rsidP="00CD59CC">
            <w:pPr>
              <w:rPr>
                <w:rFonts w:ascii="Arial" w:hAnsi="Arial" w:cs="Arial"/>
                <w:b/>
              </w:rPr>
            </w:pPr>
            <w:r w:rsidRPr="00CD59CC">
              <w:rPr>
                <w:rFonts w:ascii="Arial" w:hAnsi="Arial" w:cs="Arial"/>
                <w:b/>
              </w:rPr>
              <w:t>2013</w:t>
            </w:r>
          </w:p>
        </w:tc>
        <w:tc>
          <w:tcPr>
            <w:tcW w:w="1842" w:type="dxa"/>
          </w:tcPr>
          <w:p w14:paraId="1E5AC9D7" w14:textId="77777777" w:rsidR="0024238C" w:rsidRPr="00CD59CC" w:rsidRDefault="0024238C" w:rsidP="00CD59CC">
            <w:pPr>
              <w:rPr>
                <w:rFonts w:ascii="Arial" w:hAnsi="Arial" w:cs="Arial"/>
              </w:rPr>
            </w:pPr>
            <w:r w:rsidRPr="00CD59CC">
              <w:rPr>
                <w:rFonts w:ascii="Arial" w:hAnsi="Arial" w:cs="Arial"/>
              </w:rPr>
              <w:t>1,478</w:t>
            </w:r>
          </w:p>
        </w:tc>
        <w:tc>
          <w:tcPr>
            <w:tcW w:w="1842" w:type="dxa"/>
          </w:tcPr>
          <w:p w14:paraId="1BFDF980" w14:textId="77777777" w:rsidR="0024238C" w:rsidRPr="00CD59CC" w:rsidRDefault="0024238C" w:rsidP="00CD59CC">
            <w:pPr>
              <w:rPr>
                <w:rFonts w:ascii="Arial" w:hAnsi="Arial" w:cs="Arial"/>
              </w:rPr>
            </w:pPr>
            <w:r w:rsidRPr="00CD59CC">
              <w:rPr>
                <w:rFonts w:ascii="Arial" w:hAnsi="Arial" w:cs="Arial"/>
              </w:rPr>
              <w:t>17,863</w:t>
            </w:r>
          </w:p>
        </w:tc>
        <w:tc>
          <w:tcPr>
            <w:tcW w:w="1842" w:type="dxa"/>
          </w:tcPr>
          <w:p w14:paraId="79596668" w14:textId="77777777" w:rsidR="0024238C" w:rsidRPr="00CD59CC" w:rsidRDefault="0024238C" w:rsidP="00CD59CC">
            <w:pPr>
              <w:rPr>
                <w:rFonts w:ascii="Arial" w:hAnsi="Arial" w:cs="Arial"/>
              </w:rPr>
            </w:pPr>
            <w:r w:rsidRPr="00CD59CC">
              <w:rPr>
                <w:rFonts w:ascii="Arial" w:hAnsi="Arial" w:cs="Arial"/>
              </w:rPr>
              <w:t>187</w:t>
            </w:r>
          </w:p>
        </w:tc>
        <w:tc>
          <w:tcPr>
            <w:tcW w:w="1842" w:type="dxa"/>
          </w:tcPr>
          <w:p w14:paraId="75BAABD9" w14:textId="77777777" w:rsidR="0024238C" w:rsidRPr="00CD59CC" w:rsidRDefault="0024238C" w:rsidP="00CD59CC">
            <w:pPr>
              <w:rPr>
                <w:rFonts w:ascii="Arial" w:hAnsi="Arial" w:cs="Arial"/>
              </w:rPr>
            </w:pPr>
            <w:r w:rsidRPr="00CD59CC">
              <w:rPr>
                <w:rFonts w:ascii="Arial" w:hAnsi="Arial" w:cs="Arial"/>
              </w:rPr>
              <w:t>136</w:t>
            </w:r>
          </w:p>
        </w:tc>
      </w:tr>
    </w:tbl>
    <w:p w14:paraId="1055C855" w14:textId="77777777" w:rsidR="00BF6593" w:rsidRPr="00CD59CC" w:rsidRDefault="00BF6593" w:rsidP="00CD59CC">
      <w:pPr>
        <w:rPr>
          <w:rFonts w:ascii="Arial" w:hAnsi="Arial" w:cs="Arial"/>
        </w:rPr>
      </w:pPr>
    </w:p>
    <w:p w14:paraId="45F314AF" w14:textId="77777777" w:rsidR="0083308F" w:rsidRPr="00CD59CC" w:rsidRDefault="0083308F" w:rsidP="00CD59CC">
      <w:pPr>
        <w:rPr>
          <w:rFonts w:ascii="Arial" w:hAnsi="Arial" w:cs="Arial"/>
        </w:rPr>
      </w:pPr>
      <w:r w:rsidRPr="00CD59CC">
        <w:rPr>
          <w:rFonts w:ascii="Arial" w:hAnsi="Arial" w:cs="Arial"/>
        </w:rPr>
        <w:t xml:space="preserve">At the same time however, </w:t>
      </w:r>
      <w:r w:rsidR="00AB1FEB" w:rsidRPr="00CD59CC">
        <w:rPr>
          <w:rFonts w:ascii="Arial" w:hAnsi="Arial" w:cs="Arial"/>
        </w:rPr>
        <w:t>a 2012 study into the pre-entry assessment systems in the CEE region and their continuingly disproportionate effect on the Roma population suggested to completely discontinue standardised assessment until new – culturally and class-relevant – assessment regimes are piloted, evaluated, and put into place.</w:t>
      </w:r>
      <w:r w:rsidR="00AB1FEB" w:rsidRPr="00CD59CC">
        <w:rPr>
          <w:rStyle w:val="FootnoteReference"/>
          <w:rFonts w:ascii="Arial" w:hAnsi="Arial" w:cs="Arial"/>
        </w:rPr>
        <w:footnoteReference w:id="70"/>
      </w:r>
    </w:p>
    <w:p w14:paraId="196D5312" w14:textId="77777777" w:rsidR="0083308F" w:rsidRPr="00CD59CC" w:rsidRDefault="0083308F" w:rsidP="00CD59CC">
      <w:pPr>
        <w:rPr>
          <w:rFonts w:ascii="Arial" w:hAnsi="Arial" w:cs="Arial"/>
        </w:rPr>
      </w:pPr>
    </w:p>
    <w:p w14:paraId="121896AF" w14:textId="77777777" w:rsidR="001E4BB3" w:rsidRDefault="001E4BB3" w:rsidP="00CD59CC">
      <w:pPr>
        <w:rPr>
          <w:rFonts w:ascii="Arial" w:hAnsi="Arial" w:cs="Arial"/>
        </w:rPr>
      </w:pPr>
      <w:r w:rsidRPr="00CD59CC">
        <w:rPr>
          <w:rFonts w:ascii="Arial" w:hAnsi="Arial" w:cs="Arial"/>
        </w:rPr>
        <w:t xml:space="preserve">Other developments of the educational policy negatively affecting pupils in a disadvantaged position (including Roma children and children with disabilities) also need to be mentioned here. In their report prepared for the mid-term evaluation of the implementation of the recommendations addressed to Hungary during the country’s universal periodic report under the </w:t>
      </w:r>
      <w:r w:rsidR="00B37037" w:rsidRPr="00CD59CC">
        <w:rPr>
          <w:rFonts w:ascii="Arial" w:hAnsi="Arial" w:cs="Arial"/>
        </w:rPr>
        <w:t>a</w:t>
      </w:r>
      <w:r w:rsidRPr="00CD59CC">
        <w:rPr>
          <w:rFonts w:ascii="Arial" w:hAnsi="Arial" w:cs="Arial"/>
        </w:rPr>
        <w:t xml:space="preserve">egis of the UN, NGOs active in Hungary – including the Chance for Children Foundation and the European Roma Rights Center – criticised </w:t>
      </w:r>
      <w:r w:rsidR="00E41AC3" w:rsidRPr="00CD59CC">
        <w:rPr>
          <w:rFonts w:ascii="Arial" w:hAnsi="Arial" w:cs="Arial"/>
        </w:rPr>
        <w:t xml:space="preserve">– among others – </w:t>
      </w:r>
      <w:r w:rsidRPr="00CD59CC">
        <w:rPr>
          <w:rFonts w:ascii="Arial" w:hAnsi="Arial" w:cs="Arial"/>
        </w:rPr>
        <w:t>the following phenomena:</w:t>
      </w:r>
    </w:p>
    <w:p w14:paraId="54597371" w14:textId="77777777" w:rsidR="008C622D" w:rsidRPr="00CD59CC" w:rsidRDefault="008C622D" w:rsidP="00CD59CC">
      <w:pPr>
        <w:rPr>
          <w:rFonts w:ascii="Arial" w:hAnsi="Arial" w:cs="Arial"/>
        </w:rPr>
      </w:pPr>
    </w:p>
    <w:p w14:paraId="06AE94EA" w14:textId="77777777" w:rsidR="005F7A9B" w:rsidRPr="00CD59CC" w:rsidRDefault="00E41AC3" w:rsidP="007B4138">
      <w:pPr>
        <w:numPr>
          <w:ilvl w:val="0"/>
          <w:numId w:val="68"/>
        </w:numPr>
        <w:ind w:left="567" w:hanging="567"/>
        <w:rPr>
          <w:rFonts w:ascii="Arial" w:hAnsi="Arial" w:cs="Arial"/>
        </w:rPr>
      </w:pPr>
      <w:r w:rsidRPr="00CD59CC">
        <w:rPr>
          <w:rFonts w:ascii="Arial" w:hAnsi="Arial" w:cs="Arial"/>
        </w:rPr>
        <w:t>T</w:t>
      </w:r>
      <w:r w:rsidR="005F7A9B" w:rsidRPr="00CD59CC">
        <w:rPr>
          <w:rFonts w:ascii="Arial" w:hAnsi="Arial" w:cs="Arial"/>
        </w:rPr>
        <w:t xml:space="preserve">he new act on public education – Act CXC of 2011 on National Public Education (National Public Education Act) – worsened the situation of multiply disadvantaged and/or Roma students in a number of ways. It reintroduced failing which </w:t>
      </w:r>
      <w:r w:rsidR="00BE4236" w:rsidRPr="00CD59CC">
        <w:rPr>
          <w:rFonts w:ascii="Arial" w:hAnsi="Arial" w:cs="Arial"/>
        </w:rPr>
        <w:t xml:space="preserve">is likely to mainly affect </w:t>
      </w:r>
      <w:r w:rsidR="005F7A9B" w:rsidRPr="00CD59CC">
        <w:rPr>
          <w:rFonts w:ascii="Arial" w:hAnsi="Arial" w:cs="Arial"/>
        </w:rPr>
        <w:t xml:space="preserve">disadvantaged and Roma children. The new act reduced the upper limit of compulsory school </w:t>
      </w:r>
      <w:r w:rsidR="00BE4236" w:rsidRPr="00CD59CC">
        <w:rPr>
          <w:rFonts w:ascii="Arial" w:hAnsi="Arial" w:cs="Arial"/>
        </w:rPr>
        <w:t>attendance</w:t>
      </w:r>
      <w:r w:rsidR="005F7A9B" w:rsidRPr="00CD59CC">
        <w:rPr>
          <w:rFonts w:ascii="Arial" w:hAnsi="Arial" w:cs="Arial"/>
        </w:rPr>
        <w:t xml:space="preserve"> from 18 t</w:t>
      </w:r>
      <w:r w:rsidR="00BE4236" w:rsidRPr="00CD59CC">
        <w:rPr>
          <w:rFonts w:ascii="Arial" w:hAnsi="Arial" w:cs="Arial"/>
        </w:rPr>
        <w:t>o 16 years as of 1 January 2013. This</w:t>
      </w:r>
      <w:r w:rsidR="005F7A9B" w:rsidRPr="00CD59CC">
        <w:rPr>
          <w:rFonts w:ascii="Arial" w:hAnsi="Arial" w:cs="Arial"/>
        </w:rPr>
        <w:t xml:space="preserve"> </w:t>
      </w:r>
      <w:r w:rsidR="00BE4236" w:rsidRPr="00CD59CC">
        <w:rPr>
          <w:rFonts w:ascii="Arial" w:hAnsi="Arial" w:cs="Arial"/>
        </w:rPr>
        <w:t xml:space="preserve">increases the likelihood of students </w:t>
      </w:r>
      <w:r w:rsidR="005F7A9B" w:rsidRPr="00CD59CC">
        <w:rPr>
          <w:rFonts w:ascii="Arial" w:hAnsi="Arial" w:cs="Arial"/>
        </w:rPr>
        <w:t xml:space="preserve">leaving secondary education without </w:t>
      </w:r>
      <w:r w:rsidR="00BE4236" w:rsidRPr="00CD59CC">
        <w:rPr>
          <w:rFonts w:ascii="Arial" w:hAnsi="Arial" w:cs="Arial"/>
        </w:rPr>
        <w:t xml:space="preserve">obtaining a </w:t>
      </w:r>
      <w:r w:rsidR="005F7A9B" w:rsidRPr="00CD59CC">
        <w:rPr>
          <w:rFonts w:ascii="Arial" w:hAnsi="Arial" w:cs="Arial"/>
        </w:rPr>
        <w:t xml:space="preserve">qualification, which </w:t>
      </w:r>
      <w:r w:rsidR="00BE4236" w:rsidRPr="00CD59CC">
        <w:rPr>
          <w:rFonts w:ascii="Arial" w:hAnsi="Arial" w:cs="Arial"/>
        </w:rPr>
        <w:t>again is most likely to impact negatively those children who come from marginalised families</w:t>
      </w:r>
      <w:r w:rsidR="005F7A9B" w:rsidRPr="00CD59CC">
        <w:rPr>
          <w:rFonts w:ascii="Arial" w:hAnsi="Arial" w:cs="Arial"/>
        </w:rPr>
        <w:t xml:space="preserve">. </w:t>
      </w:r>
    </w:p>
    <w:p w14:paraId="729386D5" w14:textId="77777777" w:rsidR="00E41AC3" w:rsidRPr="00CD59CC" w:rsidRDefault="005F7A9B" w:rsidP="007B4138">
      <w:pPr>
        <w:numPr>
          <w:ilvl w:val="0"/>
          <w:numId w:val="68"/>
        </w:numPr>
        <w:ind w:left="567" w:hanging="567"/>
        <w:rPr>
          <w:rFonts w:ascii="Arial" w:hAnsi="Arial" w:cs="Arial"/>
        </w:rPr>
      </w:pPr>
      <w:r w:rsidRPr="00CD59CC">
        <w:rPr>
          <w:rFonts w:ascii="Arial" w:hAnsi="Arial" w:cs="Arial"/>
        </w:rPr>
        <w:t>Public schools have been nationali</w:t>
      </w:r>
      <w:r w:rsidR="00BE4236" w:rsidRPr="00CD59CC">
        <w:rPr>
          <w:rFonts w:ascii="Arial" w:hAnsi="Arial" w:cs="Arial"/>
        </w:rPr>
        <w:t>s</w:t>
      </w:r>
      <w:r w:rsidRPr="00CD59CC">
        <w:rPr>
          <w:rFonts w:ascii="Arial" w:hAnsi="Arial" w:cs="Arial"/>
        </w:rPr>
        <w:t>ed as of 1 January, 2013. A new centrali</w:t>
      </w:r>
      <w:r w:rsidR="00BE4236" w:rsidRPr="00CD59CC">
        <w:rPr>
          <w:rFonts w:ascii="Arial" w:hAnsi="Arial" w:cs="Arial"/>
        </w:rPr>
        <w:t>s</w:t>
      </w:r>
      <w:r w:rsidRPr="00CD59CC">
        <w:rPr>
          <w:rFonts w:ascii="Arial" w:hAnsi="Arial" w:cs="Arial"/>
        </w:rPr>
        <w:t xml:space="preserve">ed </w:t>
      </w:r>
      <w:r w:rsidR="00BE4236" w:rsidRPr="00CD59CC">
        <w:rPr>
          <w:rFonts w:ascii="Arial" w:hAnsi="Arial" w:cs="Arial"/>
        </w:rPr>
        <w:t xml:space="preserve">state </w:t>
      </w:r>
      <w:r w:rsidRPr="00CD59CC">
        <w:rPr>
          <w:rFonts w:ascii="Arial" w:hAnsi="Arial" w:cs="Arial"/>
        </w:rPr>
        <w:t xml:space="preserve">body, the Klebelsberg School Maintainer Centre </w:t>
      </w:r>
      <w:r w:rsidR="00BE4236" w:rsidRPr="00CD59CC">
        <w:rPr>
          <w:rFonts w:ascii="Arial" w:hAnsi="Arial" w:cs="Arial"/>
        </w:rPr>
        <w:t>has become the</w:t>
      </w:r>
      <w:r w:rsidRPr="00CD59CC">
        <w:rPr>
          <w:rFonts w:ascii="Arial" w:hAnsi="Arial" w:cs="Arial"/>
        </w:rPr>
        <w:t xml:space="preserve"> sole maintainer of all primary and secondary schools </w:t>
      </w:r>
      <w:r w:rsidR="00BE4236" w:rsidRPr="00CD59CC">
        <w:rPr>
          <w:rFonts w:ascii="Arial" w:hAnsi="Arial" w:cs="Arial"/>
        </w:rPr>
        <w:t>that were previously managed</w:t>
      </w:r>
      <w:r w:rsidRPr="00CD59CC">
        <w:rPr>
          <w:rFonts w:ascii="Arial" w:hAnsi="Arial" w:cs="Arial"/>
        </w:rPr>
        <w:t xml:space="preserve"> by municipalities. </w:t>
      </w:r>
      <w:r w:rsidR="00E761DE" w:rsidRPr="00CD59CC">
        <w:rPr>
          <w:rFonts w:ascii="Arial" w:hAnsi="Arial" w:cs="Arial"/>
        </w:rPr>
        <w:t xml:space="preserve">While this could have been a  </w:t>
      </w:r>
      <w:r w:rsidRPr="00CD59CC">
        <w:rPr>
          <w:rFonts w:ascii="Arial" w:hAnsi="Arial" w:cs="Arial"/>
        </w:rPr>
        <w:t xml:space="preserve">historic opportunity to inspect all schools and take </w:t>
      </w:r>
      <w:r w:rsidR="00E761DE" w:rsidRPr="00CD59CC">
        <w:rPr>
          <w:rFonts w:ascii="Arial" w:hAnsi="Arial" w:cs="Arial"/>
        </w:rPr>
        <w:t>firm measures</w:t>
      </w:r>
      <w:r w:rsidRPr="00CD59CC">
        <w:rPr>
          <w:rFonts w:ascii="Arial" w:hAnsi="Arial" w:cs="Arial"/>
        </w:rPr>
        <w:t xml:space="preserve"> against unlawful practices, such as segregation of Roma children</w:t>
      </w:r>
      <w:r w:rsidR="00E761DE" w:rsidRPr="00CD59CC">
        <w:rPr>
          <w:rFonts w:ascii="Arial" w:hAnsi="Arial" w:cs="Arial"/>
        </w:rPr>
        <w:t xml:space="preserve">, the </w:t>
      </w:r>
      <w:r w:rsidRPr="00CD59CC">
        <w:rPr>
          <w:rFonts w:ascii="Arial" w:hAnsi="Arial" w:cs="Arial"/>
        </w:rPr>
        <w:t xml:space="preserve">Centre </w:t>
      </w:r>
      <w:r w:rsidR="00E761DE" w:rsidRPr="00CD59CC">
        <w:rPr>
          <w:rFonts w:ascii="Arial" w:hAnsi="Arial" w:cs="Arial"/>
        </w:rPr>
        <w:t xml:space="preserve">instead </w:t>
      </w:r>
      <w:r w:rsidRPr="00CD59CC">
        <w:rPr>
          <w:rFonts w:ascii="Arial" w:hAnsi="Arial" w:cs="Arial"/>
        </w:rPr>
        <w:t xml:space="preserve"> left segregated schools i</w:t>
      </w:r>
      <w:r w:rsidR="00E41AC3" w:rsidRPr="00CD59CC">
        <w:rPr>
          <w:rFonts w:ascii="Arial" w:hAnsi="Arial" w:cs="Arial"/>
        </w:rPr>
        <w:t xml:space="preserve">ntact, and in certain cases even reversed already started desegregation processes (e.g. in </w:t>
      </w:r>
      <w:r w:rsidR="00E761DE" w:rsidRPr="00CD59CC">
        <w:rPr>
          <w:rFonts w:ascii="Arial" w:hAnsi="Arial" w:cs="Arial"/>
        </w:rPr>
        <w:t>Piliscsaba</w:t>
      </w:r>
      <w:r w:rsidR="00E41AC3" w:rsidRPr="00CD59CC">
        <w:rPr>
          <w:rFonts w:ascii="Arial" w:hAnsi="Arial" w:cs="Arial"/>
        </w:rPr>
        <w:t>, where</w:t>
      </w:r>
      <w:r w:rsidR="00E761DE" w:rsidRPr="00CD59CC">
        <w:rPr>
          <w:rFonts w:ascii="Arial" w:hAnsi="Arial" w:cs="Arial"/>
        </w:rPr>
        <w:t xml:space="preserve"> the Centre launched a new class in a </w:t>
      </w:r>
      <w:r w:rsidR="00E761DE" w:rsidRPr="00CD59CC">
        <w:rPr>
          <w:rFonts w:ascii="Arial" w:hAnsi="Arial" w:cs="Arial"/>
        </w:rPr>
        <w:lastRenderedPageBreak/>
        <w:t xml:space="preserve">segregated </w:t>
      </w:r>
      <w:r w:rsidR="00E41AC3" w:rsidRPr="00CD59CC">
        <w:rPr>
          <w:rFonts w:ascii="Arial" w:hAnsi="Arial" w:cs="Arial"/>
        </w:rPr>
        <w:t xml:space="preserve">– Roma-only – </w:t>
      </w:r>
      <w:r w:rsidR="00E761DE" w:rsidRPr="00CD59CC">
        <w:rPr>
          <w:rFonts w:ascii="Arial" w:hAnsi="Arial" w:cs="Arial"/>
        </w:rPr>
        <w:t xml:space="preserve">school which was about to </w:t>
      </w:r>
      <w:r w:rsidR="00B37037" w:rsidRPr="00CD59CC">
        <w:rPr>
          <w:rFonts w:ascii="Arial" w:hAnsi="Arial" w:cs="Arial"/>
        </w:rPr>
        <w:t xml:space="preserve">be </w:t>
      </w:r>
      <w:r w:rsidR="00E761DE" w:rsidRPr="00CD59CC">
        <w:rPr>
          <w:rFonts w:ascii="Arial" w:hAnsi="Arial" w:cs="Arial"/>
        </w:rPr>
        <w:t>closed down by the municipality</w:t>
      </w:r>
      <w:r w:rsidR="00E41AC3" w:rsidRPr="00CD59CC">
        <w:rPr>
          <w:rFonts w:ascii="Arial" w:hAnsi="Arial" w:cs="Arial"/>
        </w:rPr>
        <w:t xml:space="preserve"> before the takeover by the Centre.</w:t>
      </w:r>
      <w:r w:rsidR="00E761DE" w:rsidRPr="00CD59CC">
        <w:rPr>
          <w:rFonts w:ascii="Arial" w:hAnsi="Arial" w:cs="Arial"/>
        </w:rPr>
        <w:t xml:space="preserve"> </w:t>
      </w:r>
    </w:p>
    <w:p w14:paraId="20A89191" w14:textId="77777777" w:rsidR="00994ED0" w:rsidRDefault="00E41AC3" w:rsidP="007B4138">
      <w:pPr>
        <w:numPr>
          <w:ilvl w:val="0"/>
          <w:numId w:val="68"/>
        </w:numPr>
        <w:ind w:left="567" w:hanging="567"/>
        <w:rPr>
          <w:rFonts w:ascii="Arial" w:hAnsi="Arial" w:cs="Arial"/>
        </w:rPr>
      </w:pPr>
      <w:r w:rsidRPr="00CD59CC">
        <w:rPr>
          <w:rFonts w:ascii="Arial" w:hAnsi="Arial" w:cs="Arial"/>
        </w:rPr>
        <w:t>T</w:t>
      </w:r>
      <w:r w:rsidR="005F7A9B" w:rsidRPr="00CD59CC">
        <w:rPr>
          <w:rFonts w:ascii="Arial" w:hAnsi="Arial" w:cs="Arial"/>
        </w:rPr>
        <w:t>he Government and the National Roma Self-government</w:t>
      </w:r>
      <w:r w:rsidRPr="00CD59CC">
        <w:rPr>
          <w:rFonts w:ascii="Arial" w:hAnsi="Arial" w:cs="Arial"/>
        </w:rPr>
        <w:t xml:space="preserve"> (NRSG)</w:t>
      </w:r>
      <w:r w:rsidR="005F7A9B" w:rsidRPr="00CD59CC">
        <w:rPr>
          <w:rFonts w:ascii="Arial" w:hAnsi="Arial" w:cs="Arial"/>
        </w:rPr>
        <w:t xml:space="preserve"> agreed to deepen the NRSG’s involvement in the education of the Roma. </w:t>
      </w:r>
      <w:r w:rsidRPr="00CD59CC">
        <w:rPr>
          <w:rFonts w:ascii="Arial" w:hAnsi="Arial" w:cs="Arial"/>
        </w:rPr>
        <w:t>The Act on Nationalities</w:t>
      </w:r>
      <w:r w:rsidR="005F7A9B" w:rsidRPr="00CD59CC">
        <w:rPr>
          <w:rFonts w:ascii="Arial" w:hAnsi="Arial" w:cs="Arial"/>
        </w:rPr>
        <w:t xml:space="preserve"> </w:t>
      </w:r>
      <w:r w:rsidR="00A82971" w:rsidRPr="00CD59CC">
        <w:rPr>
          <w:rFonts w:ascii="Arial" w:hAnsi="Arial" w:cs="Arial"/>
        </w:rPr>
        <w:t>provides</w:t>
      </w:r>
      <w:r w:rsidR="00A82971" w:rsidRPr="00CD59CC">
        <w:rPr>
          <w:rStyle w:val="FootnoteReference"/>
          <w:rFonts w:ascii="Arial" w:hAnsi="Arial" w:cs="Arial"/>
        </w:rPr>
        <w:footnoteReference w:id="71"/>
      </w:r>
      <w:r w:rsidR="00A82971" w:rsidRPr="00CD59CC">
        <w:rPr>
          <w:rFonts w:ascii="Arial" w:hAnsi="Arial" w:cs="Arial"/>
        </w:rPr>
        <w:t xml:space="preserve"> that the </w:t>
      </w:r>
      <w:r w:rsidR="005F7A9B" w:rsidRPr="00CD59CC">
        <w:rPr>
          <w:rFonts w:ascii="Arial" w:hAnsi="Arial" w:cs="Arial"/>
        </w:rPr>
        <w:t xml:space="preserve">national minority self-governments </w:t>
      </w:r>
      <w:r w:rsidR="00A82971" w:rsidRPr="00CD59CC">
        <w:rPr>
          <w:rFonts w:ascii="Arial" w:hAnsi="Arial" w:cs="Arial"/>
        </w:rPr>
        <w:t xml:space="preserve">have the right to take over those – national or regional – educational institutions in which at least </w:t>
      </w:r>
      <w:r w:rsidR="005F7A9B" w:rsidRPr="00CD59CC">
        <w:rPr>
          <w:rFonts w:ascii="Arial" w:hAnsi="Arial" w:cs="Arial"/>
        </w:rPr>
        <w:t xml:space="preserve">75% of the students </w:t>
      </w:r>
      <w:r w:rsidR="00A82971" w:rsidRPr="00CD59CC">
        <w:rPr>
          <w:rFonts w:ascii="Arial" w:hAnsi="Arial" w:cs="Arial"/>
        </w:rPr>
        <w:t>participate in minority education. Due to the specificities of the minority situation in Hungary, this is most likely to concern schools with very high percentages of Roma pupils participating in Roma minority education</w:t>
      </w:r>
      <w:r w:rsidR="000A1200" w:rsidRPr="00CD59CC">
        <w:rPr>
          <w:rFonts w:ascii="Arial" w:hAnsi="Arial" w:cs="Arial"/>
        </w:rPr>
        <w:t>, which can easily lead to a justification of segregated education through the NRSG and the concept of minority education</w:t>
      </w:r>
      <w:r w:rsidR="00A82971" w:rsidRPr="00CD59CC">
        <w:rPr>
          <w:rFonts w:ascii="Arial" w:hAnsi="Arial" w:cs="Arial"/>
        </w:rPr>
        <w:t xml:space="preserve">. </w:t>
      </w:r>
      <w:r w:rsidR="000A1200" w:rsidRPr="00CD59CC">
        <w:rPr>
          <w:rFonts w:ascii="Arial" w:hAnsi="Arial" w:cs="Arial"/>
        </w:rPr>
        <w:t>(T</w:t>
      </w:r>
      <w:r w:rsidR="005F7A9B" w:rsidRPr="00CD59CC">
        <w:rPr>
          <w:rFonts w:ascii="Arial" w:hAnsi="Arial" w:cs="Arial"/>
        </w:rPr>
        <w:t>hree schools ha</w:t>
      </w:r>
      <w:r w:rsidR="000A1200" w:rsidRPr="00CD59CC">
        <w:rPr>
          <w:rFonts w:ascii="Arial" w:hAnsi="Arial" w:cs="Arial"/>
        </w:rPr>
        <w:t>ve</w:t>
      </w:r>
      <w:r w:rsidR="005F7A9B" w:rsidRPr="00CD59CC">
        <w:rPr>
          <w:rFonts w:ascii="Arial" w:hAnsi="Arial" w:cs="Arial"/>
        </w:rPr>
        <w:t xml:space="preserve"> been transferred to the NRSG</w:t>
      </w:r>
      <w:r w:rsidR="000A1200" w:rsidRPr="00CD59CC">
        <w:rPr>
          <w:rFonts w:ascii="Arial" w:hAnsi="Arial" w:cs="Arial"/>
        </w:rPr>
        <w:t xml:space="preserve"> so far</w:t>
      </w:r>
      <w:r w:rsidR="005F7A9B" w:rsidRPr="00CD59CC">
        <w:rPr>
          <w:rFonts w:ascii="Arial" w:hAnsi="Arial" w:cs="Arial"/>
        </w:rPr>
        <w:t>.</w:t>
      </w:r>
      <w:r w:rsidR="000A1200" w:rsidRPr="00CD59CC">
        <w:rPr>
          <w:rFonts w:ascii="Arial" w:hAnsi="Arial" w:cs="Arial"/>
        </w:rPr>
        <w:t>)</w:t>
      </w:r>
      <w:r w:rsidR="005F7A9B" w:rsidRPr="00CD59CC">
        <w:rPr>
          <w:rFonts w:ascii="Arial" w:hAnsi="Arial" w:cs="Arial"/>
        </w:rPr>
        <w:t xml:space="preserve"> </w:t>
      </w:r>
      <w:r w:rsidR="00123A32" w:rsidRPr="00CD59CC">
        <w:rPr>
          <w:rFonts w:ascii="Arial" w:hAnsi="Arial" w:cs="Arial"/>
        </w:rPr>
        <w:t>These concerns are shared by the Commissioner for Fundamental Rights, who – together with his Deputy responsible for minority affairs – issued a press release in April 2014, in which he claimed that “close to half of children in an especially disadvantaged situation are of Roma origin, and almost two thirds of Roma children are in an especially disadvantaged situation, so Roma minority education inevitably entails the concentration of pupils in an especially disadvantaged situation [...]. As the high proportion of pupils in an especially disadvantaged situation triggers a kind of counter-selection among teachers, educational institutions providing minority education continuously produce very low achievement indicators. Therefore, it is justified to pose the question whether or not minority education in its present state violates the pupils’ right to education and equal treatment.”</w:t>
      </w:r>
      <w:r w:rsidR="00123A32" w:rsidRPr="00CD59CC">
        <w:rPr>
          <w:rStyle w:val="FootnoteReference"/>
          <w:rFonts w:ascii="Arial" w:hAnsi="Arial" w:cs="Arial"/>
        </w:rPr>
        <w:footnoteReference w:id="72"/>
      </w:r>
    </w:p>
    <w:p w14:paraId="7DE528A3" w14:textId="77777777" w:rsidR="00CD59CC" w:rsidRPr="00CD59CC" w:rsidRDefault="00CD59CC" w:rsidP="002803A1">
      <w:pPr>
        <w:rPr>
          <w:rFonts w:ascii="Arial" w:hAnsi="Arial" w:cs="Arial"/>
        </w:rPr>
      </w:pPr>
    </w:p>
    <w:p w14:paraId="5B54E18F" w14:textId="77777777" w:rsidR="002B5BCD" w:rsidRPr="00CD59CC" w:rsidRDefault="002B5BCD" w:rsidP="00CD59CC">
      <w:pPr>
        <w:pStyle w:val="Heading3"/>
        <w:rPr>
          <w:rFonts w:cs="Arial"/>
        </w:rPr>
      </w:pPr>
      <w:bookmarkStart w:id="175" w:name="_Toc220221159"/>
      <w:bookmarkStart w:id="176" w:name="_Toc392758729"/>
      <w:bookmarkStart w:id="177" w:name="_Toc329163621"/>
      <w:bookmarkStart w:id="178" w:name="_Toc366846339"/>
      <w:r w:rsidRPr="00CD59CC">
        <w:rPr>
          <w:rFonts w:cs="Arial"/>
        </w:rPr>
        <w:t>Access to and supply of goods and services which are available to the public (Article 3(1)(h) Directive 2000/43)</w:t>
      </w:r>
      <w:bookmarkEnd w:id="175"/>
      <w:bookmarkEnd w:id="176"/>
      <w:bookmarkEnd w:id="177"/>
      <w:bookmarkEnd w:id="178"/>
    </w:p>
    <w:p w14:paraId="625E1DF6" w14:textId="77777777" w:rsidR="002B5BCD" w:rsidRPr="00CD59CC" w:rsidRDefault="002B5BCD" w:rsidP="00CD59CC">
      <w:pPr>
        <w:rPr>
          <w:rFonts w:ascii="Arial" w:hAnsi="Arial" w:cs="Arial"/>
        </w:rPr>
      </w:pPr>
    </w:p>
    <w:p w14:paraId="4FB05F9A" w14:textId="77777777" w:rsidR="00EF696E" w:rsidRPr="00B97ED3" w:rsidRDefault="00EF696E" w:rsidP="00CD59CC">
      <w:pPr>
        <w:rPr>
          <w:rFonts w:ascii="Arial" w:hAnsi="Arial" w:cs="Arial"/>
          <w:i/>
        </w:rPr>
      </w:pPr>
      <w:r w:rsidRPr="00B97ED3">
        <w:rPr>
          <w:rFonts w:ascii="Arial" w:hAnsi="Arial" w:cs="Arial"/>
          <w:i/>
        </w:rPr>
        <w:t>Does national law on discrimination cover access to and supply of goods and services? In case national anti-discrimination law does not do so, is it dealt with in any other legislation?</w:t>
      </w:r>
    </w:p>
    <w:p w14:paraId="3C506CBD" w14:textId="77777777" w:rsidR="00EF696E" w:rsidRPr="00CD59CC" w:rsidRDefault="00EF696E" w:rsidP="00CD59CC">
      <w:pPr>
        <w:rPr>
          <w:rFonts w:ascii="Arial" w:hAnsi="Arial" w:cs="Arial"/>
        </w:rPr>
      </w:pPr>
    </w:p>
    <w:p w14:paraId="746867AC" w14:textId="77777777" w:rsidR="002B5BCD" w:rsidRPr="00CD59CC" w:rsidRDefault="002B5BCD" w:rsidP="00CD59CC">
      <w:pPr>
        <w:numPr>
          <w:ilvl w:val="0"/>
          <w:numId w:val="11"/>
        </w:numPr>
        <w:ind w:left="567" w:hanging="567"/>
        <w:rPr>
          <w:rFonts w:ascii="Arial" w:hAnsi="Arial" w:cs="Arial"/>
          <w:i/>
        </w:rPr>
      </w:pPr>
      <w:r w:rsidRPr="00CD59CC">
        <w:rPr>
          <w:rFonts w:ascii="Arial" w:hAnsi="Arial" w:cs="Arial"/>
          <w:i/>
        </w:rPr>
        <w:t>Does the law distinguish between goods and services available to the public (e.g. in shops, restaurants, banks) and those only available privately (e.g. limited to members of a private association)? If so, explain the content of this distinction.</w:t>
      </w:r>
    </w:p>
    <w:p w14:paraId="645E2998" w14:textId="77777777" w:rsidR="002B5BCD" w:rsidRPr="00CD59CC" w:rsidRDefault="002B5BCD" w:rsidP="00CD59CC">
      <w:pPr>
        <w:ind w:left="567" w:hanging="567"/>
        <w:rPr>
          <w:rFonts w:ascii="Arial" w:hAnsi="Arial" w:cs="Arial"/>
        </w:rPr>
      </w:pPr>
    </w:p>
    <w:p w14:paraId="0B6E8CA8" w14:textId="77777777" w:rsidR="00BA285B" w:rsidRPr="00CD59CC" w:rsidRDefault="00BA285B" w:rsidP="00CD59CC">
      <w:pPr>
        <w:rPr>
          <w:rFonts w:ascii="Arial" w:hAnsi="Arial" w:cs="Arial"/>
        </w:rPr>
      </w:pPr>
      <w:r w:rsidRPr="00CD59CC">
        <w:rPr>
          <w:rFonts w:ascii="Arial" w:hAnsi="Arial" w:cs="Arial"/>
        </w:rPr>
        <w:t>Discrimination with regard to access to goods and services is regulated by Article 30 of the ETA.</w:t>
      </w:r>
    </w:p>
    <w:p w14:paraId="20FA4808" w14:textId="77777777" w:rsidR="00BA285B" w:rsidRPr="00CD59CC" w:rsidRDefault="00BA285B" w:rsidP="00CD59CC">
      <w:pPr>
        <w:rPr>
          <w:rFonts w:ascii="Arial" w:hAnsi="Arial" w:cs="Arial"/>
        </w:rPr>
      </w:pPr>
      <w:r w:rsidRPr="00CD59CC">
        <w:rPr>
          <w:rFonts w:ascii="Arial" w:hAnsi="Arial" w:cs="Arial"/>
        </w:rPr>
        <w:t xml:space="preserve">Paragraph (1) sets forth the following: </w:t>
      </w:r>
    </w:p>
    <w:p w14:paraId="6629D26A" w14:textId="77777777" w:rsidR="00BA285B" w:rsidRPr="00BB4E9F" w:rsidRDefault="00BA285B" w:rsidP="00BB4E9F">
      <w:pPr>
        <w:pStyle w:val="Quote"/>
      </w:pPr>
      <w:r w:rsidRPr="006F0AF2">
        <w:lastRenderedPageBreak/>
        <w:t>“It is considered a particular violation of the principle of equal treatment if at premises open to customers, particularly in catering, commercial, cultural and</w:t>
      </w:r>
      <w:r w:rsidRPr="00C86D09">
        <w:t xml:space="preserve"> entertainment establishments, and based on a characteristic defined in Article 8, </w:t>
      </w:r>
    </w:p>
    <w:p w14:paraId="7F775D4D" w14:textId="77777777" w:rsidR="00BA285B" w:rsidRPr="006F0AF2" w:rsidRDefault="00BA285B" w:rsidP="00BB4E9F">
      <w:pPr>
        <w:pStyle w:val="Quote"/>
        <w:numPr>
          <w:ilvl w:val="0"/>
          <w:numId w:val="70"/>
        </w:numPr>
        <w:tabs>
          <w:tab w:val="left" w:pos="1701"/>
        </w:tabs>
        <w:ind w:left="1701" w:hanging="567"/>
      </w:pPr>
      <w:r w:rsidRPr="006F0AF2">
        <w:t xml:space="preserve">the provision of services or sale of goods is denied or neglected, </w:t>
      </w:r>
    </w:p>
    <w:p w14:paraId="21433EF2" w14:textId="77777777" w:rsidR="00BA285B" w:rsidRPr="00BB4E9F" w:rsidRDefault="00BA285B" w:rsidP="00BB4E9F">
      <w:pPr>
        <w:pStyle w:val="Quote"/>
        <w:numPr>
          <w:ilvl w:val="0"/>
          <w:numId w:val="70"/>
        </w:numPr>
        <w:tabs>
          <w:tab w:val="left" w:pos="1701"/>
        </w:tabs>
        <w:ind w:left="1701" w:hanging="567"/>
      </w:pPr>
      <w:r w:rsidRPr="00C86D09">
        <w:t xml:space="preserve">the services provided and goods sold are not of the same quality as those normally available at the particular premises, </w:t>
      </w:r>
    </w:p>
    <w:p w14:paraId="2BD29A04" w14:textId="77777777" w:rsidR="00BA285B" w:rsidRPr="00BB4E9F" w:rsidRDefault="00BA285B" w:rsidP="00BB4E9F">
      <w:pPr>
        <w:pStyle w:val="Quote"/>
        <w:numPr>
          <w:ilvl w:val="0"/>
          <w:numId w:val="70"/>
        </w:numPr>
        <w:tabs>
          <w:tab w:val="left" w:pos="1701"/>
        </w:tabs>
        <w:ind w:left="1701" w:hanging="567"/>
      </w:pPr>
      <w:r w:rsidRPr="00BB4E9F">
        <w:t xml:space="preserve">a notice or sign is placed implying that a certain individual or individuals are excluded from the provision of services or sale of goods at the premises.” </w:t>
      </w:r>
    </w:p>
    <w:p w14:paraId="496B4599" w14:textId="77777777" w:rsidR="00BA285B" w:rsidRPr="00CD59CC" w:rsidRDefault="00BA285B" w:rsidP="00CD59CC">
      <w:pPr>
        <w:rPr>
          <w:rFonts w:ascii="Arial" w:hAnsi="Arial" w:cs="Arial"/>
        </w:rPr>
      </w:pPr>
    </w:p>
    <w:p w14:paraId="3359D6A0" w14:textId="77777777" w:rsidR="00BA285B" w:rsidRPr="00CD59CC" w:rsidRDefault="00BA285B" w:rsidP="00CD59CC">
      <w:pPr>
        <w:rPr>
          <w:rFonts w:ascii="Arial" w:hAnsi="Arial" w:cs="Arial"/>
        </w:rPr>
      </w:pPr>
      <w:r w:rsidRPr="00CD59CC">
        <w:rPr>
          <w:rFonts w:ascii="Arial" w:hAnsi="Arial" w:cs="Arial"/>
        </w:rPr>
        <w:t xml:space="preserve">Paragraphs (2) and (3) as well as Article 30/A contain a specific exemption clause for access to goods and services (see under 2.2). </w:t>
      </w:r>
    </w:p>
    <w:p w14:paraId="188B7C03" w14:textId="77777777" w:rsidR="00BA285B" w:rsidRPr="00CD59CC" w:rsidRDefault="00BA285B" w:rsidP="00CD59CC">
      <w:pPr>
        <w:rPr>
          <w:rFonts w:ascii="Arial" w:hAnsi="Arial" w:cs="Arial"/>
        </w:rPr>
      </w:pPr>
    </w:p>
    <w:p w14:paraId="3A21484C" w14:textId="77777777" w:rsidR="00BA285B" w:rsidRPr="00CD59CC" w:rsidRDefault="00BA285B" w:rsidP="00CD59CC">
      <w:pPr>
        <w:rPr>
          <w:rFonts w:ascii="Arial" w:hAnsi="Arial" w:cs="Arial"/>
        </w:rPr>
      </w:pPr>
      <w:r w:rsidRPr="00CD59CC">
        <w:rPr>
          <w:rFonts w:ascii="Arial" w:hAnsi="Arial" w:cs="Arial"/>
        </w:rPr>
        <w:t>The above list is not exhaustive, so other forms of discrimination connected to access to goods and services are also covered by the ETA.</w:t>
      </w:r>
    </w:p>
    <w:p w14:paraId="29DF50D8" w14:textId="77777777" w:rsidR="00E2550B" w:rsidRPr="00CD59CC" w:rsidRDefault="00E2550B" w:rsidP="00CD59CC">
      <w:pPr>
        <w:ind w:left="567" w:hanging="567"/>
        <w:rPr>
          <w:rFonts w:ascii="Arial" w:hAnsi="Arial" w:cs="Arial"/>
        </w:rPr>
      </w:pPr>
    </w:p>
    <w:p w14:paraId="772D4203" w14:textId="77777777" w:rsidR="002B5BCD" w:rsidRPr="00CD59CC" w:rsidRDefault="002B5BCD" w:rsidP="00CD59CC">
      <w:pPr>
        <w:numPr>
          <w:ilvl w:val="0"/>
          <w:numId w:val="11"/>
        </w:numPr>
        <w:ind w:left="567" w:hanging="567"/>
        <w:rPr>
          <w:rFonts w:ascii="Arial" w:hAnsi="Arial" w:cs="Arial"/>
          <w:i/>
        </w:rPr>
      </w:pPr>
      <w:r w:rsidRPr="00CD59CC">
        <w:rPr>
          <w:rFonts w:ascii="Arial" w:hAnsi="Arial" w:cs="Arial"/>
          <w:i/>
        </w:rPr>
        <w:t xml:space="preserve">Does the law allow for differences in treatment on the grounds of age and disability in the provision of financial services? If so, does the law impose any limitations on how age or disability should be used in this context, e.g. does the assessment of risk have to be based on relevant and accurate actuarial or statistical data? </w:t>
      </w:r>
    </w:p>
    <w:p w14:paraId="1E4A5B3D" w14:textId="77777777" w:rsidR="003A3F22" w:rsidRPr="00CD59CC" w:rsidRDefault="003A3F22" w:rsidP="00CD59CC">
      <w:pPr>
        <w:rPr>
          <w:rFonts w:ascii="Arial" w:hAnsi="Arial" w:cs="Arial"/>
        </w:rPr>
      </w:pPr>
    </w:p>
    <w:p w14:paraId="259AE73D" w14:textId="77777777" w:rsidR="00BA285B" w:rsidRPr="00CD59CC" w:rsidRDefault="00BA285B" w:rsidP="00CD59CC">
      <w:pPr>
        <w:rPr>
          <w:rFonts w:ascii="Arial" w:hAnsi="Arial" w:cs="Arial"/>
        </w:rPr>
      </w:pPr>
      <w:r w:rsidRPr="00CD59CC">
        <w:rPr>
          <w:rFonts w:ascii="Arial" w:hAnsi="Arial" w:cs="Arial"/>
        </w:rPr>
        <w:t xml:space="preserve">The law does not expressly allow for such differences in treatment, and the Equal Treatment Authority has on a number of occasions established direct discrimination in relation to the denial of financial services on the basis of age. In a case for instance, the complainant was granted a loan by the respondent financial institution for purchasing goods in March 2006. He paid the instalments regularly. Half a year later, in November 2006, he again submitted a request for a similar loan (again for purchasing goods but the amount was smaller than in March), but the respondent rejected the claim on the basis that in the meantime the complainant had passed 70 years of age. </w:t>
      </w:r>
    </w:p>
    <w:p w14:paraId="42A5CBDA" w14:textId="77777777" w:rsidR="00BA285B" w:rsidRPr="00CD59CC" w:rsidRDefault="00BA285B" w:rsidP="00CD59CC">
      <w:pPr>
        <w:rPr>
          <w:rFonts w:ascii="Arial" w:hAnsi="Arial" w:cs="Arial"/>
        </w:rPr>
      </w:pPr>
    </w:p>
    <w:p w14:paraId="6D8A48FA" w14:textId="77777777" w:rsidR="00BA285B" w:rsidRPr="00CD59CC" w:rsidRDefault="00BA285B" w:rsidP="00CD59CC">
      <w:pPr>
        <w:rPr>
          <w:rFonts w:ascii="Arial" w:hAnsi="Arial" w:cs="Arial"/>
        </w:rPr>
      </w:pPr>
      <w:r w:rsidRPr="00CD59CC">
        <w:rPr>
          <w:rFonts w:ascii="Arial" w:hAnsi="Arial" w:cs="Arial"/>
        </w:rPr>
        <w:t>The respondent acknowledged that the complainant’s financial conditions were appropriate, but the number of loans granted by the respondent to older people had significantly increased thus increasing the risk level of the financial institution. The Authority established direct discrimination on the ground of age, and claimed that the proceeding before deciding on loan applications shall primarily focus on the financial conditions of the applicant and not on his/her age.</w:t>
      </w:r>
      <w:r w:rsidRPr="00CD59CC">
        <w:rPr>
          <w:rStyle w:val="FootnoteReference"/>
          <w:rFonts w:ascii="Arial" w:hAnsi="Arial" w:cs="Arial"/>
        </w:rPr>
        <w:footnoteReference w:id="73"/>
      </w:r>
      <w:r w:rsidRPr="00CD59CC">
        <w:rPr>
          <w:rFonts w:ascii="Arial" w:hAnsi="Arial" w:cs="Arial"/>
        </w:rPr>
        <w:t xml:space="preserve"> </w:t>
      </w:r>
    </w:p>
    <w:p w14:paraId="6D1E9667" w14:textId="77777777" w:rsidR="00BA285B" w:rsidRPr="00CD59CC" w:rsidRDefault="00BA285B" w:rsidP="00CD59CC">
      <w:pPr>
        <w:rPr>
          <w:rFonts w:ascii="Arial" w:hAnsi="Arial" w:cs="Arial"/>
        </w:rPr>
      </w:pPr>
    </w:p>
    <w:p w14:paraId="497CE9B9" w14:textId="77777777" w:rsidR="00BA285B" w:rsidRPr="00CD59CC" w:rsidRDefault="00BA285B" w:rsidP="00CD59CC">
      <w:pPr>
        <w:rPr>
          <w:rFonts w:ascii="Arial" w:hAnsi="Arial" w:cs="Arial"/>
        </w:rPr>
      </w:pPr>
      <w:r w:rsidRPr="00CD59CC">
        <w:rPr>
          <w:rFonts w:ascii="Arial" w:hAnsi="Arial" w:cs="Arial"/>
        </w:rPr>
        <w:t xml:space="preserve">Differences of treatment based on age or disability in the provision of financial services may however be justified in actual individual cases on the basis of the general exempting rule, namely Article 7 Paragraph (2) b), which stipulates that differentiation found by objective consideration to have a reasonable ground directly </w:t>
      </w:r>
      <w:r w:rsidRPr="00CD59CC">
        <w:rPr>
          <w:rFonts w:ascii="Arial" w:hAnsi="Arial" w:cs="Arial"/>
        </w:rPr>
        <w:lastRenderedPageBreak/>
        <w:t xml:space="preserve">related to the relevant legal relation shall not constitute discrimination, if the concerned person’s right limited by the differentiation is not one of the fundamental rights. This more lenient test may be applied in such cases, as access to goods and services is not regarded as a fundamental right (as opposed to the right to education or employment, for instance). </w:t>
      </w:r>
    </w:p>
    <w:p w14:paraId="581F453B" w14:textId="77777777" w:rsidR="00012B00" w:rsidRPr="00CD59CC" w:rsidRDefault="00012B00" w:rsidP="00CD59CC">
      <w:pPr>
        <w:rPr>
          <w:rFonts w:ascii="Arial" w:hAnsi="Arial" w:cs="Arial"/>
        </w:rPr>
      </w:pPr>
    </w:p>
    <w:p w14:paraId="42AFDF45" w14:textId="77777777" w:rsidR="002B5BCD" w:rsidRPr="00CD59CC" w:rsidRDefault="00CD59CC" w:rsidP="00CD59CC">
      <w:pPr>
        <w:pStyle w:val="Heading3"/>
        <w:rPr>
          <w:rFonts w:cs="Arial"/>
        </w:rPr>
      </w:pPr>
      <w:bookmarkStart w:id="183" w:name="_Toc220221160"/>
      <w:bookmarkStart w:id="184" w:name="_Toc392758730"/>
      <w:bookmarkStart w:id="185" w:name="_Toc329163622"/>
      <w:bookmarkStart w:id="186" w:name="_Toc366846340"/>
      <w:r>
        <w:rPr>
          <w:rFonts w:cs="Arial"/>
        </w:rPr>
        <w:t>H</w:t>
      </w:r>
      <w:r w:rsidR="002B5BCD" w:rsidRPr="00CD59CC">
        <w:rPr>
          <w:rFonts w:cs="Arial"/>
        </w:rPr>
        <w:t>ousing (Article 3(1)(h) Directive 2000/43)</w:t>
      </w:r>
      <w:bookmarkEnd w:id="183"/>
      <w:bookmarkEnd w:id="184"/>
      <w:bookmarkEnd w:id="185"/>
      <w:bookmarkEnd w:id="186"/>
    </w:p>
    <w:p w14:paraId="7015370D" w14:textId="77777777" w:rsidR="002B5BCD" w:rsidRPr="00CD59CC" w:rsidRDefault="002B5BCD" w:rsidP="00CD59CC">
      <w:pPr>
        <w:rPr>
          <w:rFonts w:ascii="Arial" w:hAnsi="Arial" w:cs="Arial"/>
        </w:rPr>
      </w:pPr>
    </w:p>
    <w:p w14:paraId="78EDD785" w14:textId="77777777" w:rsidR="00EF696E" w:rsidRPr="00B97ED3" w:rsidRDefault="00EF696E" w:rsidP="00CD59CC">
      <w:pPr>
        <w:rPr>
          <w:rFonts w:ascii="Arial" w:hAnsi="Arial" w:cs="Arial"/>
          <w:i/>
        </w:rPr>
      </w:pPr>
      <w:r w:rsidRPr="00B97ED3">
        <w:rPr>
          <w:rFonts w:ascii="Arial" w:hAnsi="Arial" w:cs="Arial"/>
          <w:i/>
        </w:rPr>
        <w:t>Does national law on discrimination cover housing? In case national anti-discrimination law does not do so, is it dealt with in any other legislation?</w:t>
      </w:r>
    </w:p>
    <w:p w14:paraId="5771F570" w14:textId="77777777" w:rsidR="00EF696E" w:rsidRPr="00CD59CC" w:rsidRDefault="00EF696E" w:rsidP="00CD59CC">
      <w:pPr>
        <w:rPr>
          <w:rFonts w:ascii="Arial" w:hAnsi="Arial" w:cs="Arial"/>
        </w:rPr>
      </w:pPr>
    </w:p>
    <w:p w14:paraId="49E1A7B9" w14:textId="77777777" w:rsidR="002B5BCD" w:rsidRPr="00BB4E9F" w:rsidRDefault="002B5BCD" w:rsidP="00CD59CC">
      <w:pPr>
        <w:pStyle w:val="PlainText"/>
        <w:rPr>
          <w:rFonts w:ascii="Arial" w:hAnsi="Arial"/>
          <w:i/>
          <w:sz w:val="24"/>
          <w:lang w:val="en-US"/>
        </w:rPr>
      </w:pPr>
      <w:r w:rsidRPr="00CD59CC">
        <w:rPr>
          <w:rFonts w:ascii="Arial" w:hAnsi="Arial" w:cs="Arial"/>
          <w:i/>
          <w:sz w:val="24"/>
          <w:szCs w:val="24"/>
          <w:lang w:val="en-GB"/>
        </w:rPr>
        <w:t>To which aspects of housing does the law apply? Are there any exceptions?</w:t>
      </w:r>
      <w:r w:rsidRPr="00BB4E9F">
        <w:rPr>
          <w:rFonts w:ascii="Arial" w:hAnsi="Arial"/>
          <w:sz w:val="24"/>
          <w:lang w:val="en-US"/>
        </w:rPr>
        <w:t xml:space="preserve"> </w:t>
      </w:r>
      <w:r w:rsidRPr="00BB4E9F">
        <w:rPr>
          <w:rFonts w:ascii="Arial" w:hAnsi="Arial"/>
          <w:i/>
          <w:sz w:val="24"/>
          <w:lang w:val="en-US"/>
        </w:rPr>
        <w:t>Please also consider cases and patterns of housing segregation and discrimination against the Roma and other minorities or groups, and the extent to which the law requires or promotes the availability of housing which is accessible to people with disabilities and older people.</w:t>
      </w:r>
    </w:p>
    <w:p w14:paraId="70EC3C78" w14:textId="77777777" w:rsidR="002B5BCD" w:rsidRPr="00CD59CC" w:rsidRDefault="002B5BCD" w:rsidP="00CD59CC">
      <w:pPr>
        <w:rPr>
          <w:rFonts w:ascii="Arial" w:hAnsi="Arial" w:cs="Arial"/>
        </w:rPr>
      </w:pPr>
    </w:p>
    <w:p w14:paraId="31D8C6C0" w14:textId="77777777" w:rsidR="00BA285B" w:rsidRPr="00CD59CC" w:rsidRDefault="00BA285B" w:rsidP="00CD59CC">
      <w:pPr>
        <w:pStyle w:val="BodyText"/>
        <w:rPr>
          <w:rFonts w:ascii="Arial" w:hAnsi="Arial" w:cs="Arial"/>
          <w:i w:val="0"/>
          <w:lang w:val="en-GB"/>
        </w:rPr>
      </w:pPr>
      <w:r w:rsidRPr="00CD59CC">
        <w:rPr>
          <w:rFonts w:ascii="Arial" w:hAnsi="Arial" w:cs="Arial"/>
          <w:i w:val="0"/>
          <w:lang w:val="en-GB"/>
        </w:rPr>
        <w:t xml:space="preserve">Discrimination in housing is forbidden by Article 26 of the ETA, which runs as follows. </w:t>
      </w:r>
    </w:p>
    <w:p w14:paraId="644D70AA" w14:textId="77777777" w:rsidR="00BA285B" w:rsidRPr="00CD59CC" w:rsidRDefault="00BA285B" w:rsidP="00CD59CC">
      <w:pPr>
        <w:pStyle w:val="BodyText"/>
        <w:rPr>
          <w:rFonts w:ascii="Arial" w:hAnsi="Arial" w:cs="Arial"/>
          <w:i w:val="0"/>
          <w:lang w:val="en-GB"/>
        </w:rPr>
      </w:pPr>
    </w:p>
    <w:p w14:paraId="09E81D73" w14:textId="77777777" w:rsidR="00BA285B" w:rsidRPr="00BB4E9F" w:rsidRDefault="00BA285B" w:rsidP="00CD59CC">
      <w:pPr>
        <w:pStyle w:val="BodyText"/>
        <w:tabs>
          <w:tab w:val="left" w:pos="1134"/>
        </w:tabs>
        <w:ind w:left="1134" w:hanging="567"/>
        <w:rPr>
          <w:rFonts w:ascii="Arial" w:hAnsi="Arial"/>
          <w:lang w:val="en-GB"/>
        </w:rPr>
      </w:pPr>
      <w:r w:rsidRPr="00BB4E9F">
        <w:rPr>
          <w:rFonts w:ascii="Arial" w:hAnsi="Arial"/>
          <w:lang w:val="en-GB"/>
        </w:rPr>
        <w:t xml:space="preserve">“(1) </w:t>
      </w:r>
      <w:r w:rsidRPr="00BB4E9F">
        <w:rPr>
          <w:rFonts w:ascii="Arial" w:hAnsi="Arial"/>
          <w:lang w:val="en-GB"/>
        </w:rPr>
        <w:tab/>
        <w:t xml:space="preserve">It is a particular violation of the principle of equal treatment when any persons because of their characteristics defined in Article 8 are </w:t>
      </w:r>
    </w:p>
    <w:p w14:paraId="28BE89A3" w14:textId="77777777" w:rsidR="00BA285B" w:rsidRPr="00BB4E9F" w:rsidRDefault="00BA285B" w:rsidP="007B4138">
      <w:pPr>
        <w:pStyle w:val="BodyText"/>
        <w:numPr>
          <w:ilvl w:val="0"/>
          <w:numId w:val="53"/>
        </w:numPr>
        <w:tabs>
          <w:tab w:val="clear" w:pos="567"/>
          <w:tab w:val="num" w:pos="1701"/>
        </w:tabs>
        <w:suppressAutoHyphens/>
        <w:ind w:left="1701"/>
        <w:rPr>
          <w:rFonts w:ascii="Arial" w:hAnsi="Arial"/>
          <w:lang w:val="en-GB"/>
        </w:rPr>
      </w:pPr>
      <w:r w:rsidRPr="00BB4E9F">
        <w:rPr>
          <w:rFonts w:ascii="Arial" w:hAnsi="Arial"/>
          <w:lang w:val="en-GB"/>
        </w:rPr>
        <w:t xml:space="preserve">inflicted with direct or indirect discrimination in respect of the granting of housing subsidies, benefits, interest subsidies by the state or a municipality, </w:t>
      </w:r>
    </w:p>
    <w:p w14:paraId="30B30948" w14:textId="77777777" w:rsidR="00BA285B" w:rsidRPr="00BB4E9F" w:rsidRDefault="00BA285B" w:rsidP="007B4138">
      <w:pPr>
        <w:pStyle w:val="BodyText"/>
        <w:numPr>
          <w:ilvl w:val="0"/>
          <w:numId w:val="53"/>
        </w:numPr>
        <w:tabs>
          <w:tab w:val="clear" w:pos="567"/>
          <w:tab w:val="num" w:pos="1701"/>
        </w:tabs>
        <w:suppressAutoHyphens/>
        <w:ind w:left="1701"/>
        <w:rPr>
          <w:rFonts w:ascii="Arial" w:hAnsi="Arial"/>
          <w:lang w:val="en-GB"/>
        </w:rPr>
      </w:pPr>
      <w:r w:rsidRPr="00BB4E9F">
        <w:rPr>
          <w:rFonts w:ascii="Arial" w:hAnsi="Arial"/>
          <w:lang w:val="en-GB"/>
        </w:rPr>
        <w:t>put in a disadvantageous position in determining the conditions of sale or leasing of state-owned or municipal housing and plots.</w:t>
      </w:r>
    </w:p>
    <w:p w14:paraId="5F77EB8B" w14:textId="77777777" w:rsidR="00BA285B" w:rsidRPr="00BB4E9F" w:rsidRDefault="00BA285B" w:rsidP="00CD59CC">
      <w:pPr>
        <w:pStyle w:val="BodyText"/>
        <w:tabs>
          <w:tab w:val="left" w:pos="1134"/>
        </w:tabs>
        <w:ind w:left="1134" w:hanging="567"/>
        <w:rPr>
          <w:rFonts w:ascii="Arial" w:hAnsi="Arial"/>
          <w:lang w:val="en-GB"/>
        </w:rPr>
      </w:pPr>
      <w:r w:rsidRPr="00BB4E9F">
        <w:rPr>
          <w:rFonts w:ascii="Arial" w:hAnsi="Arial"/>
          <w:lang w:val="en-GB"/>
        </w:rPr>
        <w:t>(2)</w:t>
      </w:r>
      <w:r w:rsidRPr="00BB4E9F">
        <w:rPr>
          <w:rFonts w:ascii="Arial" w:hAnsi="Arial"/>
          <w:lang w:val="en-GB"/>
        </w:rPr>
        <w:tab/>
        <w:t>The issuing of occupancy and other building permits by the relevant authorities shall not be denied, or tied to any conditions, based directly or indirectly on characteristics defined Article 8.</w:t>
      </w:r>
    </w:p>
    <w:p w14:paraId="16940BEA" w14:textId="77777777" w:rsidR="00BA285B" w:rsidRPr="00BB4E9F" w:rsidRDefault="00BA285B" w:rsidP="00CD59CC">
      <w:pPr>
        <w:pStyle w:val="BodyText"/>
        <w:tabs>
          <w:tab w:val="left" w:pos="1134"/>
        </w:tabs>
        <w:ind w:left="1134" w:hanging="567"/>
        <w:rPr>
          <w:rFonts w:ascii="Arial" w:hAnsi="Arial"/>
          <w:lang w:val="en-GB"/>
        </w:rPr>
      </w:pPr>
      <w:r w:rsidRPr="00BB4E9F">
        <w:rPr>
          <w:rFonts w:ascii="Arial" w:hAnsi="Arial"/>
          <w:lang w:val="en-GB"/>
        </w:rPr>
        <w:t xml:space="preserve">(3) </w:t>
      </w:r>
      <w:r w:rsidRPr="00BB4E9F">
        <w:rPr>
          <w:rFonts w:ascii="Arial" w:hAnsi="Arial"/>
          <w:lang w:val="en-GB"/>
        </w:rPr>
        <w:tab/>
        <w:t xml:space="preserve">The conditions of access to housing shall not be determined with the aim of artificially separating any particular groups based on characteristics defined in Article 8 to any settlement or part thereof, rather than by the group’s voluntary decision.” </w:t>
      </w:r>
    </w:p>
    <w:p w14:paraId="4899D05F" w14:textId="77777777" w:rsidR="00BA285B" w:rsidRPr="00CD59CC" w:rsidRDefault="00BA285B" w:rsidP="00CD59CC">
      <w:pPr>
        <w:pStyle w:val="BodyText"/>
        <w:rPr>
          <w:rFonts w:ascii="Arial" w:hAnsi="Arial" w:cs="Arial"/>
          <w:i w:val="0"/>
          <w:lang w:val="en-GB"/>
        </w:rPr>
      </w:pPr>
    </w:p>
    <w:p w14:paraId="4FDBA779" w14:textId="77777777" w:rsidR="00BA285B" w:rsidRPr="00CD59CC" w:rsidRDefault="00BA285B" w:rsidP="00CD59CC">
      <w:pPr>
        <w:pStyle w:val="BodyText"/>
        <w:rPr>
          <w:rFonts w:ascii="Arial" w:hAnsi="Arial" w:cs="Arial"/>
          <w:i w:val="0"/>
          <w:lang w:val="en-GB"/>
        </w:rPr>
      </w:pPr>
      <w:r w:rsidRPr="00CD59CC">
        <w:rPr>
          <w:rFonts w:ascii="Arial" w:hAnsi="Arial" w:cs="Arial"/>
          <w:i w:val="0"/>
          <w:lang w:val="en-GB"/>
        </w:rPr>
        <w:t xml:space="preserve">As we can see, housing discrimination is dealt with in relation to state or municipal housing. However, housing provided by private actors (e.g. the renting out of apartments) may also fall under the scope of the ETA, provided that the given private actor advertises the housing possibility publicly. </w:t>
      </w:r>
    </w:p>
    <w:p w14:paraId="38B4BA6E" w14:textId="77777777" w:rsidR="00BA285B" w:rsidRPr="00CD59CC" w:rsidRDefault="00BA285B" w:rsidP="00CD59CC">
      <w:pPr>
        <w:pStyle w:val="BodyText"/>
        <w:rPr>
          <w:rFonts w:ascii="Arial" w:hAnsi="Arial" w:cs="Arial"/>
          <w:i w:val="0"/>
          <w:lang w:val="en-GB"/>
        </w:rPr>
      </w:pPr>
    </w:p>
    <w:p w14:paraId="0860CFE7" w14:textId="77777777" w:rsidR="00BA285B" w:rsidRPr="00CD59CC" w:rsidRDefault="00BA285B" w:rsidP="00CD59CC">
      <w:pPr>
        <w:pStyle w:val="BodyText"/>
        <w:rPr>
          <w:rFonts w:ascii="Arial" w:hAnsi="Arial" w:cs="Arial"/>
          <w:i w:val="0"/>
          <w:lang w:val="en-GB"/>
        </w:rPr>
      </w:pPr>
      <w:r w:rsidRPr="00CD59CC">
        <w:rPr>
          <w:rFonts w:ascii="Arial" w:hAnsi="Arial" w:cs="Arial"/>
          <w:i w:val="0"/>
          <w:lang w:val="en-GB"/>
        </w:rPr>
        <w:t xml:space="preserve">In this case the act will fall under the ETA’s ambit in accordance with Article 5, which claims that private persons shall abide by the requirement of equal treatment if they offer a public contract or make a public offer (see above, under 3.1.2). </w:t>
      </w:r>
    </w:p>
    <w:p w14:paraId="7E41F2B5" w14:textId="51D0BDEC" w:rsidR="00BA285B" w:rsidRPr="00CD59CC" w:rsidRDefault="00BA285B" w:rsidP="00CD59CC">
      <w:pPr>
        <w:pStyle w:val="BodyText"/>
        <w:rPr>
          <w:rFonts w:ascii="Arial" w:hAnsi="Arial" w:cs="Arial"/>
          <w:i w:val="0"/>
          <w:iCs w:val="0"/>
          <w:lang w:val="en-GB"/>
        </w:rPr>
      </w:pPr>
      <w:r w:rsidRPr="00CD59CC">
        <w:rPr>
          <w:rFonts w:ascii="Arial" w:hAnsi="Arial" w:cs="Arial"/>
          <w:i w:val="0"/>
          <w:lang w:val="en-GB"/>
        </w:rPr>
        <w:lastRenderedPageBreak/>
        <w:t>With regard to the issue of housing it needs to be pointed out that in Hungary, the proportion of social housing (8%) is way below the EU average (33%</w:t>
      </w:r>
      <w:r w:rsidRPr="00CD59CC">
        <w:rPr>
          <w:rFonts w:ascii="Arial" w:hAnsi="Arial" w:cs="Arial"/>
          <w:i w:val="0"/>
          <w:iCs w:val="0"/>
          <w:lang w:val="en-GB"/>
        </w:rPr>
        <w:t>).</w:t>
      </w:r>
      <w:r w:rsidRPr="00CD59CC">
        <w:rPr>
          <w:rStyle w:val="Lbjegyzet-karakterek"/>
          <w:rFonts w:ascii="Arial" w:hAnsi="Arial" w:cs="Arial"/>
          <w:i w:val="0"/>
          <w:lang w:val="en-GB"/>
        </w:rPr>
        <w:footnoteReference w:id="74"/>
      </w:r>
      <w:r w:rsidRPr="00CD59CC">
        <w:rPr>
          <w:rFonts w:ascii="Arial" w:hAnsi="Arial" w:cs="Arial"/>
          <w:i w:val="0"/>
          <w:iCs w:val="0"/>
          <w:lang w:val="en-GB"/>
        </w:rPr>
        <w:t xml:space="preserve"> The proportion of housing owned by local councils (providing a basis for social housing) has decreased from 4.6% in 2001 to 3% in 2012.</w:t>
      </w:r>
      <w:r w:rsidRPr="00CD59CC">
        <w:rPr>
          <w:rStyle w:val="FootnoteReference"/>
          <w:rFonts w:ascii="Arial" w:hAnsi="Arial" w:cs="Arial"/>
          <w:i w:val="0"/>
          <w:iCs w:val="0"/>
          <w:lang w:val="en-GB"/>
        </w:rPr>
        <w:footnoteReference w:id="75"/>
      </w:r>
      <w:r w:rsidRPr="00CD59CC">
        <w:rPr>
          <w:rFonts w:ascii="Arial" w:hAnsi="Arial" w:cs="Arial"/>
          <w:i w:val="0"/>
          <w:iCs w:val="0"/>
          <w:lang w:val="en-GB"/>
        </w:rPr>
        <w:t xml:space="preserve"> Th</w:t>
      </w:r>
      <w:r w:rsidRPr="00CD59CC">
        <w:rPr>
          <w:rFonts w:ascii="Arial" w:hAnsi="Arial" w:cs="Arial"/>
          <w:i w:val="0"/>
          <w:lang w:val="en-GB"/>
        </w:rPr>
        <w:t xml:space="preserve">e lack of social housing has a very negative impact on the housing conditions of the marginalised Roma groups, significantly reducing their chances to find a way out from the segregated Roma </w:t>
      </w:r>
      <w:r w:rsidRPr="00CD59CC">
        <w:rPr>
          <w:rFonts w:ascii="Arial" w:hAnsi="Arial" w:cs="Arial"/>
          <w:i w:val="0"/>
          <w:iCs w:val="0"/>
          <w:lang w:val="en-GB"/>
        </w:rPr>
        <w:t>neighbourhoods and settlements</w:t>
      </w:r>
      <w:r w:rsidR="002D154F" w:rsidRPr="00CD59CC">
        <w:rPr>
          <w:rFonts w:ascii="Arial" w:hAnsi="Arial" w:cs="Arial"/>
          <w:i w:val="0"/>
          <w:iCs w:val="0"/>
          <w:lang w:val="en-GB"/>
        </w:rPr>
        <w:t>.</w:t>
      </w:r>
      <w:r w:rsidRPr="00CD59CC">
        <w:rPr>
          <w:rStyle w:val="Lbjegyzet-karakterek"/>
          <w:rFonts w:ascii="Arial" w:hAnsi="Arial" w:cs="Arial"/>
          <w:i w:val="0"/>
          <w:lang w:val="en-GB"/>
        </w:rPr>
        <w:footnoteReference w:id="76"/>
      </w:r>
      <w:r w:rsidRPr="00CD59CC">
        <w:rPr>
          <w:rFonts w:ascii="Arial" w:hAnsi="Arial" w:cs="Arial"/>
          <w:i w:val="0"/>
          <w:iCs w:val="0"/>
          <w:lang w:val="en-GB"/>
        </w:rPr>
        <w:t xml:space="preserve"> </w:t>
      </w:r>
    </w:p>
    <w:p w14:paraId="4308F9EC" w14:textId="77777777" w:rsidR="002D154F" w:rsidRPr="00E34CF1" w:rsidRDefault="002D154F" w:rsidP="00BB4E9F">
      <w:pPr>
        <w:pStyle w:val="BodyText"/>
        <w:rPr>
          <w:rFonts w:ascii="Arial" w:hAnsi="Arial"/>
          <w:lang w:val="en-GB"/>
        </w:rPr>
      </w:pPr>
    </w:p>
    <w:p w14:paraId="4A68A96D" w14:textId="77777777" w:rsidR="00FC0A27" w:rsidRPr="00CD59CC" w:rsidRDefault="00FC0A27" w:rsidP="00CD59CC">
      <w:pPr>
        <w:pStyle w:val="Csakszveg1"/>
        <w:ind w:left="12" w:hanging="12"/>
        <w:rPr>
          <w:rFonts w:ascii="Arial" w:hAnsi="Arial" w:cs="Arial"/>
          <w:sz w:val="24"/>
          <w:szCs w:val="24"/>
          <w:lang w:val="en-GB"/>
        </w:rPr>
      </w:pPr>
      <w:r w:rsidRPr="00CD59CC">
        <w:rPr>
          <w:rFonts w:ascii="Arial" w:hAnsi="Arial" w:cs="Arial"/>
          <w:sz w:val="24"/>
          <w:szCs w:val="24"/>
          <w:lang w:val="en-GB"/>
        </w:rPr>
        <w:t xml:space="preserve">As to patterns and cases in housing discrimination and segregation, the following can be said. </w:t>
      </w:r>
    </w:p>
    <w:p w14:paraId="2C389A82" w14:textId="77777777" w:rsidR="00FC0A27" w:rsidRPr="00CD59CC" w:rsidRDefault="00FC0A27" w:rsidP="00CD59CC">
      <w:pPr>
        <w:pStyle w:val="BodyText"/>
        <w:rPr>
          <w:rFonts w:ascii="Arial" w:hAnsi="Arial" w:cs="Arial"/>
          <w:i w:val="0"/>
          <w:iCs w:val="0"/>
          <w:lang w:val="en-GB"/>
        </w:rPr>
      </w:pPr>
    </w:p>
    <w:p w14:paraId="128C33E3" w14:textId="77777777" w:rsidR="002D154F" w:rsidRPr="00CD59CC" w:rsidRDefault="002D154F" w:rsidP="00CD59CC">
      <w:pPr>
        <w:pStyle w:val="BodyText"/>
        <w:rPr>
          <w:rFonts w:ascii="Arial" w:hAnsi="Arial" w:cs="Arial"/>
          <w:i w:val="0"/>
          <w:iCs w:val="0"/>
          <w:lang w:val="en-GB"/>
        </w:rPr>
      </w:pPr>
      <w:r w:rsidRPr="00CD59CC">
        <w:rPr>
          <w:rFonts w:ascii="Arial" w:hAnsi="Arial" w:cs="Arial"/>
          <w:i w:val="0"/>
          <w:iCs w:val="0"/>
          <w:lang w:val="en-GB"/>
        </w:rPr>
        <w:t xml:space="preserve">According to </w:t>
      </w:r>
      <w:r w:rsidR="00FC0A27" w:rsidRPr="00CD59CC">
        <w:rPr>
          <w:rFonts w:ascii="Arial" w:hAnsi="Arial" w:cs="Arial"/>
          <w:i w:val="0"/>
          <w:iCs w:val="0"/>
          <w:lang w:val="en-GB"/>
        </w:rPr>
        <w:t xml:space="preserve">a monitoring report written by civil society organisations on </w:t>
      </w:r>
      <w:r w:rsidRPr="00CD59CC">
        <w:rPr>
          <w:rFonts w:ascii="Arial" w:hAnsi="Arial" w:cs="Arial"/>
          <w:i w:val="0"/>
          <w:iCs w:val="0"/>
          <w:lang w:val="en-GB"/>
        </w:rPr>
        <w:t xml:space="preserve">the </w:t>
      </w:r>
      <w:r w:rsidR="00FC0A27" w:rsidRPr="00CD59CC">
        <w:rPr>
          <w:rFonts w:ascii="Arial" w:hAnsi="Arial" w:cs="Arial"/>
          <w:i w:val="0"/>
          <w:iCs w:val="0"/>
          <w:lang w:val="en-GB"/>
        </w:rPr>
        <w:t>i</w:t>
      </w:r>
      <w:r w:rsidRPr="00CD59CC">
        <w:rPr>
          <w:rFonts w:ascii="Arial" w:hAnsi="Arial" w:cs="Arial"/>
          <w:i w:val="0"/>
          <w:iCs w:val="0"/>
          <w:lang w:val="en-GB"/>
        </w:rPr>
        <w:t xml:space="preserve">mplementation of </w:t>
      </w:r>
      <w:r w:rsidR="00FC0A27" w:rsidRPr="00CD59CC">
        <w:rPr>
          <w:rFonts w:ascii="Arial" w:hAnsi="Arial" w:cs="Arial"/>
          <w:i w:val="0"/>
          <w:iCs w:val="0"/>
          <w:lang w:val="en-GB"/>
        </w:rPr>
        <w:t xml:space="preserve">Hungary’s </w:t>
      </w:r>
      <w:r w:rsidRPr="00CD59CC">
        <w:rPr>
          <w:rFonts w:ascii="Arial" w:hAnsi="Arial" w:cs="Arial"/>
          <w:i w:val="0"/>
          <w:iCs w:val="0"/>
          <w:lang w:val="en-GB"/>
        </w:rPr>
        <w:t xml:space="preserve">National Roma Integration Strategy </w:t>
      </w:r>
      <w:r w:rsidR="00FC0A27" w:rsidRPr="00CD59CC">
        <w:rPr>
          <w:rFonts w:ascii="Arial" w:hAnsi="Arial" w:cs="Arial"/>
          <w:i w:val="0"/>
          <w:iCs w:val="0"/>
          <w:lang w:val="en-GB"/>
        </w:rPr>
        <w:t>and Decade Action Plan in 2012, “t</w:t>
      </w:r>
      <w:r w:rsidRPr="00CD59CC">
        <w:rPr>
          <w:rFonts w:ascii="Arial" w:hAnsi="Arial" w:cs="Arial"/>
          <w:i w:val="0"/>
          <w:iCs w:val="0"/>
          <w:lang w:val="en-GB"/>
        </w:rPr>
        <w:t>he housing situation of the Roma is significantly worse than that of the average population. According to the 2011 Survey carried out by UNDP,</w:t>
      </w:r>
      <w:r w:rsidR="00FC0A27" w:rsidRPr="00CD59CC">
        <w:rPr>
          <w:rFonts w:ascii="Arial" w:hAnsi="Arial" w:cs="Arial"/>
          <w:i w:val="0"/>
          <w:iCs w:val="0"/>
          <w:lang w:val="en-GB"/>
        </w:rPr>
        <w:t xml:space="preserve"> </w:t>
      </w:r>
      <w:r w:rsidRPr="00CD59CC">
        <w:rPr>
          <w:rFonts w:ascii="Arial" w:hAnsi="Arial" w:cs="Arial"/>
          <w:i w:val="0"/>
          <w:iCs w:val="0"/>
          <w:lang w:val="en-GB"/>
        </w:rPr>
        <w:t xml:space="preserve">29% of Roma live in bad quality (run down) homes or in ghettos (as opposed to 8% of the non-Romani population); 30% of them have no access to good quality/public water supply, and one-third of them have no access to public sewer, whereas these circumstances apply to only 8 and 12% of the non-Romani population, respectively. Most of the Romani households (81%) use wood for heating, while only half of non-Romani households do so. </w:t>
      </w:r>
      <w:r w:rsidR="00FC0A27" w:rsidRPr="00CD59CC">
        <w:rPr>
          <w:rFonts w:ascii="Arial" w:hAnsi="Arial" w:cs="Arial"/>
          <w:i w:val="0"/>
          <w:iCs w:val="0"/>
          <w:lang w:val="en-GB"/>
        </w:rPr>
        <w:t xml:space="preserve">[...] </w:t>
      </w:r>
      <w:r w:rsidRPr="00CD59CC">
        <w:rPr>
          <w:rFonts w:ascii="Arial" w:hAnsi="Arial" w:cs="Arial"/>
          <w:i w:val="0"/>
          <w:iCs w:val="0"/>
          <w:lang w:val="en-GB"/>
        </w:rPr>
        <w:t xml:space="preserve">Half (52%) of the Roma live in households with arrears of some sort, mainly with water and electricity utilities. </w:t>
      </w:r>
      <w:r w:rsidR="00FC0A27" w:rsidRPr="00CD59CC">
        <w:rPr>
          <w:rFonts w:ascii="Arial" w:hAnsi="Arial" w:cs="Arial"/>
          <w:i w:val="0"/>
          <w:iCs w:val="0"/>
          <w:lang w:val="en-GB"/>
        </w:rPr>
        <w:t>[...]</w:t>
      </w:r>
    </w:p>
    <w:p w14:paraId="27AF49F5" w14:textId="77777777" w:rsidR="00FC0A27" w:rsidRPr="00CD59CC" w:rsidRDefault="00FC0A27" w:rsidP="00CD59CC">
      <w:pPr>
        <w:pStyle w:val="BodyText"/>
        <w:rPr>
          <w:rFonts w:ascii="Arial" w:hAnsi="Arial" w:cs="Arial"/>
          <w:i w:val="0"/>
          <w:iCs w:val="0"/>
          <w:lang w:val="en-GB"/>
        </w:rPr>
      </w:pPr>
    </w:p>
    <w:p w14:paraId="0AB50237" w14:textId="77777777" w:rsidR="002D154F" w:rsidRPr="00CD59CC" w:rsidRDefault="002D154F" w:rsidP="00CD59CC">
      <w:pPr>
        <w:pStyle w:val="BodyText"/>
        <w:rPr>
          <w:rFonts w:ascii="Arial" w:hAnsi="Arial" w:cs="Arial"/>
          <w:i w:val="0"/>
          <w:iCs w:val="0"/>
          <w:lang w:val="en-GB"/>
        </w:rPr>
      </w:pPr>
      <w:r w:rsidRPr="00CD59CC">
        <w:rPr>
          <w:rFonts w:ascii="Arial" w:hAnsi="Arial" w:cs="Arial"/>
          <w:i w:val="0"/>
          <w:iCs w:val="0"/>
          <w:lang w:val="en-GB"/>
        </w:rPr>
        <w:t>According to data of a 2010 Survey,</w:t>
      </w:r>
      <w:r w:rsidR="00FC0A27" w:rsidRPr="00CD59CC">
        <w:rPr>
          <w:rFonts w:ascii="Arial" w:hAnsi="Arial" w:cs="Arial"/>
          <w:i w:val="0"/>
          <w:iCs w:val="0"/>
          <w:lang w:val="en-GB"/>
        </w:rPr>
        <w:t xml:space="preserve"> </w:t>
      </w:r>
      <w:r w:rsidRPr="00CD59CC">
        <w:rPr>
          <w:rFonts w:ascii="Arial" w:hAnsi="Arial" w:cs="Arial"/>
          <w:i w:val="0"/>
          <w:iCs w:val="0"/>
          <w:lang w:val="en-GB"/>
        </w:rPr>
        <w:t>a total of 1633 ghettos inhabited by poor or Romani people are located in 823 settlements and in 10 districts of the capital city, that is, in one-fourth of all settlements. 60% of the ghettos are located in (large) villages. A total of 280-315 thousand people (3% of the total population of the country) live in those ghettoes. Two-thirds of the ghettos are located on the periphery of settlements and 14% of them in areas which are defined as a non-residential area by the given local governments. In half of the ghettos more than 75 people live, and one thousand or more people live in 49 ghettos. In 16% of ghettos there is no access to piped water supply, and in 77 ghettos there is no public tap. 184 ghettos cannot be accessed through surfaced roads, and a surfaced road leads to only the edge of 422 of them; there is no public lighting in 118 segregated neighbourhoods</w:t>
      </w:r>
      <w:r w:rsidR="00FC0A27" w:rsidRPr="00CD59CC">
        <w:rPr>
          <w:rFonts w:ascii="Arial" w:hAnsi="Arial" w:cs="Arial"/>
          <w:i w:val="0"/>
          <w:iCs w:val="0"/>
          <w:lang w:val="en-GB"/>
        </w:rPr>
        <w:t>.”</w:t>
      </w:r>
      <w:r w:rsidR="00FC0A27" w:rsidRPr="00CD59CC">
        <w:rPr>
          <w:rStyle w:val="FootnoteReference"/>
          <w:rFonts w:ascii="Arial" w:hAnsi="Arial" w:cs="Arial"/>
          <w:i w:val="0"/>
          <w:iCs w:val="0"/>
          <w:lang w:val="en-GB"/>
        </w:rPr>
        <w:footnoteReference w:id="77"/>
      </w:r>
    </w:p>
    <w:p w14:paraId="5D22B306" w14:textId="77777777" w:rsidR="00BA285B" w:rsidRPr="00CD59CC" w:rsidRDefault="00BA285B" w:rsidP="00CD59CC">
      <w:pPr>
        <w:pStyle w:val="Csakszveg1"/>
        <w:ind w:left="12" w:hanging="12"/>
        <w:rPr>
          <w:rFonts w:ascii="Arial" w:hAnsi="Arial" w:cs="Arial"/>
          <w:sz w:val="24"/>
          <w:szCs w:val="24"/>
          <w:lang w:val="en-GB"/>
        </w:rPr>
      </w:pPr>
    </w:p>
    <w:p w14:paraId="173ACC1E" w14:textId="77777777" w:rsidR="00BA285B" w:rsidRPr="00CD59CC" w:rsidRDefault="00BA285B" w:rsidP="00CD59CC">
      <w:pPr>
        <w:pStyle w:val="BodyText"/>
        <w:rPr>
          <w:rFonts w:ascii="Arial" w:hAnsi="Arial" w:cs="Arial"/>
          <w:i w:val="0"/>
          <w:iCs w:val="0"/>
          <w:lang w:val="en-GB"/>
        </w:rPr>
      </w:pPr>
      <w:r w:rsidRPr="00CD59CC">
        <w:rPr>
          <w:rFonts w:ascii="Arial" w:hAnsi="Arial" w:cs="Arial"/>
          <w:i w:val="0"/>
          <w:iCs w:val="0"/>
          <w:lang w:val="en-GB"/>
        </w:rPr>
        <w:t xml:space="preserve">In 2008, 13% of the complaints submitted to the Minorities Ombudsman concerned (mainly municipal) housing. While the Ombudsman could not in any of the cases establish beyond reasonable doubt that discrimination based on ethnicity had taken place, some cases raised the strong suspicion of ethnic discrimination, such as the one in which a Roma family’s rental contract was terminated by the local council </w:t>
      </w:r>
      <w:r w:rsidRPr="00CD59CC">
        <w:rPr>
          <w:rFonts w:ascii="Arial" w:hAnsi="Arial" w:cs="Arial"/>
          <w:i w:val="0"/>
          <w:iCs w:val="0"/>
          <w:lang w:val="en-GB"/>
        </w:rPr>
        <w:lastRenderedPageBreak/>
        <w:t>based on the ground that they had not respected the rules of cohabitation, although they had always paid the rent and other costs in a timely manner and with the exception of one non-Roma family (which had on numerous occasions expressed their anti-Roma sentiments) no neighbour had ever complained about their behaviour (in fact, one of the non-Roma neighbours contacted the local council in favour of the Roma family, when plans to terminate their contract became known). After the Minorities Ombudsman’s intervention the local council revised their decision, and reinstated the Roma-family’s rental contract.</w:t>
      </w:r>
      <w:r w:rsidRPr="00CD59CC">
        <w:rPr>
          <w:rStyle w:val="FootnoteReference"/>
          <w:rFonts w:ascii="Arial" w:hAnsi="Arial" w:cs="Arial"/>
          <w:i w:val="0"/>
          <w:iCs w:val="0"/>
          <w:lang w:val="en-GB"/>
        </w:rPr>
        <w:footnoteReference w:id="78"/>
      </w:r>
      <w:r w:rsidRPr="00CD59CC">
        <w:rPr>
          <w:rFonts w:ascii="Arial" w:hAnsi="Arial" w:cs="Arial"/>
          <w:i w:val="0"/>
          <w:iCs w:val="0"/>
          <w:lang w:val="en-GB"/>
        </w:rPr>
        <w:t xml:space="preserve"> </w:t>
      </w:r>
    </w:p>
    <w:p w14:paraId="45B553B2" w14:textId="77777777" w:rsidR="00BA285B" w:rsidRPr="00CD59CC" w:rsidRDefault="00BA285B" w:rsidP="00CD59CC">
      <w:pPr>
        <w:pStyle w:val="BodyText"/>
        <w:rPr>
          <w:rFonts w:ascii="Arial" w:hAnsi="Arial" w:cs="Arial"/>
          <w:i w:val="0"/>
          <w:iCs w:val="0"/>
          <w:lang w:val="en-GB"/>
        </w:rPr>
      </w:pPr>
    </w:p>
    <w:p w14:paraId="5858A15D" w14:textId="0140C1EE" w:rsidR="00BA285B" w:rsidRPr="00CD59CC" w:rsidRDefault="00BA285B" w:rsidP="00CD59CC">
      <w:pPr>
        <w:pStyle w:val="BodyText"/>
        <w:rPr>
          <w:rFonts w:ascii="Arial" w:hAnsi="Arial" w:cs="Arial"/>
          <w:i w:val="0"/>
          <w:iCs w:val="0"/>
          <w:lang w:val="en-GB"/>
        </w:rPr>
      </w:pPr>
      <w:r w:rsidRPr="00CD59CC">
        <w:rPr>
          <w:rFonts w:ascii="Arial" w:hAnsi="Arial" w:cs="Arial"/>
          <w:i w:val="0"/>
          <w:iCs w:val="0"/>
          <w:lang w:val="en-GB"/>
        </w:rPr>
        <w:t>Throughout the years, the situation has not improved, quite on the contrary: by 2010, the proportion of complaints submitted to the Minorities Ombudsman in relation to housing had increased to 20% within the total number of complaints, and exceeded 50% within complaints related to social issues.</w:t>
      </w:r>
      <w:r w:rsidRPr="00CD59CC">
        <w:rPr>
          <w:rStyle w:val="FootnoteReference"/>
          <w:rFonts w:ascii="Arial" w:hAnsi="Arial" w:cs="Arial"/>
          <w:i w:val="0"/>
          <w:iCs w:val="0"/>
          <w:lang w:val="en-GB"/>
        </w:rPr>
        <w:footnoteReference w:id="79"/>
      </w:r>
      <w:r w:rsidRPr="00CD59CC">
        <w:rPr>
          <w:rFonts w:ascii="Arial" w:hAnsi="Arial" w:cs="Arial"/>
          <w:i w:val="0"/>
          <w:iCs w:val="0"/>
          <w:lang w:val="en-GB"/>
        </w:rPr>
        <w:t xml:space="preserve"> In a 2011 case investigated by the Deputy Responsible for Minority Rights of the Commissioner for Fundamental Rights (hereafter: Minorities Deputy Ombudsman) – the successor of the Minorities Ombudsman –, the local council of Gyöngyöspata ordered a ban on constructions and reconstructions in those areas of the settlement which are populated exclusively or mostly by Roma people. The official reason was to prevent abuses of social aid </w:t>
      </w:r>
      <w:r w:rsidR="007B7640" w:rsidRPr="00CD59CC">
        <w:rPr>
          <w:rFonts w:ascii="Arial" w:hAnsi="Arial" w:cs="Arial"/>
          <w:i w:val="0"/>
          <w:iCs w:val="0"/>
          <w:lang w:val="en-GB"/>
        </w:rPr>
        <w:t xml:space="preserve">programmes </w:t>
      </w:r>
      <w:r w:rsidRPr="00CD59CC">
        <w:rPr>
          <w:rFonts w:ascii="Arial" w:hAnsi="Arial" w:cs="Arial"/>
          <w:i w:val="0"/>
          <w:iCs w:val="0"/>
          <w:lang w:val="en-GB"/>
        </w:rPr>
        <w:t>aimed at motivating the construction and reconstruction of buildings serving the purpose housing. The Minorities Deputy Ombudsman established that due to the concerned areas, the measure constituted ethnic origin based indirect discrimination related to housing. Upon his initiative, the local council withdrew the ban.</w:t>
      </w:r>
      <w:r w:rsidRPr="00CD59CC">
        <w:rPr>
          <w:rStyle w:val="FootnoteReference"/>
          <w:rFonts w:ascii="Arial" w:hAnsi="Arial" w:cs="Arial"/>
          <w:i w:val="0"/>
          <w:iCs w:val="0"/>
          <w:lang w:val="en-GB"/>
        </w:rPr>
        <w:footnoteReference w:id="80"/>
      </w:r>
      <w:r w:rsidR="007B7640" w:rsidRPr="00CD59CC">
        <w:rPr>
          <w:rFonts w:ascii="Arial" w:hAnsi="Arial" w:cs="Arial"/>
          <w:i w:val="0"/>
          <w:iCs w:val="0"/>
          <w:lang w:val="en-GB"/>
        </w:rPr>
        <w:t xml:space="preserve"> </w:t>
      </w:r>
    </w:p>
    <w:p w14:paraId="5B33547C" w14:textId="77777777" w:rsidR="00BA285B" w:rsidRPr="00CD59CC" w:rsidRDefault="00BA285B" w:rsidP="00CD59CC">
      <w:pPr>
        <w:pStyle w:val="BodyText"/>
        <w:rPr>
          <w:rFonts w:ascii="Arial" w:hAnsi="Arial" w:cs="Arial"/>
          <w:i w:val="0"/>
          <w:iCs w:val="0"/>
          <w:lang w:val="en-GB"/>
        </w:rPr>
      </w:pPr>
    </w:p>
    <w:p w14:paraId="5B3D01DF" w14:textId="77777777" w:rsidR="00BA285B" w:rsidRPr="00CD59CC" w:rsidRDefault="00BA285B" w:rsidP="00CD59CC">
      <w:pPr>
        <w:rPr>
          <w:rFonts w:ascii="Arial" w:hAnsi="Arial" w:cs="Arial"/>
        </w:rPr>
      </w:pPr>
      <w:r w:rsidRPr="00CD59CC">
        <w:rPr>
          <w:rFonts w:ascii="Arial" w:hAnsi="Arial" w:cs="Arial"/>
        </w:rPr>
        <w:t xml:space="preserve">Although in terms of Article 17 of the RPD Act, persons with disabilities shall be entitled to choosing the form of housing that best suits their type of disability and personal circumstances, this provision is not properly implemented in practice. </w:t>
      </w:r>
    </w:p>
    <w:p w14:paraId="4E7DA645" w14:textId="77777777" w:rsidR="00BA285B" w:rsidRPr="00CD59CC" w:rsidRDefault="00BA285B" w:rsidP="00CD59CC">
      <w:pPr>
        <w:rPr>
          <w:rFonts w:ascii="Arial" w:hAnsi="Arial" w:cs="Arial"/>
        </w:rPr>
      </w:pPr>
      <w:r w:rsidRPr="00CD59CC">
        <w:rPr>
          <w:rFonts w:ascii="Arial" w:hAnsi="Arial" w:cs="Arial"/>
        </w:rPr>
        <w:t xml:space="preserve">In case no. 934/2008 for instance, a complainant – a single mother raising two children with autism – turned to the Equal Treatment Authority, because the local council was not willing to provide her with appropriate social housing. They were already living in social housing, however, the apartment was extremely small (34 sq. meters) and had no bathroom and toilet (only outside in the yard), whereas one of the children suffered from a persistent disease of the kidney. When the complainant requested the local council to provide her with housing which has a toilet inside, the council rejected her saying that there were no alternative social housing apartments. At the same time the head of the council’s social committee said in an interview that there are empty apartments in the district but they are maintained to civil servants and employees who work hard for the district. </w:t>
      </w:r>
    </w:p>
    <w:p w14:paraId="4560923D" w14:textId="77777777" w:rsidR="00BA285B" w:rsidRPr="00CD59CC" w:rsidRDefault="00BA285B" w:rsidP="00CD59CC">
      <w:pPr>
        <w:rPr>
          <w:rFonts w:ascii="Arial" w:hAnsi="Arial" w:cs="Arial"/>
        </w:rPr>
      </w:pPr>
    </w:p>
    <w:p w14:paraId="24D6FA97" w14:textId="77777777" w:rsidR="00BA285B" w:rsidRPr="00CD59CC" w:rsidRDefault="00BA285B" w:rsidP="00CD59CC">
      <w:pPr>
        <w:rPr>
          <w:rFonts w:ascii="Arial" w:hAnsi="Arial" w:cs="Arial"/>
        </w:rPr>
      </w:pPr>
      <w:r w:rsidRPr="00CD59CC">
        <w:rPr>
          <w:rFonts w:ascii="Arial" w:hAnsi="Arial" w:cs="Arial"/>
        </w:rPr>
        <w:lastRenderedPageBreak/>
        <w:t>After the complaint was made to the Authority the mayor expressed his willingness to reach a friendly settlement, and after appropriate housing was offered to the complainant, she agreed to the resolution of the case through settlement.</w:t>
      </w:r>
      <w:r w:rsidRPr="00CD59CC">
        <w:rPr>
          <w:rStyle w:val="FootnoteReference"/>
          <w:rFonts w:ascii="Arial" w:hAnsi="Arial" w:cs="Arial"/>
        </w:rPr>
        <w:footnoteReference w:id="81"/>
      </w:r>
    </w:p>
    <w:p w14:paraId="665830D2" w14:textId="77777777" w:rsidR="00012B00" w:rsidRPr="00CD59CC" w:rsidRDefault="00012B00" w:rsidP="00CD59CC">
      <w:pPr>
        <w:rPr>
          <w:rFonts w:ascii="Arial" w:hAnsi="Arial" w:cs="Arial"/>
        </w:rPr>
      </w:pPr>
    </w:p>
    <w:p w14:paraId="15A33FA7" w14:textId="77777777" w:rsidR="002B5BCD" w:rsidRPr="00CD59CC" w:rsidRDefault="00CD59CC" w:rsidP="00CD59CC">
      <w:pPr>
        <w:pStyle w:val="Heading1"/>
        <w:rPr>
          <w:rFonts w:cs="Arial"/>
        </w:rPr>
      </w:pPr>
      <w:bookmarkStart w:id="204" w:name="_Toc220221161"/>
      <w:bookmarkStart w:id="205" w:name="_Toc329163623"/>
      <w:r>
        <w:rPr>
          <w:rFonts w:cs="Arial"/>
        </w:rPr>
        <w:br w:type="page"/>
      </w:r>
      <w:bookmarkStart w:id="206" w:name="_Toc392758731"/>
      <w:bookmarkStart w:id="207" w:name="_Toc366846341"/>
      <w:r w:rsidR="002B5BCD" w:rsidRPr="00CD59CC">
        <w:rPr>
          <w:rFonts w:cs="Arial"/>
        </w:rPr>
        <w:lastRenderedPageBreak/>
        <w:t>EXCEPTIONS</w:t>
      </w:r>
      <w:bookmarkEnd w:id="204"/>
      <w:bookmarkEnd w:id="205"/>
      <w:bookmarkEnd w:id="206"/>
      <w:bookmarkEnd w:id="207"/>
    </w:p>
    <w:p w14:paraId="32CD94C1" w14:textId="77777777" w:rsidR="002B5BCD" w:rsidRPr="00CD59CC" w:rsidRDefault="002B5BCD" w:rsidP="00CD59CC">
      <w:pPr>
        <w:rPr>
          <w:rFonts w:ascii="Arial" w:hAnsi="Arial" w:cs="Arial"/>
        </w:rPr>
      </w:pPr>
    </w:p>
    <w:p w14:paraId="13D0749A" w14:textId="77777777" w:rsidR="002B5BCD" w:rsidRPr="00CD59CC" w:rsidRDefault="002B5BCD" w:rsidP="00CD59CC">
      <w:pPr>
        <w:pStyle w:val="Heading2"/>
        <w:rPr>
          <w:rFonts w:cs="Arial"/>
        </w:rPr>
      </w:pPr>
      <w:bookmarkStart w:id="208" w:name="_Toc220221162"/>
      <w:r w:rsidRPr="00CD59CC">
        <w:rPr>
          <w:rFonts w:cs="Arial"/>
        </w:rPr>
        <w:tab/>
      </w:r>
      <w:bookmarkStart w:id="209" w:name="_Toc392758732"/>
      <w:bookmarkStart w:id="210" w:name="_Toc329163624"/>
      <w:bookmarkStart w:id="211" w:name="_Toc366846342"/>
      <w:r w:rsidRPr="00CD59CC">
        <w:rPr>
          <w:rFonts w:cs="Arial"/>
        </w:rPr>
        <w:t>Genuine and determining occupational requirements (Article 4)</w:t>
      </w:r>
      <w:bookmarkEnd w:id="208"/>
      <w:bookmarkEnd w:id="209"/>
      <w:bookmarkEnd w:id="210"/>
      <w:bookmarkEnd w:id="211"/>
    </w:p>
    <w:p w14:paraId="3F15EC2C" w14:textId="77777777" w:rsidR="002B5BCD" w:rsidRPr="00CD59CC" w:rsidRDefault="002B5BCD" w:rsidP="00CD59CC">
      <w:pPr>
        <w:rPr>
          <w:rFonts w:ascii="Arial" w:hAnsi="Arial" w:cs="Arial"/>
        </w:rPr>
      </w:pPr>
    </w:p>
    <w:p w14:paraId="47121E9D" w14:textId="77777777" w:rsidR="002B5BCD" w:rsidRPr="00CD59CC" w:rsidRDefault="002B5BCD" w:rsidP="00CD59CC">
      <w:pPr>
        <w:rPr>
          <w:rFonts w:ascii="Arial" w:hAnsi="Arial" w:cs="Arial"/>
          <w:i/>
        </w:rPr>
      </w:pPr>
      <w:r w:rsidRPr="00CD59CC">
        <w:rPr>
          <w:rFonts w:ascii="Arial" w:hAnsi="Arial" w:cs="Arial"/>
          <w:i/>
        </w:rPr>
        <w:t>Does national law provide an exception for genuine and determining occupational requirements? If so, does this comply with Article 4 of Directive 2000/43 and Article 4(1) of Directive 2000/78?</w:t>
      </w:r>
    </w:p>
    <w:p w14:paraId="1D2D4394" w14:textId="77777777" w:rsidR="002B5BCD" w:rsidRPr="00CD59CC" w:rsidRDefault="002B5BCD" w:rsidP="00CD59CC">
      <w:pPr>
        <w:rPr>
          <w:rFonts w:ascii="Arial" w:hAnsi="Arial" w:cs="Arial"/>
        </w:rPr>
      </w:pPr>
    </w:p>
    <w:p w14:paraId="6C8656BC" w14:textId="77777777" w:rsidR="005B4F5C" w:rsidRPr="00CD59CC" w:rsidRDefault="005B4F5C" w:rsidP="00CD59CC">
      <w:pPr>
        <w:rPr>
          <w:rFonts w:ascii="Arial" w:hAnsi="Arial" w:cs="Arial"/>
        </w:rPr>
      </w:pPr>
      <w:r w:rsidRPr="00CD59CC">
        <w:rPr>
          <w:rFonts w:ascii="Arial" w:hAnsi="Arial" w:cs="Arial"/>
        </w:rPr>
        <w:t xml:space="preserve">Article 22 Paragraph (1) of the ETA provides an exception for genuine and determining occupational requirements (GORs), which seems to comply with the relevant provisions of the directives. It reads as follows: </w:t>
      </w:r>
    </w:p>
    <w:p w14:paraId="78BA5F8E" w14:textId="77777777" w:rsidR="005B4F5C" w:rsidRPr="00CD59CC" w:rsidRDefault="005B4F5C" w:rsidP="00CD59CC">
      <w:pPr>
        <w:rPr>
          <w:rFonts w:ascii="Arial" w:hAnsi="Arial" w:cs="Arial"/>
        </w:rPr>
      </w:pPr>
    </w:p>
    <w:p w14:paraId="20F0D521" w14:textId="77777777" w:rsidR="005B4F5C" w:rsidRPr="00BB4E9F" w:rsidRDefault="005B4F5C" w:rsidP="00CD59CC">
      <w:pPr>
        <w:ind w:left="567"/>
        <w:rPr>
          <w:rFonts w:ascii="Arial" w:hAnsi="Arial"/>
          <w:i/>
        </w:rPr>
      </w:pPr>
      <w:r w:rsidRPr="00BB4E9F">
        <w:rPr>
          <w:rFonts w:ascii="Arial" w:hAnsi="Arial"/>
          <w:i/>
        </w:rPr>
        <w:t xml:space="preserve">“The principle of equal treatment is not violated if </w:t>
      </w:r>
    </w:p>
    <w:p w14:paraId="522D2748" w14:textId="77777777" w:rsidR="005B4F5C" w:rsidRPr="00BB4E9F" w:rsidRDefault="005B4F5C" w:rsidP="007B4138">
      <w:pPr>
        <w:numPr>
          <w:ilvl w:val="1"/>
          <w:numId w:val="54"/>
        </w:numPr>
        <w:tabs>
          <w:tab w:val="left" w:pos="1701"/>
        </w:tabs>
        <w:ind w:left="1701" w:hanging="567"/>
        <w:rPr>
          <w:rFonts w:ascii="Arial" w:hAnsi="Arial"/>
          <w:i/>
        </w:rPr>
      </w:pPr>
      <w:r w:rsidRPr="00BB4E9F">
        <w:rPr>
          <w:rFonts w:ascii="Arial" w:hAnsi="Arial"/>
          <w:i/>
        </w:rPr>
        <w:t xml:space="preserve">the differentiation is proportionate, justified by the characteristics or nature of the job and is based on all relevant and legitimate terms and conditions that may be taken in consideration in the course of employment; or </w:t>
      </w:r>
    </w:p>
    <w:p w14:paraId="2948DC42" w14:textId="77777777" w:rsidR="005B4F5C" w:rsidRPr="00BB4E9F" w:rsidRDefault="005B4F5C" w:rsidP="007B4138">
      <w:pPr>
        <w:numPr>
          <w:ilvl w:val="0"/>
          <w:numId w:val="54"/>
        </w:numPr>
        <w:tabs>
          <w:tab w:val="left" w:pos="1701"/>
        </w:tabs>
        <w:ind w:left="1701" w:hanging="567"/>
        <w:rPr>
          <w:rFonts w:ascii="Arial" w:hAnsi="Arial"/>
          <w:i/>
        </w:rPr>
      </w:pPr>
      <w:r w:rsidRPr="00BB4E9F">
        <w:rPr>
          <w:rFonts w:ascii="Arial" w:hAnsi="Arial"/>
          <w:i/>
        </w:rPr>
        <w:t xml:space="preserve">the differentiation arises directly from a religious or other ideological conviction or national or ethnic origin fundamentally determining the nature of the organisation, and it is proportional and justified by the nature of the employment activity or the conditions of its pursuit.” </w:t>
      </w:r>
    </w:p>
    <w:p w14:paraId="6B36A76A" w14:textId="77777777" w:rsidR="005B4F5C" w:rsidRPr="00CD59CC" w:rsidRDefault="005B4F5C" w:rsidP="00CD59CC">
      <w:pPr>
        <w:rPr>
          <w:rFonts w:ascii="Arial" w:hAnsi="Arial" w:cs="Arial"/>
        </w:rPr>
      </w:pPr>
    </w:p>
    <w:p w14:paraId="2AC18CBD" w14:textId="77777777" w:rsidR="005B4F5C" w:rsidRPr="00CD59CC" w:rsidRDefault="005B4F5C" w:rsidP="00CD59CC">
      <w:pPr>
        <w:rPr>
          <w:rFonts w:ascii="Arial" w:hAnsi="Arial" w:cs="Arial"/>
        </w:rPr>
      </w:pPr>
      <w:r w:rsidRPr="00CD59CC">
        <w:rPr>
          <w:rFonts w:ascii="Arial" w:hAnsi="Arial" w:cs="Arial"/>
        </w:rPr>
        <w:t xml:space="preserve">Even this exempting clause is deemed non-applicable by Paragraph (2) in cases concerning equal pay for equal work, when the ground concerned is gender or racial or ethnic origin. This provision is in itself a source of unjustified differentiation, as there is no reason based on the Directives why broader justifications for unequal pay should be permissible in respect of religion, disability and sexual orientation. It is by all probability a result of hasty legislation aimed at transposing the EU </w:t>
      </w:r>
      <w:r w:rsidRPr="00CD59CC">
        <w:rPr>
          <w:rFonts w:ascii="Arial" w:hAnsi="Arial" w:cs="Arial"/>
          <w:i/>
        </w:rPr>
        <w:t>acquis</w:t>
      </w:r>
      <w:r w:rsidRPr="00CD59CC">
        <w:rPr>
          <w:rFonts w:ascii="Arial" w:hAnsi="Arial" w:cs="Arial"/>
        </w:rPr>
        <w:t xml:space="preserve"> (Directives 2000/43/EC and 2002/73/EC) which was done in an inconsistent manner, not paying due attention to the fact that the Directive 2000/78/EC also excludes differentiation in pay on these grounds. </w:t>
      </w:r>
    </w:p>
    <w:p w14:paraId="5E40F29E" w14:textId="77777777" w:rsidR="005B4F5C" w:rsidRPr="00CD59CC" w:rsidRDefault="005B4F5C" w:rsidP="00CD59CC">
      <w:pPr>
        <w:rPr>
          <w:rFonts w:ascii="Arial" w:hAnsi="Arial" w:cs="Arial"/>
        </w:rPr>
      </w:pPr>
    </w:p>
    <w:p w14:paraId="7CA88DEE" w14:textId="77777777" w:rsidR="005B4F5C" w:rsidRPr="00CD59CC" w:rsidRDefault="005B4F5C" w:rsidP="00CD59CC">
      <w:pPr>
        <w:rPr>
          <w:rFonts w:ascii="Arial" w:hAnsi="Arial" w:cs="Arial"/>
        </w:rPr>
      </w:pPr>
      <w:r w:rsidRPr="00CD59CC">
        <w:rPr>
          <w:rFonts w:ascii="Arial" w:hAnsi="Arial" w:cs="Arial"/>
        </w:rPr>
        <w:t xml:space="preserve">As suggested by domestic terminology that clearly corresponds to the relevant provisions of the directives, albeit is far more generally phrased, the legislator intended Article 22 (a) to be the equivalent of the genuine and determining occupational requirement rule, while (b) is the Hungarian version of the religious ethos exception (with an additional element that allows special institutions of national and ethnic minorities to employ people coming from that particular national and ethnic group). </w:t>
      </w:r>
    </w:p>
    <w:p w14:paraId="6959F14C" w14:textId="77777777" w:rsidR="005B4F5C" w:rsidRPr="00CD59CC" w:rsidRDefault="005B4F5C" w:rsidP="00CD59CC">
      <w:pPr>
        <w:rPr>
          <w:rFonts w:ascii="Arial" w:hAnsi="Arial" w:cs="Arial"/>
        </w:rPr>
      </w:pPr>
    </w:p>
    <w:p w14:paraId="3A8AEAF8" w14:textId="77777777" w:rsidR="005B4F5C" w:rsidRPr="00CD59CC" w:rsidRDefault="005B4F5C" w:rsidP="00CD59CC">
      <w:pPr>
        <w:rPr>
          <w:rFonts w:ascii="Arial" w:hAnsi="Arial" w:cs="Arial"/>
        </w:rPr>
      </w:pPr>
      <w:r w:rsidRPr="00CD59CC">
        <w:rPr>
          <w:rFonts w:ascii="Arial" w:hAnsi="Arial" w:cs="Arial"/>
        </w:rPr>
        <w:t xml:space="preserve">Prior to ETA Hungarian labour law contained a simple exemption under former Article 5 Paragraph (5) of the old Labour Code. This provided that “any difference of treatment clearly and directly required by the character and nature of the work shall not constitute discrimination.” </w:t>
      </w:r>
    </w:p>
    <w:p w14:paraId="7E64F751" w14:textId="77777777" w:rsidR="005B4F5C" w:rsidRPr="00CD59CC" w:rsidRDefault="005B4F5C" w:rsidP="00CD59CC">
      <w:pPr>
        <w:rPr>
          <w:rFonts w:ascii="Arial" w:hAnsi="Arial" w:cs="Arial"/>
        </w:rPr>
      </w:pPr>
    </w:p>
    <w:p w14:paraId="0270ECB8" w14:textId="77777777" w:rsidR="005B4F5C" w:rsidRPr="00CD59CC" w:rsidRDefault="005B4F5C" w:rsidP="00CD59CC">
      <w:pPr>
        <w:rPr>
          <w:rFonts w:ascii="Arial" w:hAnsi="Arial" w:cs="Arial"/>
        </w:rPr>
      </w:pPr>
      <w:r w:rsidRPr="00CD59CC">
        <w:rPr>
          <w:rFonts w:ascii="Arial" w:hAnsi="Arial" w:cs="Arial"/>
        </w:rPr>
        <w:lastRenderedPageBreak/>
        <w:t>Decision no. 97 of the Labour Law Board (</w:t>
      </w:r>
      <w:r w:rsidRPr="00CD59CC">
        <w:rPr>
          <w:rFonts w:ascii="Arial" w:hAnsi="Arial" w:cs="Arial"/>
          <w:i/>
        </w:rPr>
        <w:t>Munkaügyi Kollégium</w:t>
      </w:r>
      <w:r w:rsidRPr="00CD59CC">
        <w:rPr>
          <w:rFonts w:ascii="Arial" w:hAnsi="Arial" w:cs="Arial"/>
        </w:rPr>
        <w:t xml:space="preserve">) of the Supreme Court, interpreting this provision states: “In particular, [such difference of treatment is not prohibited] when the difference of treatment is based on essential and legitimate conditions that may be taken into consideration at the time of hiring. Consequently, the employer may only lawfully require that men fill certain occupations where the character or nature of the work, or labour conditions exclude the employment of women.” </w:t>
      </w:r>
    </w:p>
    <w:p w14:paraId="4135FFEC" w14:textId="77777777" w:rsidR="005B4F5C" w:rsidRPr="00CD59CC" w:rsidRDefault="005B4F5C" w:rsidP="00CD59CC">
      <w:pPr>
        <w:rPr>
          <w:rFonts w:ascii="Arial" w:hAnsi="Arial" w:cs="Arial"/>
        </w:rPr>
      </w:pPr>
    </w:p>
    <w:p w14:paraId="4FA7D99A" w14:textId="77777777" w:rsidR="005B4F5C" w:rsidRPr="00CD59CC" w:rsidRDefault="005B4F5C" w:rsidP="00CD59CC">
      <w:pPr>
        <w:rPr>
          <w:rFonts w:ascii="Arial" w:hAnsi="Arial" w:cs="Arial"/>
        </w:rPr>
      </w:pPr>
      <w:r w:rsidRPr="00CD59CC">
        <w:rPr>
          <w:rFonts w:ascii="Arial" w:hAnsi="Arial" w:cs="Arial"/>
        </w:rPr>
        <w:t xml:space="preserve">The above guidelines have remained valid after the coming into force of the ETA. These, when read in conjunction with Article 22 (a) ETA seem to reassure compliance with community law with regard to genuine occupational requirements. </w:t>
      </w:r>
    </w:p>
    <w:p w14:paraId="7553C3C1" w14:textId="77777777" w:rsidR="002B5BCD" w:rsidRPr="00CD59CC" w:rsidRDefault="002B5BCD" w:rsidP="00CD59CC">
      <w:pPr>
        <w:rPr>
          <w:rFonts w:ascii="Arial" w:hAnsi="Arial" w:cs="Arial"/>
        </w:rPr>
      </w:pPr>
    </w:p>
    <w:p w14:paraId="2989C903" w14:textId="77777777" w:rsidR="002B5BCD" w:rsidRPr="00CD59CC" w:rsidRDefault="002B5BCD" w:rsidP="00CD59CC">
      <w:pPr>
        <w:pStyle w:val="Heading2"/>
        <w:rPr>
          <w:rFonts w:cs="Arial"/>
        </w:rPr>
      </w:pPr>
      <w:bookmarkStart w:id="212" w:name="_Toc220221163"/>
      <w:bookmarkStart w:id="213" w:name="_Toc392758733"/>
      <w:bookmarkStart w:id="214" w:name="_Toc329163625"/>
      <w:bookmarkStart w:id="215" w:name="_Toc366846343"/>
      <w:r w:rsidRPr="00CD59CC">
        <w:rPr>
          <w:rFonts w:cs="Arial"/>
        </w:rPr>
        <w:t>Employers with an ethos based on religion or belief (Art. 4(2) Directive 2000/78)</w:t>
      </w:r>
      <w:bookmarkEnd w:id="212"/>
      <w:bookmarkEnd w:id="213"/>
      <w:bookmarkEnd w:id="214"/>
      <w:bookmarkEnd w:id="215"/>
    </w:p>
    <w:p w14:paraId="25F14258" w14:textId="77777777" w:rsidR="002B5BCD" w:rsidRPr="00CD59CC" w:rsidRDefault="002B5BCD" w:rsidP="00CD59CC">
      <w:pPr>
        <w:rPr>
          <w:rFonts w:ascii="Arial" w:hAnsi="Arial" w:cs="Arial"/>
          <w:i/>
        </w:rPr>
      </w:pPr>
    </w:p>
    <w:p w14:paraId="338B0409" w14:textId="77777777" w:rsidR="002B5BCD" w:rsidRPr="00CD59CC" w:rsidRDefault="002B5BCD" w:rsidP="00CD59CC">
      <w:pPr>
        <w:numPr>
          <w:ilvl w:val="0"/>
          <w:numId w:val="12"/>
        </w:numPr>
        <w:ind w:left="567" w:hanging="567"/>
        <w:rPr>
          <w:rFonts w:ascii="Arial" w:hAnsi="Arial" w:cs="Arial"/>
          <w:i/>
        </w:rPr>
      </w:pPr>
      <w:r w:rsidRPr="00CD59CC">
        <w:rPr>
          <w:rFonts w:ascii="Arial" w:hAnsi="Arial" w:cs="Arial"/>
          <w:i/>
        </w:rPr>
        <w:t xml:space="preserve">Does national law provide an exception for employers with an ethos based on religion or belief? If so, does this comply with Article 4(2) of Directive 2000/78? </w:t>
      </w:r>
    </w:p>
    <w:p w14:paraId="77268D7B" w14:textId="77777777" w:rsidR="002B5BCD" w:rsidRPr="00CD59CC" w:rsidRDefault="002B5BCD" w:rsidP="00CD59CC">
      <w:pPr>
        <w:ind w:left="567" w:hanging="567"/>
        <w:rPr>
          <w:rFonts w:ascii="Arial" w:hAnsi="Arial" w:cs="Arial"/>
        </w:rPr>
      </w:pPr>
    </w:p>
    <w:p w14:paraId="1D0E9B13" w14:textId="77777777" w:rsidR="001F6FC1" w:rsidRPr="00CD59CC" w:rsidRDefault="001F6FC1" w:rsidP="00CD59CC">
      <w:pPr>
        <w:rPr>
          <w:rFonts w:ascii="Arial" w:hAnsi="Arial" w:cs="Arial"/>
        </w:rPr>
      </w:pPr>
      <w:r w:rsidRPr="00CD59CC">
        <w:rPr>
          <w:rFonts w:ascii="Arial" w:hAnsi="Arial" w:cs="Arial"/>
        </w:rPr>
        <w:t xml:space="preserve">The above quoted Article 22 of the ETA provides an exception concerning an ethos based on religion or belief. Paragraph (1) Point (b) claims that the principle of equal treatment is not violated if the differentiation arises directly from a religious or other ideological conviction fundamentally determining the nature of the organisation, and it is proportionate and justified by the nature of the employment activity or the conditions of its pursuit. </w:t>
      </w:r>
    </w:p>
    <w:p w14:paraId="545FF740" w14:textId="77777777" w:rsidR="001F6FC1" w:rsidRPr="00CD59CC" w:rsidRDefault="001F6FC1" w:rsidP="00CD59CC">
      <w:pPr>
        <w:rPr>
          <w:rFonts w:ascii="Arial" w:hAnsi="Arial" w:cs="Arial"/>
        </w:rPr>
      </w:pPr>
    </w:p>
    <w:p w14:paraId="0747D7EE" w14:textId="4B8FC760" w:rsidR="001F6FC1" w:rsidRPr="00CD59CC" w:rsidRDefault="00350B31" w:rsidP="00CD59CC">
      <w:pPr>
        <w:rPr>
          <w:rFonts w:ascii="Arial" w:hAnsi="Arial" w:cs="Arial"/>
        </w:rPr>
      </w:pPr>
      <w:r w:rsidRPr="00CD59CC">
        <w:rPr>
          <w:rFonts w:ascii="Arial" w:hAnsi="Arial" w:cs="Arial"/>
        </w:rPr>
        <w:t xml:space="preserve">Furthermore, </w:t>
      </w:r>
      <w:r w:rsidR="001F6FC1" w:rsidRPr="00CD59CC">
        <w:rPr>
          <w:rFonts w:ascii="Arial" w:hAnsi="Arial" w:cs="Arial"/>
        </w:rPr>
        <w:t>Article 1</w:t>
      </w:r>
      <w:r w:rsidRPr="00CD59CC">
        <w:rPr>
          <w:rFonts w:ascii="Arial" w:hAnsi="Arial" w:cs="Arial"/>
        </w:rPr>
        <w:t>9</w:t>
      </w:r>
      <w:r w:rsidR="001F6FC1" w:rsidRPr="00CD59CC">
        <w:rPr>
          <w:rFonts w:ascii="Arial" w:hAnsi="Arial" w:cs="Arial"/>
        </w:rPr>
        <w:t xml:space="preserve"> Paragraph (</w:t>
      </w:r>
      <w:r w:rsidRPr="00CD59CC">
        <w:rPr>
          <w:rFonts w:ascii="Arial" w:hAnsi="Arial" w:cs="Arial"/>
        </w:rPr>
        <w:t>3</w:t>
      </w:r>
      <w:r w:rsidR="001F6FC1" w:rsidRPr="00CD59CC">
        <w:rPr>
          <w:rFonts w:ascii="Arial" w:hAnsi="Arial" w:cs="Arial"/>
        </w:rPr>
        <w:t>) of Act CCVI of 2011 on the right to Freedom of Conscience and Religion and the Legal Status of Churches, Denominations and Religious Communities sets forth that “</w:t>
      </w:r>
      <w:r w:rsidRPr="00CD59CC">
        <w:rPr>
          <w:rFonts w:ascii="Arial" w:hAnsi="Arial" w:cs="Arial"/>
        </w:rPr>
        <w:t xml:space="preserve">religious communities conduct their activities outlined in Article 9(1) [educational, healthcare, charity, </w:t>
      </w:r>
      <w:r w:rsidR="0018292C" w:rsidRPr="00CD59CC">
        <w:rPr>
          <w:rFonts w:ascii="Arial" w:hAnsi="Arial" w:cs="Arial"/>
        </w:rPr>
        <w:t xml:space="preserve">social, cultural, sports, youth-related, child protection activities] directly or through their institutions in accordance with their religious identity, and therefore, </w:t>
      </w:r>
      <w:r w:rsidR="003E264C" w:rsidRPr="00CD59CC">
        <w:rPr>
          <w:rFonts w:ascii="Arial" w:hAnsi="Arial" w:cs="Arial"/>
        </w:rPr>
        <w:t>specific</w:t>
      </w:r>
      <w:r w:rsidR="001F6FC1" w:rsidRPr="00CD59CC">
        <w:rPr>
          <w:rFonts w:ascii="Arial" w:hAnsi="Arial" w:cs="Arial"/>
        </w:rPr>
        <w:t xml:space="preserve"> </w:t>
      </w:r>
      <w:r w:rsidR="0018292C" w:rsidRPr="00CD59CC">
        <w:rPr>
          <w:rFonts w:ascii="Arial" w:hAnsi="Arial" w:cs="Arial"/>
        </w:rPr>
        <w:t>requirements</w:t>
      </w:r>
      <w:r w:rsidR="001F6FC1" w:rsidRPr="00CD59CC">
        <w:rPr>
          <w:rFonts w:ascii="Arial" w:hAnsi="Arial" w:cs="Arial"/>
        </w:rPr>
        <w:t xml:space="preserve"> may be determined concerning recruitments and the establishment, maintenance and termination of the legal relationship of employment</w:t>
      </w:r>
      <w:r w:rsidR="003E264C" w:rsidRPr="00CD59CC">
        <w:rPr>
          <w:rFonts w:ascii="Arial" w:hAnsi="Arial" w:cs="Arial"/>
        </w:rPr>
        <w:t>,</w:t>
      </w:r>
      <w:r w:rsidR="001F6FC1" w:rsidRPr="00CD59CC">
        <w:rPr>
          <w:rFonts w:ascii="Arial" w:hAnsi="Arial" w:cs="Arial"/>
        </w:rPr>
        <w:t xml:space="preserve"> </w:t>
      </w:r>
      <w:r w:rsidR="0018292C" w:rsidRPr="00CD59CC">
        <w:rPr>
          <w:rFonts w:ascii="Arial" w:hAnsi="Arial" w:cs="Arial"/>
        </w:rPr>
        <w:t xml:space="preserve">provided that </w:t>
      </w:r>
      <w:r w:rsidR="003E264C" w:rsidRPr="00CD59CC">
        <w:rPr>
          <w:rFonts w:ascii="Arial" w:hAnsi="Arial" w:cs="Arial"/>
        </w:rPr>
        <w:t>these requirements can be regarded as justified by the nature or substance of the community’s religious ethos, they are necessary for preserving and maintaining the ethos, and they are proportionate.</w:t>
      </w:r>
    </w:p>
    <w:p w14:paraId="6A3370A8" w14:textId="77777777" w:rsidR="003E264C" w:rsidRPr="00CD59CC" w:rsidRDefault="003E264C" w:rsidP="00CD59CC">
      <w:pPr>
        <w:rPr>
          <w:rFonts w:ascii="Arial" w:hAnsi="Arial" w:cs="Arial"/>
        </w:rPr>
      </w:pPr>
    </w:p>
    <w:p w14:paraId="5275BF26" w14:textId="77777777" w:rsidR="003E264C" w:rsidRPr="00CD59CC" w:rsidRDefault="003E264C" w:rsidP="00CD59CC">
      <w:pPr>
        <w:rPr>
          <w:rFonts w:ascii="Arial" w:hAnsi="Arial" w:cs="Arial"/>
        </w:rPr>
      </w:pPr>
      <w:r w:rsidRPr="00CD59CC">
        <w:rPr>
          <w:rFonts w:ascii="Arial" w:hAnsi="Arial" w:cs="Arial"/>
        </w:rPr>
        <w:t xml:space="preserve">It is doubtful whether these provisions are fully in line with the Framework Directive, as Article 22 of the ETA does not seem to incorporate the Directive’s notion of 'legitimacy', although it is likely that in the course of applying the law, courts and authorities would see this as an implied requirement of any distinction based on religious ethos. </w:t>
      </w:r>
    </w:p>
    <w:p w14:paraId="0A32FC5C" w14:textId="77777777" w:rsidR="003E264C" w:rsidRPr="00CD59CC" w:rsidRDefault="003E264C" w:rsidP="00CD59CC">
      <w:pPr>
        <w:rPr>
          <w:rFonts w:ascii="Arial" w:hAnsi="Arial" w:cs="Arial"/>
        </w:rPr>
      </w:pPr>
    </w:p>
    <w:p w14:paraId="1003E3A4" w14:textId="6E6EC9BE" w:rsidR="003E264C" w:rsidRPr="00CD59CC" w:rsidRDefault="003E264C" w:rsidP="00CD59CC">
      <w:pPr>
        <w:rPr>
          <w:rFonts w:ascii="Arial" w:hAnsi="Arial" w:cs="Arial"/>
        </w:rPr>
      </w:pPr>
      <w:r w:rsidRPr="00CD59CC">
        <w:rPr>
          <w:rFonts w:ascii="Arial" w:hAnsi="Arial" w:cs="Arial"/>
        </w:rPr>
        <w:t xml:space="preserve">Furthermore, according to the Directive, a differentiation based on the religious ethos of an organisation may only be based on the religion of a person subjected to the differentiation, and not on any other characteristics (e.g. sexual orientation), whereas </w:t>
      </w:r>
      <w:r w:rsidRPr="00CD59CC">
        <w:rPr>
          <w:rFonts w:ascii="Arial" w:hAnsi="Arial" w:cs="Arial"/>
        </w:rPr>
        <w:lastRenderedPageBreak/>
        <w:t>the Hungarian provisions</w:t>
      </w:r>
      <w:r w:rsidR="007B7640" w:rsidRPr="00CD59CC">
        <w:rPr>
          <w:rFonts w:ascii="Arial" w:hAnsi="Arial" w:cs="Arial"/>
        </w:rPr>
        <w:t xml:space="preserve"> </w:t>
      </w:r>
      <w:r w:rsidRPr="00CD59CC">
        <w:rPr>
          <w:rFonts w:ascii="Arial" w:hAnsi="Arial" w:cs="Arial"/>
        </w:rPr>
        <w:t xml:space="preserve">do not impose this restriction on the application of these exempting clauses. </w:t>
      </w:r>
    </w:p>
    <w:p w14:paraId="0040C2A1" w14:textId="77777777" w:rsidR="003E264C" w:rsidRPr="00CD59CC" w:rsidRDefault="003E264C" w:rsidP="00BB4E9F">
      <w:pPr>
        <w:rPr>
          <w:rFonts w:ascii="Arial" w:hAnsi="Arial" w:cs="Arial"/>
        </w:rPr>
      </w:pPr>
    </w:p>
    <w:p w14:paraId="4F7748DE" w14:textId="1C385442" w:rsidR="001F6FC1" w:rsidRPr="00CD59CC" w:rsidRDefault="001F6FC1" w:rsidP="00CD59CC">
      <w:pPr>
        <w:rPr>
          <w:rFonts w:ascii="Arial" w:hAnsi="Arial" w:cs="Arial"/>
        </w:rPr>
      </w:pPr>
      <w:r w:rsidRPr="00CD59CC">
        <w:rPr>
          <w:rFonts w:ascii="Arial" w:hAnsi="Arial" w:cs="Arial"/>
        </w:rPr>
        <w:t>In the case of denominational schools, additional legal provisions cause further problems. Article 32 Paragraph (</w:t>
      </w:r>
      <w:r w:rsidR="00EC0B1C" w:rsidRPr="00CD59CC">
        <w:rPr>
          <w:rFonts w:ascii="Arial" w:hAnsi="Arial" w:cs="Arial"/>
        </w:rPr>
        <w:t>1</w:t>
      </w:r>
      <w:r w:rsidRPr="00CD59CC">
        <w:rPr>
          <w:rFonts w:ascii="Arial" w:hAnsi="Arial" w:cs="Arial"/>
        </w:rPr>
        <w:t xml:space="preserve">) of </w:t>
      </w:r>
      <w:r w:rsidR="005F7A9B" w:rsidRPr="00CD59CC">
        <w:rPr>
          <w:rFonts w:ascii="Arial" w:hAnsi="Arial" w:cs="Arial"/>
        </w:rPr>
        <w:t>the (National Public Education Act</w:t>
      </w:r>
      <w:r w:rsidRPr="00CD59CC">
        <w:rPr>
          <w:rFonts w:ascii="Arial" w:hAnsi="Arial" w:cs="Arial"/>
        </w:rPr>
        <w:t xml:space="preserve"> sets forth that if the educational institution is maintained by a denomination, (i) it may in the course of recruiting teachers and other employees attach weight to considerations related to religion and belief, and define them as criteria of recruitment; (ii) it may restrict or ban the teachers’ general right to carry out his/her educational work in accordance with his/her belief and set of values (without imposing these on the child or pupil); and (iii) it may – in its Rules of Operation and house rules and in line with the teachings of the maintaining denomination – prescribe regulations concerning appearance and behaviour, rights and obligations and religious activities. Disciplinary proceedings may be launched against the child, pupil or teacher for breaching these latter obligations.</w:t>
      </w:r>
    </w:p>
    <w:p w14:paraId="2E335733" w14:textId="77777777" w:rsidR="00EC0B1C" w:rsidRPr="00CD59CC" w:rsidRDefault="00EC0B1C" w:rsidP="00CD59CC">
      <w:pPr>
        <w:rPr>
          <w:rFonts w:ascii="Arial" w:hAnsi="Arial" w:cs="Arial"/>
        </w:rPr>
      </w:pPr>
    </w:p>
    <w:p w14:paraId="02A50CA2" w14:textId="77777777" w:rsidR="001F6FC1" w:rsidRPr="00CD59CC" w:rsidRDefault="001F6FC1" w:rsidP="00CD59CC">
      <w:pPr>
        <w:rPr>
          <w:rFonts w:ascii="Arial" w:hAnsi="Arial" w:cs="Arial"/>
        </w:rPr>
      </w:pPr>
      <w:r w:rsidRPr="00CD59CC">
        <w:rPr>
          <w:rFonts w:ascii="Arial" w:hAnsi="Arial" w:cs="Arial"/>
        </w:rPr>
        <w:t>In the author’s view these provisions are not in conformity with Article 4 of Directive 2000/78 for a number of reasons. Firstly, according to the Directive, Member States may maintain national legislation in force at the date of adoption of this Directive or provide for future legislation incorporating national practices existing at the date of adoption of this Directive.</w:t>
      </w:r>
    </w:p>
    <w:p w14:paraId="10E252CF" w14:textId="77777777" w:rsidR="001F6FC1" w:rsidRPr="00CD59CC" w:rsidRDefault="001F6FC1" w:rsidP="00CD59CC">
      <w:pPr>
        <w:rPr>
          <w:rFonts w:ascii="Arial" w:hAnsi="Arial" w:cs="Arial"/>
        </w:rPr>
      </w:pPr>
    </w:p>
    <w:p w14:paraId="558F8C44" w14:textId="77777777" w:rsidR="001F6FC1" w:rsidRPr="00CD59CC" w:rsidRDefault="001F6FC1" w:rsidP="00CD59CC">
      <w:pPr>
        <w:rPr>
          <w:rFonts w:ascii="Arial" w:hAnsi="Arial" w:cs="Arial"/>
        </w:rPr>
      </w:pPr>
      <w:r w:rsidRPr="00CD59CC">
        <w:rPr>
          <w:rFonts w:ascii="Arial" w:hAnsi="Arial" w:cs="Arial"/>
        </w:rPr>
        <w:t>At the time of Hungary’s accession to the Union, Act LXIX of 1993 on Public Education (the previous act on public education, parts of which will remain in force until 1 September 2013) contained no provisions authorizing denominational educational institutions (or their maintainers) to set considerations related to religion and belief as recruitment criteria or prescribe regulations concerning appearance, behaviour or religious activities. (The only restriction that was in place in relation to teachers and employees at the time of the accession was that the denominational school was authorized to restrict or ban the exercise of the teacher’s right to perform his/her educational activities in accordance with his/her own beliefs and set of values.)</w:t>
      </w:r>
    </w:p>
    <w:p w14:paraId="7F04FEF7" w14:textId="77777777" w:rsidR="001F6FC1" w:rsidRPr="00CD59CC" w:rsidRDefault="001F6FC1" w:rsidP="00CD59CC">
      <w:pPr>
        <w:rPr>
          <w:rFonts w:ascii="Arial" w:hAnsi="Arial" w:cs="Arial"/>
        </w:rPr>
      </w:pPr>
    </w:p>
    <w:p w14:paraId="7DB64A01" w14:textId="77777777" w:rsidR="001F6FC1" w:rsidRPr="00CD59CC" w:rsidRDefault="001F6FC1" w:rsidP="00CD59CC">
      <w:pPr>
        <w:rPr>
          <w:rFonts w:ascii="Arial" w:hAnsi="Arial" w:cs="Arial"/>
        </w:rPr>
      </w:pPr>
      <w:r w:rsidRPr="00CD59CC">
        <w:rPr>
          <w:rFonts w:ascii="Arial" w:hAnsi="Arial" w:cs="Arial"/>
        </w:rPr>
        <w:t>Secondly, the above outlined provisions do not contain any reference to the genuineness, legitimacy and justified nature of the differentiation, they are absolute, unqualified and unconditional. Therefore, they are not in line with the Directive’s requirement that a difference of treatment shall not constitute discrimination only if “by reason of the nature of these activities or of the context in which they are carried out, a person's religion or belief constitute a genuine, legitimate and justified occupational requirement”.</w:t>
      </w:r>
    </w:p>
    <w:p w14:paraId="5542075E" w14:textId="77777777" w:rsidR="001F6FC1" w:rsidRPr="00CD59CC" w:rsidRDefault="001F6FC1" w:rsidP="00CD59CC">
      <w:pPr>
        <w:rPr>
          <w:rFonts w:ascii="Arial" w:hAnsi="Arial" w:cs="Arial"/>
        </w:rPr>
      </w:pPr>
    </w:p>
    <w:p w14:paraId="6121767D" w14:textId="60B4038C" w:rsidR="00B106D2" w:rsidRPr="00CD59CC" w:rsidRDefault="00B106D2" w:rsidP="00CD59CC">
      <w:pPr>
        <w:rPr>
          <w:rFonts w:ascii="Arial" w:hAnsi="Arial" w:cs="Arial"/>
        </w:rPr>
      </w:pPr>
      <w:r w:rsidRPr="00CD59CC">
        <w:rPr>
          <w:rFonts w:ascii="Arial" w:hAnsi="Arial" w:cs="Arial"/>
        </w:rPr>
        <w:t xml:space="preserve">It still needs to be seen how the relation of this new provision to Article 22 Paragraph (1) Point (b) is interpreted, which has a decisive impact on its conformity with Article 4(2) of the Directive. Article 32 Paragraph (1) of Act CXC of 2011 does not specify what types of special conditions may be set, and how the selection criteria shall be formulated, therefore, it can be interpreted in line with Article 22 Paragraph (1) Point </w:t>
      </w:r>
      <w:r w:rsidRPr="00CD59CC">
        <w:rPr>
          <w:rFonts w:ascii="Arial" w:hAnsi="Arial" w:cs="Arial"/>
        </w:rPr>
        <w:lastRenderedPageBreak/>
        <w:t>(b) of the ETA and regarded as a declarative rule simply reinforcing those already existing special rights of organisations based on a religious ethos that were put in place by the ETA. The same interpretation would follow from the principle of indirect effect of the EU acquis, i.e. the domestic authorities’ obligation to interpret domestic laws in a way that is compatible with the acquis.</w:t>
      </w:r>
    </w:p>
    <w:p w14:paraId="5BCB9557" w14:textId="77777777" w:rsidR="00B106D2" w:rsidRPr="00CD59CC" w:rsidRDefault="00B106D2" w:rsidP="00CD59CC">
      <w:pPr>
        <w:rPr>
          <w:rFonts w:ascii="Arial" w:hAnsi="Arial" w:cs="Arial"/>
        </w:rPr>
      </w:pPr>
    </w:p>
    <w:p w14:paraId="2C2D1515" w14:textId="77777777" w:rsidR="00B106D2" w:rsidRPr="00CD59CC" w:rsidRDefault="00B106D2" w:rsidP="00CD59CC">
      <w:pPr>
        <w:rPr>
          <w:rFonts w:ascii="Arial" w:hAnsi="Arial" w:cs="Arial"/>
        </w:rPr>
      </w:pPr>
      <w:r w:rsidRPr="00CD59CC">
        <w:rPr>
          <w:rFonts w:ascii="Arial" w:hAnsi="Arial" w:cs="Arial"/>
        </w:rPr>
        <w:t xml:space="preserve">However, another interpretation is also possible. One can argue that there would have been no point in re-declaring an already existing right, and therefore the legislator’s intention behind the adoption of Article 32 Paragraph (1) must have been to make it possible for church institutions to set conditions going beyond those that were already permitted under the ETA. In this case there would be a collision between the ETA and the new provision. Based on the principle of lex posterior derogat legi priori, this collision can be solved in favour of Article </w:t>
      </w:r>
      <w:r w:rsidR="006277BE" w:rsidRPr="00CD59CC">
        <w:rPr>
          <w:rFonts w:ascii="Arial" w:hAnsi="Arial" w:cs="Arial"/>
        </w:rPr>
        <w:t>32 Paragraph (1)</w:t>
      </w:r>
      <w:r w:rsidRPr="00CD59CC">
        <w:rPr>
          <w:rFonts w:ascii="Arial" w:hAnsi="Arial" w:cs="Arial"/>
        </w:rPr>
        <w:t>, since this is the norm that was adopted later. This interpretation opens the door for employment-related differentiation that goes way beyond what is allowed by the Directive.</w:t>
      </w:r>
    </w:p>
    <w:p w14:paraId="588E7E60" w14:textId="77777777" w:rsidR="00B106D2" w:rsidRPr="00CD59CC" w:rsidRDefault="00B106D2" w:rsidP="00CD59CC">
      <w:pPr>
        <w:rPr>
          <w:rFonts w:ascii="Arial" w:hAnsi="Arial" w:cs="Arial"/>
        </w:rPr>
      </w:pPr>
    </w:p>
    <w:p w14:paraId="6D93081B" w14:textId="0E3A4F66" w:rsidR="001F6FC1" w:rsidRPr="00CD59CC" w:rsidRDefault="006277BE" w:rsidP="00CD59CC">
      <w:pPr>
        <w:rPr>
          <w:rFonts w:ascii="Arial" w:hAnsi="Arial" w:cs="Arial"/>
        </w:rPr>
      </w:pPr>
      <w:r w:rsidRPr="00CD59CC">
        <w:rPr>
          <w:rFonts w:ascii="Arial" w:hAnsi="Arial" w:cs="Arial"/>
        </w:rPr>
        <w:t xml:space="preserve">Looking at the legislative reasons attached to Article 32 Act CXC of 2011, </w:t>
      </w:r>
      <w:r w:rsidR="001F6FC1" w:rsidRPr="00CD59CC">
        <w:rPr>
          <w:rFonts w:ascii="Arial" w:hAnsi="Arial" w:cs="Arial"/>
        </w:rPr>
        <w:t xml:space="preserve">it seems that the legislator’s intention was directed to create an exception to the GOR provision of the ETA, which takes precedence over Article 22 of the ETA. </w:t>
      </w:r>
      <w:r w:rsidRPr="00CD59CC">
        <w:rPr>
          <w:rFonts w:ascii="Arial" w:hAnsi="Arial" w:cs="Arial"/>
        </w:rPr>
        <w:t>T</w:t>
      </w:r>
      <w:r w:rsidR="001F6FC1" w:rsidRPr="00CD59CC">
        <w:rPr>
          <w:rFonts w:ascii="Arial" w:hAnsi="Arial" w:cs="Arial"/>
        </w:rPr>
        <w:t>he legislative reasons run as follows: “The ethos of educational institutions maintained by a denomination is necessarily determined by the religious principles of the maintaining denomination, therefore further special and exceptional provisions pertain to public educational institutions maintained by churches. Some of these provide extra rights to the maintainer and parallel to that restrict the autonomy of the staff, and concern the rights and obligations of the parents and children. Since the law declares the [parents’ and children’s] right to freely choose the educational institution to attend, these restrictions are not detrimental to children and parents. The provisions influencing the rights of the staff are necessary in order to guarantee the ethos based on religion or belief, at the same time the law wishes to guarantee professional freedom and autonomy of teachers.”</w:t>
      </w:r>
    </w:p>
    <w:p w14:paraId="3CAAEED7" w14:textId="77777777" w:rsidR="001F6FC1" w:rsidRPr="00CD59CC" w:rsidRDefault="001F6FC1" w:rsidP="00CD59CC">
      <w:pPr>
        <w:rPr>
          <w:rFonts w:ascii="Arial" w:hAnsi="Arial" w:cs="Arial"/>
        </w:rPr>
      </w:pPr>
    </w:p>
    <w:p w14:paraId="049991D7" w14:textId="4586BDCD" w:rsidR="006277BE" w:rsidRPr="00CD59CC" w:rsidRDefault="006277BE" w:rsidP="00CD59CC">
      <w:pPr>
        <w:rPr>
          <w:rFonts w:ascii="Arial" w:hAnsi="Arial" w:cs="Arial"/>
        </w:rPr>
      </w:pPr>
      <w:r w:rsidRPr="00CD59CC">
        <w:rPr>
          <w:rFonts w:ascii="Arial" w:hAnsi="Arial" w:cs="Arial"/>
        </w:rPr>
        <w:t xml:space="preserve">That the schools (or at least some schools) themselves share this interpretation is demonstrated by that case of the Hungarian Helsinki Committee, in which a denominational school dismissed a boarding house teacher who had been working for the institution for ten years (and whose performance was rated excellent by auditors commissioned by the maintaining church) as soon as the above provisions of the National Public Education Act entered into force on the basis that his world view was not in line with the school’s religious values. If the school leadership had thought that this was possible under Article 22 of the ETA, it could have dismissed him beforehand. However, by all probability they were of the view that under the ETA it would have been difficult for them to substantiate that religiosity was a genuine and determining occupational requirement, as the teacher always saw to it that the students abide by the religious requirements and attend the religious events of the </w:t>
      </w:r>
      <w:r w:rsidRPr="00CD59CC">
        <w:rPr>
          <w:rFonts w:ascii="Arial" w:hAnsi="Arial" w:cs="Arial"/>
        </w:rPr>
        <w:lastRenderedPageBreak/>
        <w:t>school. In the labour lawsuit, no judicial decision was reached, because finally the school acknowledged the violation and the parties concluded a settlement.</w:t>
      </w:r>
      <w:r w:rsidRPr="00CD59CC">
        <w:rPr>
          <w:rStyle w:val="FootnoteReference"/>
          <w:rFonts w:ascii="Arial" w:hAnsi="Arial" w:cs="Arial"/>
        </w:rPr>
        <w:footnoteReference w:id="82"/>
      </w:r>
    </w:p>
    <w:p w14:paraId="127C8F85" w14:textId="77777777" w:rsidR="006277BE" w:rsidRPr="00CD59CC" w:rsidRDefault="006277BE" w:rsidP="00CD59CC">
      <w:pPr>
        <w:rPr>
          <w:rFonts w:ascii="Arial" w:hAnsi="Arial" w:cs="Arial"/>
        </w:rPr>
      </w:pPr>
    </w:p>
    <w:p w14:paraId="4F9A8D73" w14:textId="77777777" w:rsidR="002B5BCD" w:rsidRPr="00CD59CC" w:rsidRDefault="002B5BCD" w:rsidP="00CD59CC">
      <w:pPr>
        <w:numPr>
          <w:ilvl w:val="0"/>
          <w:numId w:val="12"/>
        </w:numPr>
        <w:ind w:left="567" w:hanging="567"/>
        <w:rPr>
          <w:rFonts w:ascii="Arial" w:hAnsi="Arial" w:cs="Arial"/>
          <w:i/>
        </w:rPr>
      </w:pPr>
      <w:r w:rsidRPr="00CD59CC">
        <w:rPr>
          <w:rFonts w:ascii="Arial" w:hAnsi="Arial" w:cs="Arial"/>
          <w:i/>
        </w:rPr>
        <w:t>Are there any specific provisions or case law in this area relating to conflicts between the rights of organisations with an ethos based on religion or belief and other rights to non-discrimination? (e.g. organisations with an ethos based on religion v. sexual orientation or other ground).</w:t>
      </w:r>
    </w:p>
    <w:p w14:paraId="77314E17" w14:textId="77777777" w:rsidR="002B5BCD" w:rsidRPr="00CD59CC" w:rsidRDefault="002B5BCD" w:rsidP="00CD59CC">
      <w:pPr>
        <w:tabs>
          <w:tab w:val="num" w:pos="567"/>
        </w:tabs>
        <w:ind w:left="567" w:hanging="567"/>
        <w:rPr>
          <w:rFonts w:ascii="Arial" w:hAnsi="Arial" w:cs="Arial"/>
          <w:b/>
          <w:i/>
        </w:rPr>
      </w:pPr>
    </w:p>
    <w:p w14:paraId="398DB5FA" w14:textId="77777777" w:rsidR="006277BE" w:rsidRPr="00CD59CC" w:rsidRDefault="006277BE" w:rsidP="00CD59CC">
      <w:pPr>
        <w:pStyle w:val="BodyText"/>
        <w:rPr>
          <w:rFonts w:ascii="Arial" w:hAnsi="Arial" w:cs="Arial"/>
          <w:i w:val="0"/>
          <w:lang w:val="en-GB"/>
        </w:rPr>
      </w:pPr>
      <w:r w:rsidRPr="00CD59CC">
        <w:rPr>
          <w:rFonts w:ascii="Arial" w:hAnsi="Arial" w:cs="Arial"/>
          <w:i w:val="0"/>
          <w:lang w:val="en-GB"/>
        </w:rPr>
        <w:t xml:space="preserve">The Károli case concerned the conflict between the rights of organisations with an ethos based on religion or belief and other rights to non-discrimination. </w:t>
      </w:r>
    </w:p>
    <w:p w14:paraId="0C8B07C6" w14:textId="77777777" w:rsidR="006277BE" w:rsidRPr="00CD59CC" w:rsidRDefault="006277BE" w:rsidP="00CD59CC">
      <w:pPr>
        <w:pStyle w:val="BodyText"/>
        <w:rPr>
          <w:rFonts w:ascii="Arial" w:hAnsi="Arial" w:cs="Arial"/>
          <w:i w:val="0"/>
          <w:lang w:val="en-GB"/>
        </w:rPr>
      </w:pPr>
    </w:p>
    <w:p w14:paraId="4CB5E323" w14:textId="77777777" w:rsidR="006277BE" w:rsidRPr="00CD59CC" w:rsidRDefault="006277BE" w:rsidP="00CD59CC">
      <w:pPr>
        <w:pStyle w:val="BodyText"/>
        <w:rPr>
          <w:rFonts w:ascii="Arial" w:hAnsi="Arial" w:cs="Arial"/>
          <w:i w:val="0"/>
          <w:lang w:val="en-GB"/>
        </w:rPr>
      </w:pPr>
      <w:r w:rsidRPr="00CD59CC">
        <w:rPr>
          <w:rFonts w:ascii="Arial" w:hAnsi="Arial" w:cs="Arial"/>
          <w:i w:val="0"/>
          <w:lang w:val="en-GB"/>
        </w:rPr>
        <w:t xml:space="preserve">After dismissing a theology student who had confessed his homosexuality to one of his professors, the Faculty Council of the Károli Gáspár Calvinist University’ Theological Faculty published a general declaration on 10 October 2003, claiming that “the church may not approve of […] the education, recruitment and employment of pastors and teachers of religion who conduct or promote a homosexual way of life.” </w:t>
      </w:r>
    </w:p>
    <w:p w14:paraId="78D795FF" w14:textId="77777777" w:rsidR="006277BE" w:rsidRPr="00CD59CC" w:rsidRDefault="006277BE" w:rsidP="00CD59CC">
      <w:pPr>
        <w:pStyle w:val="BodyText"/>
        <w:rPr>
          <w:rFonts w:ascii="Arial" w:hAnsi="Arial" w:cs="Arial"/>
          <w:i w:val="0"/>
          <w:lang w:val="en-GB"/>
        </w:rPr>
      </w:pPr>
    </w:p>
    <w:p w14:paraId="01A24124" w14:textId="77777777" w:rsidR="006277BE" w:rsidRPr="00CD59CC" w:rsidRDefault="006277BE" w:rsidP="00CD59CC">
      <w:pPr>
        <w:pStyle w:val="BodyText"/>
        <w:rPr>
          <w:rFonts w:ascii="Arial" w:hAnsi="Arial" w:cs="Arial"/>
          <w:i w:val="0"/>
          <w:lang w:val="en-GB"/>
        </w:rPr>
      </w:pPr>
      <w:r w:rsidRPr="00CD59CC">
        <w:rPr>
          <w:rFonts w:ascii="Arial" w:hAnsi="Arial" w:cs="Arial"/>
          <w:i w:val="0"/>
          <w:lang w:val="en-GB"/>
        </w:rPr>
        <w:t xml:space="preserve">Under the ETA, the gay and lesbian rights protection organisation “Háttér Társaság a Melegekért” (Háttér Support Group for Gays and Lesbians) brought an </w:t>
      </w:r>
      <w:r w:rsidRPr="00CD59CC">
        <w:rPr>
          <w:rFonts w:ascii="Arial" w:hAnsi="Arial" w:cs="Arial"/>
          <w:lang w:val="en-GB"/>
        </w:rPr>
        <w:t>actio popularis</w:t>
      </w:r>
      <w:r w:rsidRPr="00CD59CC">
        <w:rPr>
          <w:rFonts w:ascii="Arial" w:hAnsi="Arial" w:cs="Arial"/>
          <w:i w:val="0"/>
          <w:lang w:val="en-GB"/>
        </w:rPr>
        <w:t xml:space="preserve"> claim against the university, requesting the court to declare that the defendant violated the right of homosexuals as a social group to equal treatment, to oblige the defendant to put an end to the infringement and to withdraw its declaration as well as to pay punitive damages. </w:t>
      </w:r>
    </w:p>
    <w:p w14:paraId="48A9ABF6" w14:textId="77777777" w:rsidR="006277BE" w:rsidRPr="00CD59CC" w:rsidRDefault="006277BE" w:rsidP="00CD59CC">
      <w:pPr>
        <w:pStyle w:val="BodyText"/>
        <w:rPr>
          <w:rFonts w:ascii="Arial" w:hAnsi="Arial" w:cs="Arial"/>
          <w:i w:val="0"/>
          <w:lang w:val="en-GB"/>
        </w:rPr>
      </w:pPr>
    </w:p>
    <w:p w14:paraId="3036EAD0" w14:textId="77777777" w:rsidR="006277BE" w:rsidRPr="00CD59CC" w:rsidRDefault="006277BE" w:rsidP="00CD59CC">
      <w:pPr>
        <w:rPr>
          <w:rFonts w:ascii="Arial" w:hAnsi="Arial" w:cs="Arial"/>
        </w:rPr>
      </w:pPr>
      <w:r w:rsidRPr="00CD59CC">
        <w:rPr>
          <w:rFonts w:ascii="Arial" w:hAnsi="Arial" w:cs="Arial"/>
        </w:rPr>
        <w:t>The first instance court came to the conclusion that the declaration of the Faculty Council is an opinion protected by the freedom of expression and not transgressing the limits of constitutionality. The decision was upheld by the second instance court with basically the same reasoning. The gay and lesbian organisation submitted a request for extraordinary review to the Supreme Court.</w:t>
      </w:r>
    </w:p>
    <w:p w14:paraId="45DB08D3" w14:textId="77777777" w:rsidR="006277BE" w:rsidRPr="00CD59CC" w:rsidRDefault="006277BE" w:rsidP="00CD59CC">
      <w:pPr>
        <w:rPr>
          <w:rFonts w:ascii="Arial" w:hAnsi="Arial" w:cs="Arial"/>
        </w:rPr>
      </w:pPr>
    </w:p>
    <w:p w14:paraId="7EEE69A1" w14:textId="77777777" w:rsidR="006277BE" w:rsidRPr="00CD59CC" w:rsidRDefault="006277BE" w:rsidP="00CD59CC">
      <w:pPr>
        <w:rPr>
          <w:rFonts w:ascii="Arial" w:hAnsi="Arial" w:cs="Arial"/>
        </w:rPr>
      </w:pPr>
      <w:r w:rsidRPr="00CD59CC">
        <w:rPr>
          <w:rFonts w:ascii="Arial" w:hAnsi="Arial" w:cs="Arial"/>
        </w:rPr>
        <w:t xml:space="preserve">The Supreme Court rejected the claim on 8 June 2005. The Court accepted the claimant's argument that even the proving of an abstract disadvantage may be sufficient for the establishment of discrimination and the shifting of the burden of proof. However, it took the stance that the denominational university is exempted from the obligation to abide by the requirement of equal treatment by virtue of the general exempting rule of the ETA [Article 7 Paragraph (2)], according to which an action based on a protected characteristic “shall not be taken to violate the requirement of equal treatment if it is found by objective consideration to have a reasonable ground directly related to the relevant legal relation”. In the Supreme Court's view, in the case of a denominational university, it may objectively be considered to be reasonable to exclude homosexuals from theological education, taking in consideration the fact that later on they may become pastors (although this </w:t>
      </w:r>
      <w:r w:rsidRPr="00CD59CC">
        <w:rPr>
          <w:rFonts w:ascii="Arial" w:hAnsi="Arial" w:cs="Arial"/>
        </w:rPr>
        <w:lastRenderedPageBreak/>
        <w:t xml:space="preserve">is not inevitable, as students with a degree in theology do not automatically become pastors). </w:t>
      </w:r>
    </w:p>
    <w:p w14:paraId="1B5743AC" w14:textId="77777777" w:rsidR="006277BE" w:rsidRPr="00CD59CC" w:rsidRDefault="006277BE" w:rsidP="00CD59CC">
      <w:pPr>
        <w:tabs>
          <w:tab w:val="num" w:pos="567"/>
        </w:tabs>
        <w:ind w:left="567" w:hanging="567"/>
        <w:rPr>
          <w:rFonts w:ascii="Arial" w:hAnsi="Arial" w:cs="Arial"/>
          <w:b/>
          <w:i/>
        </w:rPr>
      </w:pPr>
    </w:p>
    <w:p w14:paraId="7DCBCC76" w14:textId="4E8A0020" w:rsidR="002B5BCD" w:rsidRPr="00CD59CC" w:rsidRDefault="002B5BCD" w:rsidP="00CD59CC">
      <w:pPr>
        <w:numPr>
          <w:ilvl w:val="0"/>
          <w:numId w:val="12"/>
        </w:numPr>
        <w:ind w:left="567" w:hanging="567"/>
        <w:rPr>
          <w:rFonts w:ascii="Arial" w:hAnsi="Arial" w:cs="Arial"/>
          <w:i/>
        </w:rPr>
      </w:pPr>
      <w:r w:rsidRPr="00CD59CC">
        <w:rPr>
          <w:rFonts w:ascii="Arial" w:hAnsi="Arial" w:cs="Arial"/>
          <w:i/>
        </w:rPr>
        <w:t xml:space="preserve">Are religious institutions permitted to select people (on the basis of their religion) to hire or to dismiss from a job when that job is in a state entity, or in an entity financed by the State (e.g. the Catholic church in Italy or Spain can select religious teachers in state schools)? What are the conditions for such selection? Is this possibility provided for by national law only, or international agreements with the Holy See, or a combination of both? </w:t>
      </w:r>
      <w:r w:rsidR="00EF696E" w:rsidRPr="00CD59CC">
        <w:rPr>
          <w:rFonts w:ascii="Arial" w:hAnsi="Arial" w:cs="Arial"/>
          <w:i/>
        </w:rPr>
        <w:t>Is there any case law on this?</w:t>
      </w:r>
    </w:p>
    <w:p w14:paraId="0E6FC6CD" w14:textId="77777777" w:rsidR="002B5BCD" w:rsidRPr="00CD59CC" w:rsidRDefault="002B5BCD" w:rsidP="00CD59CC">
      <w:pPr>
        <w:rPr>
          <w:rFonts w:ascii="Arial" w:hAnsi="Arial" w:cs="Arial"/>
        </w:rPr>
      </w:pPr>
    </w:p>
    <w:p w14:paraId="712A6ABB" w14:textId="77777777" w:rsidR="006277BE" w:rsidRPr="00CD59CC" w:rsidRDefault="006277BE" w:rsidP="00CD59CC">
      <w:pPr>
        <w:rPr>
          <w:rFonts w:ascii="Arial" w:hAnsi="Arial" w:cs="Arial"/>
        </w:rPr>
      </w:pPr>
      <w:r w:rsidRPr="00CD59CC">
        <w:rPr>
          <w:rFonts w:ascii="Arial" w:hAnsi="Arial" w:cs="Arial"/>
        </w:rPr>
        <w:t xml:space="preserve">Churches in Hungary do receive some state funding (on the basis of the number of people who offer 1% of their taxes to a particular church), and so do certain institutions maintained by churches: denominational schools, hospitals, social care homes: under Article 5 of Act CXXIV of 1997, such institutions receive a per capita support under the same rules and on equal footing with similar institutions maintained by local councils (based on the notion that these institutions perform state tasks: health care provision, education, etc.). </w:t>
      </w:r>
    </w:p>
    <w:p w14:paraId="034D73FC" w14:textId="77777777" w:rsidR="006277BE" w:rsidRPr="00CD59CC" w:rsidRDefault="006277BE" w:rsidP="00CD59CC">
      <w:pPr>
        <w:rPr>
          <w:rFonts w:ascii="Arial" w:hAnsi="Arial" w:cs="Arial"/>
        </w:rPr>
      </w:pPr>
    </w:p>
    <w:p w14:paraId="4D673B53" w14:textId="77777777" w:rsidR="006277BE" w:rsidRPr="00CD59CC" w:rsidRDefault="006277BE" w:rsidP="00CD59CC">
      <w:pPr>
        <w:rPr>
          <w:rFonts w:ascii="Arial" w:hAnsi="Arial" w:cs="Arial"/>
        </w:rPr>
      </w:pPr>
      <w:r w:rsidRPr="00CD59CC">
        <w:rPr>
          <w:rFonts w:ascii="Arial" w:hAnsi="Arial" w:cs="Arial"/>
        </w:rPr>
        <w:t xml:space="preserve">There are two exemptions concerning churches and denominational legal entities in the ETA. Under Article 6 of the ETA (according to which </w:t>
      </w:r>
      <w:r w:rsidRPr="00CD59CC">
        <w:rPr>
          <w:rFonts w:ascii="Arial" w:hAnsi="Arial" w:cs="Arial"/>
          <w:bCs/>
        </w:rPr>
        <w:t xml:space="preserve">a denominational legal person's legal relationships directly related to the denomination's religious activity are excluded from the scope of the law), churches enjoy complete freedom with regard to the employment of priests and pastors. From this wording – </w:t>
      </w:r>
      <w:r w:rsidRPr="00CD59CC">
        <w:rPr>
          <w:rFonts w:ascii="Arial" w:hAnsi="Arial" w:cs="Arial"/>
          <w:bCs/>
          <w:i/>
        </w:rPr>
        <w:t>argumentum a contrario</w:t>
      </w:r>
      <w:r w:rsidRPr="00CD59CC">
        <w:rPr>
          <w:rFonts w:ascii="Arial" w:hAnsi="Arial" w:cs="Arial"/>
          <w:bCs/>
        </w:rPr>
        <w:t xml:space="preserve"> – it would follow that in all other legal relationships (e.g. with regard to the education of a child in a denominational school or the provision of healthcare to a patient in a denominational hospital, which are not relationships directly related to religious activities), denominational institutions receiving state funding are not exempt from the obligation to comply with the requirement of equal treatment. </w:t>
      </w:r>
      <w:r w:rsidRPr="00CD59CC">
        <w:rPr>
          <w:rFonts w:ascii="Arial" w:hAnsi="Arial" w:cs="Arial"/>
        </w:rPr>
        <w:t>In the Károli case it was expressly stated by the court that a denominational university cannot be exempted from the scope of the law on the basis of Article 6. However, the legal developments of the recent years have questioned the validity of this interpretation [see Point a) above].</w:t>
      </w:r>
    </w:p>
    <w:p w14:paraId="0C5BC283" w14:textId="77777777" w:rsidR="006277BE" w:rsidRPr="00CD59CC" w:rsidRDefault="006277BE" w:rsidP="00CD59CC">
      <w:pPr>
        <w:pStyle w:val="Header"/>
        <w:tabs>
          <w:tab w:val="clear" w:pos="4153"/>
          <w:tab w:val="clear" w:pos="8306"/>
        </w:tabs>
        <w:rPr>
          <w:rFonts w:ascii="Arial" w:hAnsi="Arial" w:cs="Arial"/>
        </w:rPr>
      </w:pPr>
    </w:p>
    <w:p w14:paraId="3741E086" w14:textId="77777777" w:rsidR="006277BE" w:rsidRPr="00CD59CC" w:rsidRDefault="006277BE" w:rsidP="00CD59CC">
      <w:pPr>
        <w:rPr>
          <w:rFonts w:ascii="Arial" w:hAnsi="Arial" w:cs="Arial"/>
        </w:rPr>
      </w:pPr>
      <w:r w:rsidRPr="00CD59CC">
        <w:rPr>
          <w:rFonts w:ascii="Arial" w:hAnsi="Arial" w:cs="Arial"/>
        </w:rPr>
        <w:t>Furthermore, the religious ethos exemption applies to denominational institutions as employers, so in such institutions (which also receive funding from the state, although they are run by a denomination), leadership can select employees on the basis of their religion. The Hungarian legislation does not specify whether any employees can be selected on this basis or only employees who have a responsibility in running the organisation, but Article 22 (b) of the ETA only allows for ethos based differentiation where it is proportional and justified by the nature of the employment activity or the conditions of its pursuit, so it may be argued that employees whose position does not legitimately require the application of the exemption may not be lawfully rejected on the basis of their religion. The new laws concerning education in denominational institutions [see point a) above] however question the validity of this interpretation at least with respect to education.</w:t>
      </w:r>
    </w:p>
    <w:p w14:paraId="754F52B6" w14:textId="77777777" w:rsidR="006277BE" w:rsidRPr="00CD59CC" w:rsidRDefault="006277BE" w:rsidP="00CD59CC">
      <w:pPr>
        <w:rPr>
          <w:rFonts w:ascii="Arial" w:hAnsi="Arial" w:cs="Arial"/>
        </w:rPr>
      </w:pPr>
    </w:p>
    <w:p w14:paraId="7F250EBE" w14:textId="1F33B055" w:rsidR="006277BE" w:rsidRPr="00CD59CC" w:rsidRDefault="006277BE" w:rsidP="00CD59CC">
      <w:pPr>
        <w:rPr>
          <w:rFonts w:ascii="Arial" w:hAnsi="Arial" w:cs="Arial"/>
        </w:rPr>
      </w:pPr>
      <w:r w:rsidRPr="00CD59CC">
        <w:rPr>
          <w:rFonts w:ascii="Arial" w:hAnsi="Arial" w:cs="Arial"/>
        </w:rPr>
        <w:lastRenderedPageBreak/>
        <w:t>No case law [apart from what is presented under Point a) above] has developed in this relation yet.</w:t>
      </w:r>
    </w:p>
    <w:p w14:paraId="4BB38E54" w14:textId="77777777" w:rsidR="002B5BCD" w:rsidRPr="00CD59CC" w:rsidRDefault="002B5BCD" w:rsidP="00CD59CC">
      <w:pPr>
        <w:rPr>
          <w:rFonts w:ascii="Arial" w:hAnsi="Arial" w:cs="Arial"/>
        </w:rPr>
      </w:pPr>
    </w:p>
    <w:p w14:paraId="4267F75F" w14:textId="77777777" w:rsidR="002B5BCD" w:rsidRPr="00CD59CC" w:rsidRDefault="002B5BCD" w:rsidP="00CD59CC">
      <w:pPr>
        <w:pStyle w:val="Heading2"/>
        <w:rPr>
          <w:rFonts w:cs="Arial"/>
        </w:rPr>
      </w:pPr>
      <w:bookmarkStart w:id="216" w:name="_Toc220221164"/>
      <w:bookmarkStart w:id="217" w:name="_Toc392758734"/>
      <w:bookmarkStart w:id="218" w:name="_Toc329163626"/>
      <w:bookmarkStart w:id="219" w:name="_Toc366846344"/>
      <w:r w:rsidRPr="00CD59CC">
        <w:rPr>
          <w:rFonts w:cs="Arial"/>
        </w:rPr>
        <w:t>Armed forces and other specific occupations (Art. 3(4) and Recital 18 Directive 2000/78)</w:t>
      </w:r>
      <w:bookmarkEnd w:id="216"/>
      <w:bookmarkEnd w:id="217"/>
      <w:bookmarkEnd w:id="218"/>
      <w:bookmarkEnd w:id="219"/>
    </w:p>
    <w:p w14:paraId="2989BC99" w14:textId="77777777" w:rsidR="002B5BCD" w:rsidRPr="00CD59CC" w:rsidRDefault="002B5BCD" w:rsidP="00CD59CC">
      <w:pPr>
        <w:rPr>
          <w:rFonts w:ascii="Arial" w:hAnsi="Arial" w:cs="Arial"/>
        </w:rPr>
      </w:pPr>
    </w:p>
    <w:p w14:paraId="2414FF31" w14:textId="77777777" w:rsidR="002B5BCD" w:rsidRPr="00CD59CC" w:rsidRDefault="002B5BCD" w:rsidP="00CD59CC">
      <w:pPr>
        <w:numPr>
          <w:ilvl w:val="0"/>
          <w:numId w:val="13"/>
        </w:numPr>
        <w:ind w:left="567" w:hanging="567"/>
        <w:rPr>
          <w:rFonts w:ascii="Arial" w:hAnsi="Arial" w:cs="Arial"/>
          <w:i/>
        </w:rPr>
      </w:pPr>
      <w:r w:rsidRPr="00CD59CC">
        <w:rPr>
          <w:rFonts w:ascii="Arial" w:hAnsi="Arial" w:cs="Arial"/>
          <w:i/>
        </w:rPr>
        <w:t xml:space="preserve">Does national law provide for an exception for the armed forces in relation to age or disability discrimination (Article 3(4), Directive 2000/78)? </w:t>
      </w:r>
    </w:p>
    <w:p w14:paraId="548ECAD3" w14:textId="77777777" w:rsidR="002B5BCD" w:rsidRPr="00CD59CC" w:rsidRDefault="002B5BCD" w:rsidP="00CD59CC">
      <w:pPr>
        <w:ind w:left="567" w:hanging="567"/>
        <w:rPr>
          <w:rFonts w:ascii="Arial" w:hAnsi="Arial" w:cs="Arial"/>
        </w:rPr>
      </w:pPr>
    </w:p>
    <w:p w14:paraId="0507DA32" w14:textId="77777777" w:rsidR="00393C5B" w:rsidRPr="00CD59CC" w:rsidRDefault="00393C5B" w:rsidP="00CD59CC">
      <w:pPr>
        <w:rPr>
          <w:rFonts w:ascii="Arial" w:hAnsi="Arial" w:cs="Arial"/>
        </w:rPr>
      </w:pPr>
      <w:r w:rsidRPr="00CD59CC">
        <w:rPr>
          <w:rFonts w:ascii="Arial" w:hAnsi="Arial" w:cs="Arial"/>
        </w:rPr>
        <w:t xml:space="preserve">National anti-discrimination law does not provide for a particular exception for the armed forces in relation to age or disability discrimination, but the statutes regulating the status of armed forces contain provisions on age limits and physical suitability. These are explained below. </w:t>
      </w:r>
    </w:p>
    <w:p w14:paraId="194A65F7" w14:textId="77777777" w:rsidR="00722FD9" w:rsidRPr="00CD59CC" w:rsidRDefault="00722FD9" w:rsidP="00CD59CC">
      <w:pPr>
        <w:ind w:left="567" w:hanging="567"/>
        <w:rPr>
          <w:rFonts w:ascii="Arial" w:hAnsi="Arial" w:cs="Arial"/>
        </w:rPr>
      </w:pPr>
    </w:p>
    <w:p w14:paraId="5636783D" w14:textId="77777777" w:rsidR="002B5BCD" w:rsidRPr="00CD59CC" w:rsidRDefault="002B5BCD" w:rsidP="00CD59CC">
      <w:pPr>
        <w:numPr>
          <w:ilvl w:val="0"/>
          <w:numId w:val="13"/>
        </w:numPr>
        <w:ind w:left="567" w:hanging="567"/>
        <w:rPr>
          <w:rFonts w:ascii="Arial" w:hAnsi="Arial" w:cs="Arial"/>
          <w:i/>
        </w:rPr>
      </w:pPr>
      <w:r w:rsidRPr="00CD59CC">
        <w:rPr>
          <w:rFonts w:ascii="Arial" w:hAnsi="Arial" w:cs="Arial"/>
          <w:i/>
        </w:rPr>
        <w:t>Are there any provisions or exceptions relating to employment in the police, prison or emergency services (Recital 18, Directive 2000/78)?</w:t>
      </w:r>
    </w:p>
    <w:p w14:paraId="02AFAF41" w14:textId="77777777" w:rsidR="002B5BCD" w:rsidRPr="00CD59CC" w:rsidRDefault="002B5BCD" w:rsidP="00CD59CC">
      <w:pPr>
        <w:ind w:left="567" w:hanging="567"/>
        <w:rPr>
          <w:rFonts w:ascii="Arial" w:hAnsi="Arial" w:cs="Arial"/>
        </w:rPr>
      </w:pPr>
    </w:p>
    <w:p w14:paraId="28E30417" w14:textId="77777777" w:rsidR="00393C5B" w:rsidRPr="00CD59CC" w:rsidRDefault="00393C5B" w:rsidP="00CD59CC">
      <w:pPr>
        <w:rPr>
          <w:rFonts w:ascii="Arial" w:hAnsi="Arial" w:cs="Arial"/>
        </w:rPr>
      </w:pPr>
      <w:r w:rsidRPr="00CD59CC">
        <w:rPr>
          <w:rFonts w:ascii="Arial" w:hAnsi="Arial" w:cs="Arial"/>
        </w:rPr>
        <w:t xml:space="preserve">Article 6 of the Act XLIII of 1996 on the Service Relationship of Professional Members of Armed Organisations (regulating armed organisations, such as the police, prison services, customs and excise guards, etc., hereafter: Armed Organisations Act) runs as follows: </w:t>
      </w:r>
    </w:p>
    <w:p w14:paraId="2820B808" w14:textId="77777777" w:rsidR="00393C5B" w:rsidRPr="00CD59CC" w:rsidRDefault="00393C5B" w:rsidP="00CD59CC">
      <w:pPr>
        <w:rPr>
          <w:rFonts w:ascii="Arial" w:hAnsi="Arial" w:cs="Arial"/>
        </w:rPr>
      </w:pPr>
    </w:p>
    <w:p w14:paraId="0A40D4F0" w14:textId="77777777" w:rsidR="00393C5B" w:rsidRPr="00BB4E9F" w:rsidRDefault="00393C5B" w:rsidP="00BB4E9F">
      <w:pPr>
        <w:pStyle w:val="Quote"/>
        <w:numPr>
          <w:ilvl w:val="0"/>
          <w:numId w:val="76"/>
        </w:numPr>
        <w:ind w:left="1134" w:hanging="567"/>
      </w:pPr>
      <w:r w:rsidRPr="006F0AF2">
        <w:t>“With regard to the service relationship the requirement of equal trea</w:t>
      </w:r>
      <w:r w:rsidRPr="00C86D09">
        <w:t xml:space="preserve">tment shall be met. </w:t>
      </w:r>
    </w:p>
    <w:p w14:paraId="7435C058" w14:textId="77777777" w:rsidR="00393C5B" w:rsidRPr="00BB4E9F" w:rsidRDefault="00393C5B" w:rsidP="00BB4E9F">
      <w:pPr>
        <w:pStyle w:val="Quote"/>
        <w:numPr>
          <w:ilvl w:val="0"/>
          <w:numId w:val="76"/>
        </w:numPr>
        <w:ind w:left="1134" w:hanging="567"/>
      </w:pPr>
      <w:r w:rsidRPr="00BB4E9F">
        <w:t xml:space="preserve">The armed organ guarantees without discrimination the advancement of its professional member, based exclusively on his/her professional qualities, experience, performance and service time and with regard to the criteria of ranking.” </w:t>
      </w:r>
    </w:p>
    <w:p w14:paraId="4D20E2E9" w14:textId="77777777" w:rsidR="00393C5B" w:rsidRPr="00CD59CC" w:rsidRDefault="00393C5B" w:rsidP="00CD59CC">
      <w:pPr>
        <w:rPr>
          <w:rFonts w:ascii="Arial" w:hAnsi="Arial" w:cs="Arial"/>
        </w:rPr>
      </w:pPr>
    </w:p>
    <w:p w14:paraId="01ADD0B3" w14:textId="2FE2B744" w:rsidR="00393C5B" w:rsidRPr="00CD59CC" w:rsidRDefault="00393C5B" w:rsidP="00CD59CC">
      <w:pPr>
        <w:rPr>
          <w:rFonts w:ascii="Arial" w:hAnsi="Arial" w:cs="Arial"/>
        </w:rPr>
      </w:pPr>
      <w:r w:rsidRPr="00CD59CC">
        <w:rPr>
          <w:rFonts w:ascii="Arial" w:hAnsi="Arial" w:cs="Arial"/>
        </w:rPr>
        <w:t xml:space="preserve">Article 6 of </w:t>
      </w:r>
      <w:r w:rsidR="00821E92" w:rsidRPr="00CD59CC">
        <w:rPr>
          <w:rFonts w:ascii="Arial" w:hAnsi="Arial" w:cs="Arial"/>
        </w:rPr>
        <w:t>Act CCV of 2012 on the Status of Military Personnel</w:t>
      </w:r>
      <w:r w:rsidR="007B7640" w:rsidRPr="00CD59CC">
        <w:rPr>
          <w:rFonts w:ascii="Arial" w:hAnsi="Arial" w:cs="Arial"/>
        </w:rPr>
        <w:t xml:space="preserve"> </w:t>
      </w:r>
      <w:r w:rsidR="00821E92" w:rsidRPr="00CD59CC">
        <w:rPr>
          <w:rFonts w:ascii="Arial" w:hAnsi="Arial" w:cs="Arial"/>
        </w:rPr>
        <w:t>(hereafter: Armed Forces Act) claims that the State and the employer shall comply with the requirement of equal treatment. Furthermore, remedying the violation of the requirement of equal treatment shall not result in the violation or limitation of a third person’s rights.</w:t>
      </w:r>
      <w:r w:rsidR="007B7640" w:rsidRPr="00CD59CC">
        <w:rPr>
          <w:rFonts w:ascii="Arial" w:hAnsi="Arial" w:cs="Arial"/>
        </w:rPr>
        <w:t xml:space="preserve"> </w:t>
      </w:r>
      <w:r w:rsidR="00821E92" w:rsidRPr="00CD59CC">
        <w:rPr>
          <w:rFonts w:ascii="Arial" w:hAnsi="Arial" w:cs="Arial"/>
        </w:rPr>
        <w:t xml:space="preserve"> </w:t>
      </w:r>
    </w:p>
    <w:p w14:paraId="042C2485" w14:textId="77777777" w:rsidR="00393C5B" w:rsidRPr="00CD59CC" w:rsidRDefault="00393C5B" w:rsidP="00CD59CC">
      <w:pPr>
        <w:rPr>
          <w:rFonts w:ascii="Arial" w:hAnsi="Arial" w:cs="Arial"/>
        </w:rPr>
      </w:pPr>
    </w:p>
    <w:p w14:paraId="2C81AC5B" w14:textId="77777777" w:rsidR="00393C5B" w:rsidRPr="00CD59CC" w:rsidRDefault="00393C5B" w:rsidP="00CD59CC">
      <w:pPr>
        <w:rPr>
          <w:rFonts w:ascii="Arial" w:hAnsi="Arial" w:cs="Arial"/>
        </w:rPr>
      </w:pPr>
      <w:r w:rsidRPr="00CD59CC">
        <w:rPr>
          <w:rFonts w:ascii="Arial" w:hAnsi="Arial" w:cs="Arial"/>
        </w:rPr>
        <w:t xml:space="preserve">This however does not exclude the possibility of differential treatment based on age and disability (or rather: physical features) in the context of armed forces and other armed organisations. The limitations are set forth by the relevant statutes </w:t>
      </w:r>
    </w:p>
    <w:p w14:paraId="05BDE5B6" w14:textId="77777777" w:rsidR="00393C5B" w:rsidRPr="00CD59CC" w:rsidRDefault="00393C5B" w:rsidP="00CD59CC">
      <w:pPr>
        <w:rPr>
          <w:rFonts w:ascii="Arial" w:hAnsi="Arial" w:cs="Arial"/>
        </w:rPr>
      </w:pPr>
    </w:p>
    <w:p w14:paraId="6122265C" w14:textId="77777777" w:rsidR="00393C5B" w:rsidRPr="00CD59CC" w:rsidRDefault="00393C5B" w:rsidP="00CD59CC">
      <w:pPr>
        <w:rPr>
          <w:rFonts w:ascii="Arial" w:hAnsi="Arial" w:cs="Arial"/>
        </w:rPr>
      </w:pPr>
      <w:r w:rsidRPr="00CD59CC">
        <w:rPr>
          <w:rFonts w:ascii="Arial" w:hAnsi="Arial" w:cs="Arial"/>
        </w:rPr>
        <w:t xml:space="preserve">Under Article 37 of the Armed Organisations Act, those may enter service who are older than 18, and are suitable for service from a medical, psychological and physical point of view. </w:t>
      </w:r>
    </w:p>
    <w:p w14:paraId="76267232" w14:textId="77777777" w:rsidR="00393C5B" w:rsidRPr="00CD59CC" w:rsidRDefault="00393C5B" w:rsidP="00CD59CC">
      <w:pPr>
        <w:rPr>
          <w:rFonts w:ascii="Arial" w:hAnsi="Arial" w:cs="Arial"/>
        </w:rPr>
      </w:pPr>
    </w:p>
    <w:p w14:paraId="3BF7D75C" w14:textId="279D6B05" w:rsidR="00393C5B" w:rsidRPr="00CD59CC" w:rsidRDefault="00393C5B" w:rsidP="00CD59CC">
      <w:pPr>
        <w:rPr>
          <w:rFonts w:ascii="Arial" w:hAnsi="Arial" w:cs="Arial"/>
        </w:rPr>
      </w:pPr>
      <w:r w:rsidRPr="00CD59CC">
        <w:rPr>
          <w:rFonts w:ascii="Arial" w:hAnsi="Arial" w:cs="Arial"/>
        </w:rPr>
        <w:t xml:space="preserve">In terms of Article </w:t>
      </w:r>
      <w:r w:rsidR="002E7193" w:rsidRPr="00CD59CC">
        <w:rPr>
          <w:rFonts w:ascii="Arial" w:hAnsi="Arial" w:cs="Arial"/>
        </w:rPr>
        <w:t>3</w:t>
      </w:r>
      <w:r w:rsidRPr="00CD59CC">
        <w:rPr>
          <w:rFonts w:ascii="Arial" w:hAnsi="Arial" w:cs="Arial"/>
        </w:rPr>
        <w:t xml:space="preserve">1 of the Armed Forces Act (regulating the army), those may enter service who are older than 18, and are suitable for service from a medical, psychological and physical point of view. </w:t>
      </w:r>
    </w:p>
    <w:p w14:paraId="2E0DAD2E" w14:textId="77777777" w:rsidR="002E7193" w:rsidRPr="00CD59CC" w:rsidRDefault="002E7193" w:rsidP="00CD59CC">
      <w:pPr>
        <w:rPr>
          <w:rFonts w:ascii="Arial" w:hAnsi="Arial" w:cs="Arial"/>
        </w:rPr>
      </w:pPr>
    </w:p>
    <w:p w14:paraId="5DB97F7F" w14:textId="77777777" w:rsidR="00393C5B" w:rsidRPr="00CD59CC" w:rsidRDefault="00393C5B" w:rsidP="00CD59CC">
      <w:pPr>
        <w:rPr>
          <w:rFonts w:ascii="Arial" w:hAnsi="Arial" w:cs="Arial"/>
        </w:rPr>
      </w:pPr>
      <w:r w:rsidRPr="00CD59CC">
        <w:rPr>
          <w:rFonts w:ascii="Arial" w:hAnsi="Arial" w:cs="Arial"/>
        </w:rPr>
        <w:lastRenderedPageBreak/>
        <w:t xml:space="preserve">The detailed regulations are set forth by Joint Decree 57/2009 of the Ministry of Justice and Law Enforcement, the Ministry of Municipalities and the Minister without Portfolio Overseeing Civil Secret Services. The Decree contains a very detailed description of what suitability from a medical, psychological and physical point of view means. </w:t>
      </w:r>
    </w:p>
    <w:p w14:paraId="305D1769" w14:textId="77777777" w:rsidR="00393C5B" w:rsidRPr="00CD59CC" w:rsidRDefault="00393C5B" w:rsidP="00CD59CC">
      <w:pPr>
        <w:rPr>
          <w:rFonts w:ascii="Arial" w:hAnsi="Arial" w:cs="Arial"/>
        </w:rPr>
      </w:pPr>
    </w:p>
    <w:p w14:paraId="7E57DCAD" w14:textId="77777777" w:rsidR="00393C5B" w:rsidRPr="00CD59CC" w:rsidRDefault="00393C5B" w:rsidP="00CD59CC">
      <w:pPr>
        <w:rPr>
          <w:rFonts w:ascii="Arial" w:hAnsi="Arial" w:cs="Arial"/>
        </w:rPr>
      </w:pPr>
      <w:r w:rsidRPr="00CD59CC">
        <w:rPr>
          <w:rFonts w:ascii="Arial" w:hAnsi="Arial" w:cs="Arial"/>
        </w:rPr>
        <w:t xml:space="preserve">The Equal Treatment Authority had a related case. A woman filed a complaint because she was refused admission to the Police College due to her height. The College used the exemption that it was obliged by the Decree (i.e. a statutory norm) to reject the application, since under its terms, a woman who is less than </w:t>
      </w:r>
      <w:smartTag w:uri="urn:schemas-microsoft-com:office:smarttags" w:element="metricconverter">
        <w:smartTagPr>
          <w:attr w:name="ProductID" w:val="162 centimetres"/>
        </w:smartTagPr>
        <w:r w:rsidRPr="00CD59CC">
          <w:rPr>
            <w:rFonts w:ascii="Arial" w:hAnsi="Arial" w:cs="Arial"/>
          </w:rPr>
          <w:t>162 centimetres</w:t>
        </w:r>
      </w:smartTag>
      <w:r w:rsidRPr="00CD59CC">
        <w:rPr>
          <w:rFonts w:ascii="Arial" w:hAnsi="Arial" w:cs="Arial"/>
        </w:rPr>
        <w:t xml:space="preserve"> tall may not become a police officer (for men, the limit is </w:t>
      </w:r>
      <w:smartTag w:uri="urn:schemas-microsoft-com:office:smarttags" w:element="metricconverter">
        <w:smartTagPr>
          <w:attr w:name="ProductID" w:val="168 centimetres"/>
        </w:smartTagPr>
        <w:r w:rsidRPr="00CD59CC">
          <w:rPr>
            <w:rFonts w:ascii="Arial" w:hAnsi="Arial" w:cs="Arial"/>
          </w:rPr>
          <w:t>168 centimetres</w:t>
        </w:r>
      </w:smartTag>
      <w:r w:rsidRPr="00CD59CC">
        <w:rPr>
          <w:rFonts w:ascii="Arial" w:hAnsi="Arial" w:cs="Arial"/>
        </w:rPr>
        <w:t>). Consequently, the Authority had to reject the complaint, but indicated to the Ministry of Justice and Law Enforcement that a revision of the Decree is necessary.</w:t>
      </w:r>
      <w:r w:rsidRPr="00CD59CC">
        <w:rPr>
          <w:rStyle w:val="FootnoteReference"/>
          <w:rFonts w:ascii="Arial" w:hAnsi="Arial" w:cs="Arial"/>
        </w:rPr>
        <w:footnoteReference w:id="83"/>
      </w:r>
      <w:r w:rsidRPr="00CD59CC">
        <w:rPr>
          <w:rFonts w:ascii="Arial" w:hAnsi="Arial" w:cs="Arial"/>
        </w:rPr>
        <w:t xml:space="preserve"> (If a law, such as an Act of Parliament or a Ministerial Decree is discriminatory, only the Constitutional Court is entitled to declare it null and void. The Authority only has the right to initiate the amendment with the responsible entity.)</w:t>
      </w:r>
    </w:p>
    <w:p w14:paraId="0BB9C845" w14:textId="77777777" w:rsidR="00393C5B" w:rsidRPr="00CD59CC" w:rsidRDefault="00393C5B" w:rsidP="00BB4E9F">
      <w:pPr>
        <w:rPr>
          <w:rFonts w:ascii="Arial" w:hAnsi="Arial" w:cs="Arial"/>
        </w:rPr>
      </w:pPr>
    </w:p>
    <w:p w14:paraId="7144B670" w14:textId="187098B8" w:rsidR="002B5BCD" w:rsidRPr="00CD59CC" w:rsidRDefault="002B5BCD" w:rsidP="00CD59CC">
      <w:pPr>
        <w:pStyle w:val="Heading2"/>
        <w:rPr>
          <w:rFonts w:cs="Arial"/>
        </w:rPr>
      </w:pPr>
      <w:bookmarkStart w:id="220" w:name="_Toc329163627"/>
      <w:bookmarkStart w:id="221" w:name="_Toc366846345"/>
      <w:bookmarkStart w:id="222" w:name="_Toc220221165"/>
      <w:bookmarkStart w:id="223" w:name="_Toc392758735"/>
      <w:r w:rsidRPr="00CD59CC">
        <w:rPr>
          <w:rFonts w:cs="Arial"/>
        </w:rPr>
        <w:t>Nationality discrimination (Art. 3(2</w:t>
      </w:r>
      <w:bookmarkEnd w:id="220"/>
      <w:bookmarkEnd w:id="221"/>
      <w:r w:rsidRPr="00CD59CC">
        <w:rPr>
          <w:rFonts w:cs="Arial"/>
        </w:rPr>
        <w:t>)</w:t>
      </w:r>
      <w:bookmarkEnd w:id="222"/>
      <w:r w:rsidR="00F620F0" w:rsidRPr="00CD59CC">
        <w:rPr>
          <w:rFonts w:cs="Arial"/>
        </w:rPr>
        <w:t>)</w:t>
      </w:r>
      <w:bookmarkEnd w:id="223"/>
    </w:p>
    <w:p w14:paraId="7417C971" w14:textId="77777777" w:rsidR="002B5BCD" w:rsidRPr="00CD59CC" w:rsidRDefault="002B5BCD" w:rsidP="00CD59CC">
      <w:pPr>
        <w:rPr>
          <w:rFonts w:ascii="Arial" w:hAnsi="Arial" w:cs="Arial"/>
          <w:i/>
        </w:rPr>
      </w:pPr>
    </w:p>
    <w:p w14:paraId="4F97DD79" w14:textId="77777777" w:rsidR="002B5BCD" w:rsidRPr="00CD59CC" w:rsidRDefault="002B5BCD" w:rsidP="00CD59CC">
      <w:pPr>
        <w:rPr>
          <w:rFonts w:ascii="Arial" w:hAnsi="Arial" w:cs="Arial"/>
          <w:i/>
        </w:rPr>
      </w:pPr>
      <w:r w:rsidRPr="00CD59CC">
        <w:rPr>
          <w:rFonts w:ascii="Arial" w:hAnsi="Arial" w:cs="Arial"/>
          <w:i/>
        </w:rPr>
        <w:t xml:space="preserve">Both the Racial Equality Directive and the Employment Equality Directive include exceptions relating to difference of treatment based on nationality (Article 3(2) in both Directives). </w:t>
      </w:r>
    </w:p>
    <w:p w14:paraId="10185AAE" w14:textId="77777777" w:rsidR="002B5BCD" w:rsidRPr="00CD59CC" w:rsidRDefault="002B5BCD" w:rsidP="00CD59CC">
      <w:pPr>
        <w:rPr>
          <w:rFonts w:ascii="Arial" w:hAnsi="Arial" w:cs="Arial"/>
          <w:i/>
        </w:rPr>
      </w:pPr>
    </w:p>
    <w:p w14:paraId="115B7205" w14:textId="77777777" w:rsidR="002B5BCD" w:rsidRPr="00CD59CC" w:rsidRDefault="002B5BCD" w:rsidP="00CD59CC">
      <w:pPr>
        <w:numPr>
          <w:ilvl w:val="0"/>
          <w:numId w:val="14"/>
        </w:numPr>
        <w:ind w:left="567" w:hanging="567"/>
        <w:rPr>
          <w:rFonts w:ascii="Arial" w:hAnsi="Arial" w:cs="Arial"/>
          <w:i/>
        </w:rPr>
      </w:pPr>
      <w:r w:rsidRPr="00CD59CC">
        <w:rPr>
          <w:rFonts w:ascii="Arial" w:hAnsi="Arial" w:cs="Arial"/>
          <w:i/>
        </w:rPr>
        <w:t>How does national law treat nationality discrimination? Does this include stateless status?</w:t>
      </w:r>
    </w:p>
    <w:p w14:paraId="7C31F51E" w14:textId="77777777" w:rsidR="002B5BCD" w:rsidRPr="00CD59CC" w:rsidRDefault="002B5BCD" w:rsidP="00CD59CC">
      <w:pPr>
        <w:ind w:left="567"/>
        <w:rPr>
          <w:rFonts w:ascii="Arial" w:hAnsi="Arial" w:cs="Arial"/>
          <w:i/>
        </w:rPr>
      </w:pPr>
      <w:r w:rsidRPr="00CD59CC">
        <w:rPr>
          <w:rFonts w:ascii="Arial" w:hAnsi="Arial" w:cs="Arial"/>
          <w:i/>
        </w:rPr>
        <w:t xml:space="preserve">What is the relationship between ‘nationality’ and ‘race or ethnic origin’, in particular in the context of indirect discrimination? </w:t>
      </w:r>
    </w:p>
    <w:p w14:paraId="23956ECB" w14:textId="77777777" w:rsidR="002B5BCD" w:rsidRPr="00CD59CC" w:rsidRDefault="002B5BCD" w:rsidP="00CD59CC">
      <w:pPr>
        <w:ind w:left="567"/>
        <w:rPr>
          <w:rFonts w:ascii="Arial" w:hAnsi="Arial" w:cs="Arial"/>
          <w:i/>
        </w:rPr>
      </w:pPr>
      <w:r w:rsidRPr="00CD59CC">
        <w:rPr>
          <w:rFonts w:ascii="Arial" w:hAnsi="Arial" w:cs="Arial"/>
          <w:i/>
        </w:rPr>
        <w:t>Is there overlap in case law between discrimination on grounds of nationality and ethnicity (i.e. where nationality discrimination may constitute ethnic discrimination as well?</w:t>
      </w:r>
    </w:p>
    <w:p w14:paraId="36C834FE" w14:textId="77777777" w:rsidR="002B5BCD" w:rsidRPr="00CD59CC" w:rsidRDefault="002B5BCD" w:rsidP="00CD59CC">
      <w:pPr>
        <w:tabs>
          <w:tab w:val="num" w:pos="567"/>
        </w:tabs>
        <w:ind w:left="567" w:hanging="567"/>
        <w:rPr>
          <w:rFonts w:ascii="Arial" w:hAnsi="Arial" w:cs="Arial"/>
        </w:rPr>
      </w:pPr>
    </w:p>
    <w:p w14:paraId="39A5C68C" w14:textId="77777777" w:rsidR="00E845D7" w:rsidRPr="00CD59CC" w:rsidRDefault="00E845D7" w:rsidP="00CD59CC">
      <w:pPr>
        <w:rPr>
          <w:rFonts w:ascii="Arial" w:hAnsi="Arial" w:cs="Arial"/>
          <w:bCs/>
        </w:rPr>
      </w:pPr>
      <w:r w:rsidRPr="00CD59CC">
        <w:rPr>
          <w:rFonts w:ascii="Arial" w:hAnsi="Arial" w:cs="Arial"/>
          <w:bCs/>
        </w:rPr>
        <w:t xml:space="preserve">Although the English text of Article 8 (d) of the ETA mentions nationality (“nemzetiség”) among protected grounds, this expression does not refer to citizenship, it is used to refer to affiliation with a national minority. However, differentiation based on nationality (citizenship) is not excluded from the scope of the Act: in fact, it is one of the “other characteristics” to be protected by the Act, as supported by the case law of the Equal Treatment Authority (see the case of the Romanian complainant under Section 3.1.1.). Statelessness would similarly be an “other characteristic” protected by the ETA. </w:t>
      </w:r>
    </w:p>
    <w:p w14:paraId="27BEAD45" w14:textId="77777777" w:rsidR="00E845D7" w:rsidRPr="00CD59CC" w:rsidRDefault="00E845D7" w:rsidP="00CD59CC">
      <w:pPr>
        <w:rPr>
          <w:rFonts w:ascii="Arial" w:hAnsi="Arial" w:cs="Arial"/>
        </w:rPr>
      </w:pPr>
    </w:p>
    <w:p w14:paraId="590A03AF" w14:textId="77777777" w:rsidR="00E845D7" w:rsidRPr="00CD59CC" w:rsidRDefault="00E845D7" w:rsidP="00CD59CC">
      <w:pPr>
        <w:rPr>
          <w:rFonts w:ascii="Arial" w:hAnsi="Arial" w:cs="Arial"/>
          <w:bCs/>
        </w:rPr>
      </w:pPr>
      <w:r w:rsidRPr="00CD59CC">
        <w:rPr>
          <w:rFonts w:ascii="Arial" w:hAnsi="Arial" w:cs="Arial"/>
          <w:bCs/>
        </w:rPr>
        <w:t xml:space="preserve">Due to the fact that members of the ethnic minority that is most often exposed to discrimination (i.e. the Roma) are Hungarian citizens, there is no overlap in the case law between discrimination based on nationality (in the sense of citizenship) and ethnicity. </w:t>
      </w:r>
    </w:p>
    <w:p w14:paraId="534A471B" w14:textId="77777777" w:rsidR="002B5BCD" w:rsidRPr="00CD59CC" w:rsidRDefault="002B5BCD" w:rsidP="00CD59CC">
      <w:pPr>
        <w:numPr>
          <w:ilvl w:val="0"/>
          <w:numId w:val="14"/>
        </w:numPr>
        <w:ind w:left="567" w:hanging="567"/>
        <w:rPr>
          <w:rFonts w:ascii="Arial" w:hAnsi="Arial" w:cs="Arial"/>
          <w:i/>
        </w:rPr>
      </w:pPr>
      <w:r w:rsidRPr="00CD59CC">
        <w:rPr>
          <w:rFonts w:ascii="Arial" w:hAnsi="Arial" w:cs="Arial"/>
          <w:i/>
        </w:rPr>
        <w:lastRenderedPageBreak/>
        <w:t xml:space="preserve">Are there exceptions in anti-discrimination law that seek to rely on Article 3(2)? </w:t>
      </w:r>
    </w:p>
    <w:p w14:paraId="6396AC73" w14:textId="77777777" w:rsidR="002B5BCD" w:rsidRPr="00CD59CC" w:rsidRDefault="002B5BCD" w:rsidP="00CD59CC">
      <w:pPr>
        <w:rPr>
          <w:rFonts w:ascii="Arial" w:hAnsi="Arial" w:cs="Arial"/>
        </w:rPr>
      </w:pPr>
    </w:p>
    <w:p w14:paraId="2662A938" w14:textId="77777777" w:rsidR="00E845D7" w:rsidRPr="00CD59CC" w:rsidRDefault="00E845D7" w:rsidP="00CD59CC">
      <w:pPr>
        <w:rPr>
          <w:rFonts w:ascii="Arial" w:hAnsi="Arial" w:cs="Arial"/>
        </w:rPr>
      </w:pPr>
      <w:r w:rsidRPr="00CD59CC">
        <w:rPr>
          <w:rFonts w:ascii="Arial" w:hAnsi="Arial" w:cs="Arial"/>
        </w:rPr>
        <w:t xml:space="preserve">Domestic law does not contain exceptions that rely on Article 3(2). Indeed, concerns with regard to the potential impact on immigration of the lack of such exceptions did not surface during the legislative process. Only some cases have emerged where the protected ground was nationality and none of these were related to entry and residence. </w:t>
      </w:r>
    </w:p>
    <w:p w14:paraId="3202A355" w14:textId="77777777" w:rsidR="00E845D7" w:rsidRPr="00CD59CC" w:rsidRDefault="00E845D7" w:rsidP="00CD59CC">
      <w:pPr>
        <w:rPr>
          <w:rFonts w:ascii="Arial" w:hAnsi="Arial" w:cs="Arial"/>
        </w:rPr>
      </w:pPr>
    </w:p>
    <w:p w14:paraId="2A40D37D" w14:textId="77777777" w:rsidR="00E845D7" w:rsidRPr="00CD59CC" w:rsidRDefault="00E845D7" w:rsidP="00CD59CC">
      <w:pPr>
        <w:rPr>
          <w:rFonts w:ascii="Arial" w:hAnsi="Arial" w:cs="Arial"/>
        </w:rPr>
      </w:pPr>
      <w:r w:rsidRPr="00CD59CC">
        <w:rPr>
          <w:rFonts w:ascii="Arial" w:hAnsi="Arial" w:cs="Arial"/>
        </w:rPr>
        <w:t>Cases involving nationality include the case referred to above (Romanian national settled in Hungary was rejected when he applied for a bank loan for a home-cinema system on the basis of his foreign citizenship), and a case in which a spa offered reduced price tickets only to those local residents who are of Hungarian citizenship: an Austrian citizen with a registered address at the given settlement filed a successful complaint with the Equal Treatment Authority.</w:t>
      </w:r>
      <w:r w:rsidRPr="00CD59CC">
        <w:rPr>
          <w:rStyle w:val="FootnoteReference"/>
          <w:rFonts w:ascii="Arial" w:hAnsi="Arial" w:cs="Arial"/>
        </w:rPr>
        <w:footnoteReference w:id="84"/>
      </w:r>
      <w:r w:rsidRPr="00CD59CC">
        <w:rPr>
          <w:rFonts w:ascii="Arial" w:hAnsi="Arial" w:cs="Arial"/>
        </w:rPr>
        <w:t xml:space="preserve"> </w:t>
      </w:r>
    </w:p>
    <w:p w14:paraId="13FE338F" w14:textId="77777777" w:rsidR="002B5BCD" w:rsidRPr="00CD59CC" w:rsidRDefault="002B5BCD" w:rsidP="00CD59CC">
      <w:pPr>
        <w:rPr>
          <w:rFonts w:ascii="Arial" w:hAnsi="Arial" w:cs="Arial"/>
        </w:rPr>
      </w:pPr>
    </w:p>
    <w:p w14:paraId="1A0CC3ED" w14:textId="77777777" w:rsidR="002B5BCD" w:rsidRPr="00CD59CC" w:rsidRDefault="002B5BCD" w:rsidP="00CD59CC">
      <w:pPr>
        <w:pStyle w:val="Heading2"/>
        <w:rPr>
          <w:rFonts w:cs="Arial"/>
        </w:rPr>
      </w:pPr>
      <w:bookmarkStart w:id="224" w:name="_Toc220221166"/>
      <w:bookmarkStart w:id="225" w:name="_Toc392758736"/>
      <w:bookmarkStart w:id="226" w:name="_Toc329163628"/>
      <w:bookmarkStart w:id="227" w:name="_Toc366846346"/>
      <w:r w:rsidRPr="00CD59CC">
        <w:rPr>
          <w:rFonts w:cs="Arial"/>
        </w:rPr>
        <w:t>Work-related family benefits (Recital 22 Directive 2000/78)</w:t>
      </w:r>
      <w:bookmarkEnd w:id="224"/>
      <w:bookmarkEnd w:id="225"/>
      <w:bookmarkEnd w:id="226"/>
      <w:bookmarkEnd w:id="227"/>
    </w:p>
    <w:p w14:paraId="76C51FCE" w14:textId="77777777" w:rsidR="002B5BCD" w:rsidRPr="00CD59CC" w:rsidRDefault="002B5BCD" w:rsidP="00CD59CC">
      <w:pPr>
        <w:rPr>
          <w:rFonts w:ascii="Arial" w:hAnsi="Arial" w:cs="Arial"/>
          <w:b/>
          <w:i/>
        </w:rPr>
      </w:pPr>
    </w:p>
    <w:p w14:paraId="03621155" w14:textId="77777777" w:rsidR="002B5BCD" w:rsidRPr="00CD59CC" w:rsidRDefault="002B5BCD" w:rsidP="00CD59CC">
      <w:pPr>
        <w:pStyle w:val="BodyText3"/>
        <w:spacing w:after="0"/>
        <w:jc w:val="left"/>
        <w:rPr>
          <w:rFonts w:ascii="Arial" w:hAnsi="Arial" w:cs="Arial"/>
          <w:lang w:val="en-GB"/>
        </w:rPr>
      </w:pPr>
      <w:r w:rsidRPr="00CD59CC">
        <w:rPr>
          <w:rFonts w:ascii="Arial" w:hAnsi="Arial" w:cs="Arial"/>
          <w:lang w:val="en-GB"/>
        </w:rPr>
        <w:t xml:space="preserve">Some employers, both public and private, provide benefits to employees in respect of their partners. For example, an employer might provide employees with free or subsidised private health insurance, covering both the employees and their partners. Certain employers limit these benefits to the married partners </w:t>
      </w:r>
      <w:r w:rsidRPr="00BB4E9F">
        <w:rPr>
          <w:rFonts w:ascii="Arial" w:hAnsi="Arial"/>
        </w:rPr>
        <w:t>(e.g. Case C-267/06 Maruko)</w:t>
      </w:r>
      <w:r w:rsidRPr="00BB4E9F">
        <w:rPr>
          <w:rFonts w:ascii="Arial" w:hAnsi="Arial"/>
          <w:i w:val="0"/>
        </w:rPr>
        <w:t xml:space="preserve"> </w:t>
      </w:r>
      <w:r w:rsidRPr="00CD59CC">
        <w:rPr>
          <w:rFonts w:ascii="Arial" w:hAnsi="Arial" w:cs="Arial"/>
          <w:lang w:val="en-GB"/>
        </w:rPr>
        <w:t xml:space="preserve">or unmarried opposite-sex partners of employees. This question aims to establish how national law treats such practices. Please note: this question is focused on benefits provided by the employer. We are not looking for information on state social security arrangements. </w:t>
      </w:r>
    </w:p>
    <w:p w14:paraId="643FA824" w14:textId="77777777" w:rsidR="002B5BCD" w:rsidRPr="00CD59CC" w:rsidRDefault="002B5BCD" w:rsidP="00CD59CC">
      <w:pPr>
        <w:rPr>
          <w:rFonts w:ascii="Arial" w:hAnsi="Arial" w:cs="Arial"/>
          <w:b/>
          <w:i/>
          <w:iCs/>
        </w:rPr>
      </w:pPr>
    </w:p>
    <w:p w14:paraId="79226B1B" w14:textId="329F8789" w:rsidR="002B5BCD" w:rsidRPr="00CD59CC" w:rsidRDefault="002B5BCD" w:rsidP="00CD59CC">
      <w:pPr>
        <w:numPr>
          <w:ilvl w:val="0"/>
          <w:numId w:val="15"/>
        </w:numPr>
        <w:ind w:left="567" w:hanging="567"/>
        <w:rPr>
          <w:rFonts w:ascii="Arial" w:hAnsi="Arial" w:cs="Arial"/>
          <w:i/>
          <w:iCs/>
        </w:rPr>
      </w:pPr>
      <w:r w:rsidRPr="00CD59CC">
        <w:rPr>
          <w:rFonts w:ascii="Arial" w:hAnsi="Arial" w:cs="Arial"/>
          <w:i/>
          <w:iCs/>
        </w:rPr>
        <w:t xml:space="preserve">Would it constitute unlawful discrimination in national law if an employer </w:t>
      </w:r>
      <w:r w:rsidR="00EF696E" w:rsidRPr="00CD59CC">
        <w:rPr>
          <w:rFonts w:ascii="Arial" w:hAnsi="Arial" w:cs="Arial"/>
          <w:i/>
          <w:iCs/>
        </w:rPr>
        <w:t>only</w:t>
      </w:r>
      <w:r w:rsidR="00DD3B68" w:rsidRPr="00CD59CC">
        <w:rPr>
          <w:rFonts w:ascii="Arial" w:hAnsi="Arial" w:cs="Arial"/>
          <w:i/>
          <w:iCs/>
        </w:rPr>
        <w:t xml:space="preserve"> </w:t>
      </w:r>
      <w:r w:rsidRPr="00CD59CC">
        <w:rPr>
          <w:rFonts w:ascii="Arial" w:hAnsi="Arial" w:cs="Arial"/>
          <w:i/>
          <w:iCs/>
        </w:rPr>
        <w:t>provides benefits</w:t>
      </w:r>
      <w:r w:rsidR="007B7640" w:rsidRPr="00CD59CC">
        <w:rPr>
          <w:rFonts w:ascii="Arial" w:hAnsi="Arial" w:cs="Arial"/>
          <w:i/>
          <w:iCs/>
        </w:rPr>
        <w:t xml:space="preserve"> </w:t>
      </w:r>
      <w:r w:rsidRPr="00CD59CC">
        <w:rPr>
          <w:rFonts w:ascii="Arial" w:hAnsi="Arial" w:cs="Arial"/>
          <w:i/>
          <w:iCs/>
        </w:rPr>
        <w:t>to those employees who are married?</w:t>
      </w:r>
    </w:p>
    <w:p w14:paraId="3873D894" w14:textId="77777777" w:rsidR="002B5BCD" w:rsidRPr="00CD59CC" w:rsidRDefault="002B5BCD" w:rsidP="00CD59CC">
      <w:pPr>
        <w:ind w:left="567" w:hanging="567"/>
        <w:rPr>
          <w:rFonts w:ascii="Arial" w:hAnsi="Arial" w:cs="Arial"/>
          <w:iCs/>
        </w:rPr>
      </w:pPr>
    </w:p>
    <w:p w14:paraId="4F4883A6" w14:textId="77777777" w:rsidR="002E7EA7" w:rsidRPr="00CD59CC" w:rsidRDefault="002E7EA7" w:rsidP="00CD59CC">
      <w:pPr>
        <w:ind w:left="567" w:hanging="567"/>
        <w:rPr>
          <w:rFonts w:ascii="Arial" w:hAnsi="Arial" w:cs="Arial"/>
          <w:iCs/>
        </w:rPr>
      </w:pPr>
      <w:r w:rsidRPr="00CD59CC">
        <w:rPr>
          <w:rFonts w:ascii="Arial" w:hAnsi="Arial" w:cs="Arial"/>
          <w:iCs/>
        </w:rPr>
        <w:t>See below, under point b).</w:t>
      </w:r>
    </w:p>
    <w:p w14:paraId="2BEF6800" w14:textId="77777777" w:rsidR="002E7EA7" w:rsidRPr="00CD59CC" w:rsidRDefault="002E7EA7" w:rsidP="00CD59CC">
      <w:pPr>
        <w:ind w:left="567" w:hanging="567"/>
        <w:rPr>
          <w:rFonts w:ascii="Arial" w:hAnsi="Arial" w:cs="Arial"/>
          <w:iCs/>
        </w:rPr>
      </w:pPr>
    </w:p>
    <w:p w14:paraId="1A7582AC" w14:textId="2D1F718E" w:rsidR="002B5BCD" w:rsidRPr="00CD59CC" w:rsidRDefault="002B5BCD" w:rsidP="00CD59CC">
      <w:pPr>
        <w:numPr>
          <w:ilvl w:val="0"/>
          <w:numId w:val="15"/>
        </w:numPr>
        <w:ind w:left="567" w:hanging="567"/>
        <w:rPr>
          <w:rFonts w:ascii="Arial" w:hAnsi="Arial" w:cs="Arial"/>
          <w:i/>
          <w:iCs/>
        </w:rPr>
      </w:pPr>
      <w:r w:rsidRPr="00CD59CC">
        <w:rPr>
          <w:rFonts w:ascii="Arial" w:hAnsi="Arial" w:cs="Arial"/>
          <w:i/>
          <w:iCs/>
        </w:rPr>
        <w:t xml:space="preserve">Would it constitute unlawful discrimination in national law if an employer </w:t>
      </w:r>
      <w:r w:rsidR="00EF696E" w:rsidRPr="00CD59CC">
        <w:rPr>
          <w:rFonts w:ascii="Arial" w:hAnsi="Arial" w:cs="Arial"/>
          <w:i/>
          <w:iCs/>
        </w:rPr>
        <w:t>only</w:t>
      </w:r>
      <w:r w:rsidR="00A419F8" w:rsidRPr="00CD59CC">
        <w:rPr>
          <w:rFonts w:ascii="Arial" w:hAnsi="Arial" w:cs="Arial"/>
          <w:i/>
          <w:iCs/>
        </w:rPr>
        <w:t xml:space="preserve"> </w:t>
      </w:r>
      <w:r w:rsidRPr="00CD59CC">
        <w:rPr>
          <w:rFonts w:ascii="Arial" w:hAnsi="Arial" w:cs="Arial"/>
          <w:i/>
          <w:iCs/>
        </w:rPr>
        <w:t>provides benefits to those employees with opposite-sex partners?</w:t>
      </w:r>
    </w:p>
    <w:p w14:paraId="2922BC94" w14:textId="77777777" w:rsidR="002B5BCD" w:rsidRPr="00CD59CC" w:rsidRDefault="002B5BCD" w:rsidP="00CD59CC">
      <w:pPr>
        <w:rPr>
          <w:rFonts w:ascii="Arial" w:hAnsi="Arial" w:cs="Arial"/>
          <w:i/>
          <w:iCs/>
        </w:rPr>
      </w:pPr>
    </w:p>
    <w:p w14:paraId="34A9472B" w14:textId="77777777" w:rsidR="002E7EA7" w:rsidRPr="00CD59CC" w:rsidRDefault="002E7EA7" w:rsidP="00CD59CC">
      <w:pPr>
        <w:rPr>
          <w:rFonts w:ascii="Arial" w:hAnsi="Arial" w:cs="Arial"/>
        </w:rPr>
      </w:pPr>
      <w:r w:rsidRPr="00CD59CC">
        <w:rPr>
          <w:rFonts w:ascii="Arial" w:hAnsi="Arial" w:cs="Arial"/>
        </w:rPr>
        <w:t xml:space="preserve">There are no explicit provisions in national law with regard to this issue, and we are not aware of any related case law. Looking at the general legal framework, we can say that this type of overt discrimination would not be justifiable. In its Decision 14/1995 (III. 13.), the Constitutional Court expressly declared that “those (social and health care) benefits that are provided on the basis of partnership, may not be made dependent on the sex of the partners.” Although this was stated with regard to state social security arrangements, the Constitutional Court’s view would by all probability be taken into consideration in a legal dispute between an employer and an employee as well. </w:t>
      </w:r>
    </w:p>
    <w:p w14:paraId="5D1C0872" w14:textId="77777777" w:rsidR="002E7EA7" w:rsidRPr="00CD59CC" w:rsidRDefault="002E7EA7" w:rsidP="00CD59CC">
      <w:pPr>
        <w:rPr>
          <w:rFonts w:ascii="Arial" w:hAnsi="Arial" w:cs="Arial"/>
        </w:rPr>
      </w:pPr>
    </w:p>
    <w:p w14:paraId="177CF6BA" w14:textId="77777777" w:rsidR="002E7EA7" w:rsidRPr="00CD59CC" w:rsidRDefault="002E7EA7" w:rsidP="00CD59CC">
      <w:pPr>
        <w:rPr>
          <w:rFonts w:ascii="Arial" w:hAnsi="Arial" w:cs="Arial"/>
          <w:i/>
        </w:rPr>
      </w:pPr>
      <w:r w:rsidRPr="00CD59CC">
        <w:rPr>
          <w:rFonts w:ascii="Arial" w:hAnsi="Arial" w:cs="Arial"/>
        </w:rPr>
        <w:lastRenderedPageBreak/>
        <w:t>With regard to such benefits a claim of discrimination could be made under the ETA. Based on Article 19, it would be simple for the claimant to prove the disadvantage and the existence of a protected ground, following which the employer would by all probability try to rely on the general exempting rule [Article 7(2)] and claim that the differentiation has an objectively reasonable ground. In the light of the Constitutional Court’s above outlined decision, it is highly doubtful that such an attempt could be successful.</w:t>
      </w:r>
    </w:p>
    <w:p w14:paraId="3011F3F8" w14:textId="77777777" w:rsidR="002E7EA7" w:rsidRPr="00CD59CC" w:rsidRDefault="002E7EA7" w:rsidP="00CD59CC">
      <w:pPr>
        <w:rPr>
          <w:rFonts w:ascii="Arial" w:hAnsi="Arial" w:cs="Arial"/>
          <w:i/>
          <w:iCs/>
        </w:rPr>
      </w:pPr>
    </w:p>
    <w:p w14:paraId="3BC945FD" w14:textId="77777777" w:rsidR="002B5BCD" w:rsidRPr="00CD59CC" w:rsidRDefault="002B5BCD" w:rsidP="00CD59CC">
      <w:pPr>
        <w:pStyle w:val="Heading2"/>
        <w:rPr>
          <w:rFonts w:cs="Arial"/>
        </w:rPr>
      </w:pPr>
      <w:bookmarkStart w:id="228" w:name="_Toc220221167"/>
      <w:r w:rsidRPr="00CD59CC">
        <w:rPr>
          <w:rFonts w:cs="Arial"/>
        </w:rPr>
        <w:tab/>
      </w:r>
      <w:bookmarkStart w:id="229" w:name="_Toc392758737"/>
      <w:bookmarkStart w:id="230" w:name="_Toc329163629"/>
      <w:bookmarkStart w:id="231" w:name="_Toc366846347"/>
      <w:r w:rsidRPr="00CD59CC">
        <w:rPr>
          <w:rFonts w:cs="Arial"/>
        </w:rPr>
        <w:t>Health and safety (Art. 7(2) Directive 2000/78)</w:t>
      </w:r>
      <w:bookmarkEnd w:id="228"/>
      <w:bookmarkEnd w:id="229"/>
      <w:bookmarkEnd w:id="230"/>
      <w:bookmarkEnd w:id="231"/>
    </w:p>
    <w:p w14:paraId="338ECD08" w14:textId="77777777" w:rsidR="002B5BCD" w:rsidRPr="00CD59CC" w:rsidRDefault="002B5BCD" w:rsidP="00CD59CC">
      <w:pPr>
        <w:rPr>
          <w:rFonts w:ascii="Arial" w:hAnsi="Arial" w:cs="Arial"/>
        </w:rPr>
      </w:pPr>
    </w:p>
    <w:p w14:paraId="085C88BF" w14:textId="2A5425CF" w:rsidR="002B5BCD" w:rsidRPr="00CD59CC" w:rsidRDefault="002B5BCD" w:rsidP="00CD59CC">
      <w:pPr>
        <w:numPr>
          <w:ilvl w:val="0"/>
          <w:numId w:val="16"/>
        </w:numPr>
        <w:ind w:left="567" w:hanging="567"/>
        <w:rPr>
          <w:rFonts w:ascii="Arial" w:hAnsi="Arial" w:cs="Arial"/>
          <w:i/>
        </w:rPr>
      </w:pPr>
      <w:r w:rsidRPr="00CD59CC">
        <w:rPr>
          <w:rFonts w:ascii="Arial" w:hAnsi="Arial" w:cs="Arial"/>
          <w:i/>
        </w:rPr>
        <w:t>Are there exceptions in relation to disability and health and safety (Article 7(2), Directive 2000/78)?</w:t>
      </w:r>
      <w:r w:rsidR="007B7640" w:rsidRPr="00CD59CC">
        <w:rPr>
          <w:rFonts w:ascii="Arial" w:hAnsi="Arial" w:cs="Arial"/>
          <w:i/>
        </w:rPr>
        <w:t xml:space="preserve"> </w:t>
      </w:r>
    </w:p>
    <w:p w14:paraId="60F6BCE2" w14:textId="77777777" w:rsidR="002B5BCD" w:rsidRPr="00CD59CC" w:rsidRDefault="002B5BCD" w:rsidP="00CD59CC">
      <w:pPr>
        <w:ind w:left="567" w:hanging="567"/>
        <w:rPr>
          <w:rFonts w:ascii="Arial" w:hAnsi="Arial" w:cs="Arial"/>
          <w:i/>
        </w:rPr>
      </w:pPr>
    </w:p>
    <w:p w14:paraId="74B91E76" w14:textId="77777777" w:rsidR="00961587" w:rsidRPr="00CD59CC" w:rsidRDefault="00961587" w:rsidP="00CD59CC">
      <w:pPr>
        <w:ind w:left="567" w:hanging="567"/>
        <w:rPr>
          <w:rFonts w:ascii="Arial" w:hAnsi="Arial" w:cs="Arial"/>
          <w:i/>
        </w:rPr>
      </w:pPr>
      <w:r w:rsidRPr="00CD59CC">
        <w:rPr>
          <w:rFonts w:ascii="Arial" w:hAnsi="Arial" w:cs="Arial"/>
          <w:iCs/>
        </w:rPr>
        <w:t>See below, under point b).</w:t>
      </w:r>
    </w:p>
    <w:p w14:paraId="7CD29870" w14:textId="77777777" w:rsidR="00961587" w:rsidRPr="00CD59CC" w:rsidRDefault="00961587" w:rsidP="00BB4E9F">
      <w:pPr>
        <w:rPr>
          <w:rFonts w:ascii="Arial" w:hAnsi="Arial" w:cs="Arial"/>
          <w:i/>
        </w:rPr>
      </w:pPr>
    </w:p>
    <w:p w14:paraId="362EFF64" w14:textId="77777777" w:rsidR="002B5BCD" w:rsidRPr="00CD59CC" w:rsidRDefault="002B5BCD" w:rsidP="00CD59CC">
      <w:pPr>
        <w:numPr>
          <w:ilvl w:val="0"/>
          <w:numId w:val="16"/>
        </w:numPr>
        <w:ind w:left="567" w:hanging="567"/>
        <w:rPr>
          <w:rFonts w:ascii="Arial" w:hAnsi="Arial" w:cs="Arial"/>
          <w:i/>
        </w:rPr>
      </w:pPr>
      <w:r w:rsidRPr="00CD59CC">
        <w:rPr>
          <w:rFonts w:ascii="Arial" w:hAnsi="Arial" w:cs="Arial"/>
          <w:i/>
        </w:rPr>
        <w:t>Are there exceptions relating to health and safety law in relation to other grounds, for example, ethnic origin or religion where there may be issues of dress or personal appearance (turbans, hair, beards, jewellery, etc.)?</w:t>
      </w:r>
    </w:p>
    <w:p w14:paraId="44087F29" w14:textId="77777777" w:rsidR="002B5BCD" w:rsidRPr="00BB4E9F" w:rsidRDefault="002B5BCD" w:rsidP="00CD59CC">
      <w:pPr>
        <w:rPr>
          <w:rFonts w:ascii="Arial" w:hAnsi="Arial"/>
          <w:i/>
        </w:rPr>
      </w:pPr>
    </w:p>
    <w:p w14:paraId="15032DF3" w14:textId="77777777" w:rsidR="00961587" w:rsidRPr="00CD59CC" w:rsidRDefault="00961587" w:rsidP="00CD59CC">
      <w:pPr>
        <w:rPr>
          <w:rFonts w:ascii="Arial" w:hAnsi="Arial" w:cs="Arial"/>
        </w:rPr>
      </w:pPr>
      <w:r w:rsidRPr="00CD59CC">
        <w:rPr>
          <w:rFonts w:ascii="Arial" w:hAnsi="Arial" w:cs="Arial"/>
        </w:rPr>
        <w:t xml:space="preserve">Decree 33/1998 of the Ministry of Welfare on the Medical Examination and Assessment of Labour, Professional and Personal Hygienic Suitability (hereinafter: Labour Suitability Decree) covers job and profession related suitability tests [Article 1 (a) and (b)]. The former serves to test whether the applicant can meet the encumbrance resulting from the activity he/she needs to perform on the job. The latter seems to be of an even more strictly medical nature, testing suitability prior to (re)training. </w:t>
      </w:r>
    </w:p>
    <w:p w14:paraId="360685E4" w14:textId="77777777" w:rsidR="00961587" w:rsidRPr="00CD59CC" w:rsidRDefault="00961587" w:rsidP="00CD59CC">
      <w:pPr>
        <w:rPr>
          <w:rFonts w:ascii="Arial" w:hAnsi="Arial" w:cs="Arial"/>
        </w:rPr>
      </w:pPr>
    </w:p>
    <w:p w14:paraId="334B41AA" w14:textId="77777777" w:rsidR="00961587" w:rsidRPr="00CD59CC" w:rsidRDefault="00961587" w:rsidP="00CD59CC">
      <w:pPr>
        <w:rPr>
          <w:rFonts w:ascii="Arial" w:hAnsi="Arial" w:cs="Arial"/>
        </w:rPr>
      </w:pPr>
      <w:r w:rsidRPr="00CD59CC">
        <w:rPr>
          <w:rFonts w:ascii="Arial" w:hAnsi="Arial" w:cs="Arial"/>
        </w:rPr>
        <w:t>Some relevant provisions can be found in the Labour Code. Article 51 Paragraph (3) prescribes that the employee may only be employed for work that may not entail disadvantageous effects on him/her taking into consideration his/her physical features or maturity. Under Paragraph (4) of the same Article, the employer shall provide free labours suitability examinations before the start of the employment and at regular intervals subsequently.</w:t>
      </w:r>
    </w:p>
    <w:p w14:paraId="6922D552" w14:textId="77777777" w:rsidR="00961587" w:rsidRPr="00CD59CC" w:rsidRDefault="00961587" w:rsidP="00CD59CC">
      <w:pPr>
        <w:rPr>
          <w:rFonts w:ascii="Arial" w:hAnsi="Arial" w:cs="Arial"/>
        </w:rPr>
      </w:pPr>
    </w:p>
    <w:p w14:paraId="785E9E53" w14:textId="77777777" w:rsidR="00961587" w:rsidRPr="00CD59CC" w:rsidRDefault="00961587" w:rsidP="00CD59CC">
      <w:pPr>
        <w:rPr>
          <w:rFonts w:ascii="Arial" w:hAnsi="Arial" w:cs="Arial"/>
        </w:rPr>
      </w:pPr>
      <w:r w:rsidRPr="00CD59CC">
        <w:rPr>
          <w:rFonts w:ascii="Arial" w:hAnsi="Arial" w:cs="Arial"/>
        </w:rPr>
        <w:t xml:space="preserve">The Labour Code here refers to examinations conducted in terms of the Labour Suitability Decree. Article 10 Paragraph (1) of the Decree states: “In the course of examining and assessing labour suitability it shall be taken into consideration that women (with special regard to women of child-bearing age, pregnant women – especially those in the early phase of pregnancy –, women who are breast feeding and women giving milk) are not or only conditionally suitable for work entailing health risks or dangerous encumbrances and enumerated under Annex 8.” </w:t>
      </w:r>
    </w:p>
    <w:p w14:paraId="60ECD9CD" w14:textId="77777777" w:rsidR="00961587" w:rsidRPr="00CD59CC" w:rsidRDefault="00961587" w:rsidP="00CD59CC">
      <w:pPr>
        <w:rPr>
          <w:rFonts w:ascii="Arial" w:hAnsi="Arial" w:cs="Arial"/>
        </w:rPr>
      </w:pPr>
    </w:p>
    <w:p w14:paraId="796C6CDA" w14:textId="77777777" w:rsidR="00961587" w:rsidRPr="00CD59CC" w:rsidRDefault="00961587" w:rsidP="00CD59CC">
      <w:pPr>
        <w:rPr>
          <w:rFonts w:ascii="Arial" w:hAnsi="Arial" w:cs="Arial"/>
        </w:rPr>
      </w:pPr>
      <w:r w:rsidRPr="00CD59CC">
        <w:rPr>
          <w:rFonts w:ascii="Arial" w:hAnsi="Arial" w:cs="Arial"/>
        </w:rPr>
        <w:t xml:space="preserve">Under Article 10/A Paragraph (1) “the encumbrances excluding or only conditionally allowing the employment of minors are listed in Annex </w:t>
      </w:r>
      <w:smartTag w:uri="urn:schemas-microsoft-com:office:smarttags" w:element="metricconverter">
        <w:smartTagPr>
          <w:attr w:name="ProductID" w:val="8.”"/>
        </w:smartTagPr>
        <w:r w:rsidRPr="00CD59CC">
          <w:rPr>
            <w:rFonts w:ascii="Arial" w:hAnsi="Arial" w:cs="Arial"/>
          </w:rPr>
          <w:t>8.”</w:t>
        </w:r>
      </w:smartTag>
      <w:r w:rsidRPr="00CD59CC">
        <w:rPr>
          <w:rFonts w:ascii="Arial" w:hAnsi="Arial" w:cs="Arial"/>
        </w:rPr>
        <w:t xml:space="preserve"> Article 10/B Paragraph (1) prescribes that “in the course of examining and assessing labour suitability it shall be taken into consideration that older employees are not or only conditionally suitable for </w:t>
      </w:r>
      <w:r w:rsidRPr="00CD59CC">
        <w:rPr>
          <w:rFonts w:ascii="Arial" w:hAnsi="Arial" w:cs="Arial"/>
        </w:rPr>
        <w:lastRenderedPageBreak/>
        <w:t xml:space="preserve">work entailing health risks or dangerous encumbrances and enumerated under Annex </w:t>
      </w:r>
      <w:smartTag w:uri="urn:schemas-microsoft-com:office:smarttags" w:element="metricconverter">
        <w:smartTagPr>
          <w:attr w:name="ProductID" w:val="8.”"/>
        </w:smartTagPr>
        <w:r w:rsidRPr="00CD59CC">
          <w:rPr>
            <w:rFonts w:ascii="Arial" w:hAnsi="Arial" w:cs="Arial"/>
          </w:rPr>
          <w:t>8.”</w:t>
        </w:r>
      </w:smartTag>
      <w:r w:rsidRPr="00CD59CC">
        <w:rPr>
          <w:rFonts w:ascii="Arial" w:hAnsi="Arial" w:cs="Arial"/>
        </w:rPr>
        <w:t xml:space="preserve"> Annex 8 of the Decree contains a very detailed list of encumbrances that are potentially harmful to the health of vulnerable groups and therefore require prohibition. Examples are: microwave radiation, overpressure, exposition to highly poisonous, carcinogenic materials and materials damaging reproductive capacity. Annex 9 lists the activities for which individual risk assessment is required when deciding on the suitability of women, minors and older employees. </w:t>
      </w:r>
    </w:p>
    <w:p w14:paraId="4F98F02A" w14:textId="77777777" w:rsidR="00961587" w:rsidRPr="00CD59CC" w:rsidRDefault="00961587" w:rsidP="00CD59CC">
      <w:pPr>
        <w:rPr>
          <w:rFonts w:ascii="Arial" w:hAnsi="Arial" w:cs="Arial"/>
        </w:rPr>
      </w:pPr>
    </w:p>
    <w:p w14:paraId="39425699" w14:textId="77777777" w:rsidR="00961587" w:rsidRPr="00CD59CC" w:rsidRDefault="00961587" w:rsidP="00CD59CC">
      <w:pPr>
        <w:rPr>
          <w:rFonts w:ascii="Arial" w:hAnsi="Arial" w:cs="Arial"/>
        </w:rPr>
      </w:pPr>
      <w:r w:rsidRPr="00CD59CC">
        <w:rPr>
          <w:rFonts w:ascii="Arial" w:hAnsi="Arial" w:cs="Arial"/>
        </w:rPr>
        <w:t xml:space="preserve">Definitions, such as ageing, and vulnerable groups (Article 1 (n) and (o) of the Labour Suitability Decree) suggest that explicitly formulated health and safety considerations are restricted to (young and old) age and motherhood, which however does not mean that disability, health and safety considerations may not be invoked as a justification for differentiation on the basis of “general suitability” [under Article 1 (a) of the Decree a job suitability test is aimed at establishing whether a person is capable of enduring the encumbrance imposed on him by pursuing a certain activity at a particular working place in a particular job] or Article 22 (a) of the ETA (genuine and occupational requirement provision). </w:t>
      </w:r>
    </w:p>
    <w:p w14:paraId="4100EF2B" w14:textId="77777777" w:rsidR="00961587" w:rsidRPr="00CD59CC" w:rsidRDefault="00961587" w:rsidP="00CD59CC">
      <w:pPr>
        <w:rPr>
          <w:rFonts w:ascii="Arial" w:hAnsi="Arial" w:cs="Arial"/>
        </w:rPr>
      </w:pPr>
    </w:p>
    <w:p w14:paraId="5BE41851" w14:textId="77777777" w:rsidR="00961587" w:rsidRPr="00CD59CC" w:rsidRDefault="00961587" w:rsidP="00CD59CC">
      <w:pPr>
        <w:rPr>
          <w:rFonts w:ascii="Arial" w:hAnsi="Arial" w:cs="Arial"/>
        </w:rPr>
      </w:pPr>
      <w:r w:rsidRPr="00CD59CC">
        <w:rPr>
          <w:rFonts w:ascii="Arial" w:hAnsi="Arial" w:cs="Arial"/>
        </w:rPr>
        <w:t>There are no exceptions relating to health and safety law in relation to ethnic origin or religion.</w:t>
      </w:r>
    </w:p>
    <w:p w14:paraId="5885B124" w14:textId="77777777" w:rsidR="00CD59CC" w:rsidRPr="002B50DC" w:rsidRDefault="00CD59CC" w:rsidP="002B50DC">
      <w:pPr>
        <w:rPr>
          <w:rFonts w:ascii="Arial" w:hAnsi="Arial" w:cs="Arial"/>
        </w:rPr>
      </w:pPr>
      <w:bookmarkStart w:id="232" w:name="_Toc220221168"/>
    </w:p>
    <w:p w14:paraId="1BE9AA7E" w14:textId="77777777" w:rsidR="002B5BCD" w:rsidRPr="00CD59CC" w:rsidRDefault="002B5BCD" w:rsidP="00CD59CC">
      <w:pPr>
        <w:pStyle w:val="Heading2"/>
        <w:rPr>
          <w:rFonts w:cs="Arial"/>
        </w:rPr>
      </w:pPr>
      <w:bookmarkStart w:id="233" w:name="_Toc392758738"/>
      <w:bookmarkStart w:id="234" w:name="_Toc329163630"/>
      <w:bookmarkStart w:id="235" w:name="_Toc366846348"/>
      <w:r w:rsidRPr="00CD59CC">
        <w:rPr>
          <w:rFonts w:cs="Arial"/>
        </w:rPr>
        <w:t>Exceptions related to discrimination on the ground of age (Art. 6 Directive 2000/78)</w:t>
      </w:r>
      <w:bookmarkEnd w:id="232"/>
      <w:bookmarkEnd w:id="233"/>
      <w:bookmarkEnd w:id="234"/>
      <w:bookmarkEnd w:id="235"/>
    </w:p>
    <w:p w14:paraId="6E3E5347" w14:textId="77777777" w:rsidR="00C76A05" w:rsidRPr="00CD59CC" w:rsidRDefault="00C76A05" w:rsidP="00CD59CC">
      <w:pPr>
        <w:rPr>
          <w:rFonts w:ascii="Arial" w:hAnsi="Arial" w:cs="Arial"/>
          <w:b/>
        </w:rPr>
      </w:pPr>
    </w:p>
    <w:p w14:paraId="680DAAC6" w14:textId="77777777" w:rsidR="002B5BCD" w:rsidRPr="00CD59CC" w:rsidRDefault="002B5BCD" w:rsidP="00CD59CC">
      <w:pPr>
        <w:pStyle w:val="Heading3"/>
        <w:rPr>
          <w:rFonts w:cs="Arial"/>
        </w:rPr>
      </w:pPr>
      <w:bookmarkStart w:id="236" w:name="_Toc220221169"/>
      <w:bookmarkStart w:id="237" w:name="_Toc392758739"/>
      <w:bookmarkStart w:id="238" w:name="_Toc329163631"/>
      <w:bookmarkStart w:id="239" w:name="_Toc366846349"/>
      <w:r w:rsidRPr="00CD59CC">
        <w:rPr>
          <w:rFonts w:cs="Arial"/>
        </w:rPr>
        <w:t>Direct discrimination</w:t>
      </w:r>
      <w:bookmarkEnd w:id="236"/>
      <w:bookmarkEnd w:id="237"/>
      <w:bookmarkEnd w:id="238"/>
      <w:bookmarkEnd w:id="239"/>
    </w:p>
    <w:p w14:paraId="6F5D61FE" w14:textId="77777777" w:rsidR="002B5BCD" w:rsidRPr="00CD59CC" w:rsidRDefault="002B5BCD" w:rsidP="00CD59CC">
      <w:pPr>
        <w:rPr>
          <w:rFonts w:ascii="Arial" w:hAnsi="Arial" w:cs="Arial"/>
        </w:rPr>
      </w:pPr>
    </w:p>
    <w:p w14:paraId="6C8534F9" w14:textId="77777777" w:rsidR="00AF3DDB" w:rsidRPr="00CD59CC" w:rsidRDefault="00AF3DDB" w:rsidP="00CD59CC">
      <w:pPr>
        <w:rPr>
          <w:rFonts w:ascii="Arial" w:hAnsi="Arial" w:cs="Arial"/>
          <w:i/>
        </w:rPr>
      </w:pPr>
      <w:r w:rsidRPr="00CD59CC">
        <w:rPr>
          <w:rFonts w:ascii="Arial" w:hAnsi="Arial" w:cs="Arial"/>
          <w:i/>
        </w:rPr>
        <w:t xml:space="preserve">Please, indicate whether national law </w:t>
      </w:r>
      <w:r w:rsidR="00071400" w:rsidRPr="00CD59CC">
        <w:rPr>
          <w:rFonts w:ascii="Arial" w:hAnsi="Arial" w:cs="Arial"/>
          <w:i/>
        </w:rPr>
        <w:t xml:space="preserve">provides an exception for age? </w:t>
      </w:r>
      <w:r w:rsidRPr="00CD59CC">
        <w:rPr>
          <w:rFonts w:ascii="Arial" w:hAnsi="Arial" w:cs="Arial"/>
          <w:i/>
        </w:rPr>
        <w:t>(Does the law</w:t>
      </w:r>
      <w:r w:rsidR="00071400" w:rsidRPr="00CD59CC">
        <w:rPr>
          <w:rFonts w:ascii="Arial" w:hAnsi="Arial" w:cs="Arial"/>
          <w:i/>
        </w:rPr>
        <w:t xml:space="preserve"> allow for direct discrimination on the ground of age</w:t>
      </w:r>
      <w:r w:rsidRPr="00CD59CC">
        <w:rPr>
          <w:rFonts w:ascii="Arial" w:hAnsi="Arial" w:cs="Arial"/>
          <w:i/>
        </w:rPr>
        <w:t>?)</w:t>
      </w:r>
    </w:p>
    <w:p w14:paraId="4D4E1D48" w14:textId="77777777" w:rsidR="002B5BCD" w:rsidRPr="00CD59CC" w:rsidRDefault="002B5BCD" w:rsidP="00CD59CC">
      <w:pPr>
        <w:rPr>
          <w:rFonts w:ascii="Arial" w:hAnsi="Arial" w:cs="Arial"/>
          <w:i/>
        </w:rPr>
      </w:pPr>
      <w:r w:rsidRPr="00CD59CC">
        <w:rPr>
          <w:rFonts w:ascii="Arial" w:hAnsi="Arial" w:cs="Arial"/>
          <w:i/>
        </w:rPr>
        <w:t xml:space="preserve">Is it possible, generally, or in specified circumstances, to justify direct discrimination on the ground of age? If so, is the test compliant with the test in Article 6, Directive 2000/78, account being taken of the Court of Justice of the European Union in the Case C-144/04, Mangold and </w:t>
      </w:r>
      <w:r w:rsidRPr="00CD59CC">
        <w:rPr>
          <w:rFonts w:ascii="Arial" w:hAnsi="Arial" w:cs="Arial"/>
          <w:bCs/>
          <w:i/>
          <w:lang w:eastAsia="en-GB"/>
        </w:rPr>
        <w:t xml:space="preserve">Case </w:t>
      </w:r>
      <w:r w:rsidRPr="00CD59CC">
        <w:rPr>
          <w:rFonts w:ascii="Arial" w:hAnsi="Arial" w:cs="Arial"/>
          <w:lang w:eastAsia="en-GB"/>
        </w:rPr>
        <w:t xml:space="preserve">C-555/07 </w:t>
      </w:r>
      <w:r w:rsidRPr="00CD59CC">
        <w:rPr>
          <w:rFonts w:ascii="Arial" w:hAnsi="Arial" w:cs="Arial"/>
          <w:i/>
          <w:lang w:eastAsia="en-GB"/>
        </w:rPr>
        <w:t>Kucukdeveci</w:t>
      </w:r>
      <w:r w:rsidRPr="00CD59CC">
        <w:rPr>
          <w:rFonts w:ascii="Arial" w:hAnsi="Arial" w:cs="Arial"/>
          <w:i/>
        </w:rPr>
        <w:t>?</w:t>
      </w:r>
      <w:r w:rsidRPr="00CD59CC" w:rsidDel="00291C6F">
        <w:rPr>
          <w:rFonts w:ascii="Arial" w:hAnsi="Arial" w:cs="Arial"/>
          <w:i/>
        </w:rPr>
        <w:t xml:space="preserve"> </w:t>
      </w:r>
    </w:p>
    <w:p w14:paraId="48C6317E" w14:textId="77777777" w:rsidR="0096435A" w:rsidRPr="00CD59CC" w:rsidRDefault="0096435A" w:rsidP="00CD59CC">
      <w:pPr>
        <w:ind w:left="567" w:hanging="567"/>
        <w:rPr>
          <w:rFonts w:ascii="Arial" w:hAnsi="Arial" w:cs="Arial"/>
        </w:rPr>
      </w:pPr>
    </w:p>
    <w:p w14:paraId="76657C8C" w14:textId="77777777" w:rsidR="00D13FB1" w:rsidRPr="00CD59CC" w:rsidRDefault="00D13FB1" w:rsidP="00CD59CC">
      <w:pPr>
        <w:rPr>
          <w:rFonts w:ascii="Arial" w:hAnsi="Arial" w:cs="Arial"/>
        </w:rPr>
      </w:pPr>
      <w:r w:rsidRPr="00CD59CC">
        <w:rPr>
          <w:rFonts w:ascii="Arial" w:hAnsi="Arial" w:cs="Arial"/>
        </w:rPr>
        <w:t xml:space="preserve">Not only on the ground of age, but generally the ETA permits objective justification for direct discrimination. Unlike the Directives, the ETA attaches a general exemption clause to not only indirect but also to direct discrimination. As pointed out above, under Article 7 Paragraph (2) of the ETA, “unless this law stipulates otherwise, an action, conduct, omission, requirement, order or practice (hereinafter: action) shall not be deemed to violate the requirement of equal treatment if </w:t>
      </w:r>
    </w:p>
    <w:p w14:paraId="2E67F588" w14:textId="77777777" w:rsidR="00D13FB1" w:rsidRPr="00CD59CC" w:rsidRDefault="00D13FB1" w:rsidP="00CD59CC">
      <w:pPr>
        <w:rPr>
          <w:rFonts w:ascii="Arial" w:hAnsi="Arial" w:cs="Arial"/>
        </w:rPr>
      </w:pPr>
    </w:p>
    <w:p w14:paraId="654320D2" w14:textId="77777777" w:rsidR="00D13FB1" w:rsidRPr="00CD59CC" w:rsidRDefault="00D13FB1" w:rsidP="007B4138">
      <w:pPr>
        <w:numPr>
          <w:ilvl w:val="0"/>
          <w:numId w:val="55"/>
        </w:numPr>
        <w:suppressAutoHyphens/>
        <w:rPr>
          <w:rFonts w:ascii="Arial" w:hAnsi="Arial" w:cs="Arial"/>
        </w:rPr>
      </w:pPr>
      <w:r w:rsidRPr="00CD59CC">
        <w:rPr>
          <w:rFonts w:ascii="Arial" w:hAnsi="Arial" w:cs="Arial"/>
        </w:rPr>
        <w:t xml:space="preserve">it restricts the aggrieved party’s fundamental right for the sake of the enforcement of another fundamental right, provided that the restriction is absolutely necessary, suitable for achieving the aim and proportionate with the aim, or </w:t>
      </w:r>
    </w:p>
    <w:p w14:paraId="5B4EFDE4" w14:textId="77777777" w:rsidR="00D13FB1" w:rsidRPr="00CD59CC" w:rsidRDefault="00D13FB1" w:rsidP="007B4138">
      <w:pPr>
        <w:numPr>
          <w:ilvl w:val="0"/>
          <w:numId w:val="55"/>
        </w:numPr>
        <w:suppressAutoHyphens/>
        <w:rPr>
          <w:rFonts w:ascii="Arial" w:hAnsi="Arial" w:cs="Arial"/>
        </w:rPr>
      </w:pPr>
      <w:r w:rsidRPr="00CD59CC">
        <w:rPr>
          <w:rFonts w:ascii="Arial" w:hAnsi="Arial" w:cs="Arial"/>
        </w:rPr>
        <w:lastRenderedPageBreak/>
        <w:t>in cases not falling under the scope of point a), it is found by objective consideration to have a reasonable ground directly related to the relevant legal relation.</w:t>
      </w:r>
    </w:p>
    <w:p w14:paraId="006EF95C" w14:textId="77777777" w:rsidR="00D13FB1" w:rsidRPr="00CD59CC" w:rsidRDefault="00D13FB1" w:rsidP="00CD59CC">
      <w:pPr>
        <w:rPr>
          <w:rFonts w:ascii="Arial" w:hAnsi="Arial" w:cs="Arial"/>
        </w:rPr>
      </w:pPr>
    </w:p>
    <w:p w14:paraId="3C60F69E" w14:textId="77777777" w:rsidR="00D13FB1" w:rsidRPr="00CD59CC" w:rsidRDefault="00D13FB1" w:rsidP="00CD59CC">
      <w:pPr>
        <w:rPr>
          <w:rFonts w:ascii="Arial" w:hAnsi="Arial" w:cs="Arial"/>
        </w:rPr>
      </w:pPr>
      <w:r w:rsidRPr="00CD59CC">
        <w:rPr>
          <w:rFonts w:ascii="Arial" w:hAnsi="Arial" w:cs="Arial"/>
        </w:rPr>
        <w:t xml:space="preserve">This means that the level of protection available for a person against discrimination depends on the type of right the discrimination concerns. For instance, if a person is subjected to differentiation with respect to education, the differentiating act will be measured with the stricter test (legitimate aim, necessity, suitability, proportionality), as the right to education is a fundamental one. If however a right or obligation that does not fall into the category of fundamental rights is concerned (e.g. where the local council should place the bus stop), the objective reasonability of the measure will be sufficient to exempt the person making the differentiation. </w:t>
      </w:r>
    </w:p>
    <w:p w14:paraId="6EE1EE14" w14:textId="77777777" w:rsidR="00D13FB1" w:rsidRPr="00CD59CC" w:rsidRDefault="00D13FB1" w:rsidP="00CD59CC">
      <w:pPr>
        <w:rPr>
          <w:rFonts w:ascii="Arial" w:hAnsi="Arial" w:cs="Arial"/>
        </w:rPr>
      </w:pPr>
    </w:p>
    <w:p w14:paraId="6C776308" w14:textId="77777777" w:rsidR="00D13FB1" w:rsidRPr="00CD59CC" w:rsidRDefault="00D13FB1" w:rsidP="00CD59CC">
      <w:pPr>
        <w:rPr>
          <w:rFonts w:ascii="Arial" w:hAnsi="Arial" w:cs="Arial"/>
        </w:rPr>
      </w:pPr>
      <w:r w:rsidRPr="00CD59CC">
        <w:rPr>
          <w:rFonts w:ascii="Arial" w:hAnsi="Arial" w:cs="Arial"/>
        </w:rPr>
        <w:t xml:space="preserve">The above provision is not applicable with regard to differentiation based on racial or ethnic origin, but all other grounds, including age, fall under its scope. </w:t>
      </w:r>
    </w:p>
    <w:p w14:paraId="3B1F2E28" w14:textId="77777777" w:rsidR="00D13FB1" w:rsidRPr="00CD59CC" w:rsidRDefault="00D13FB1" w:rsidP="00CD59CC">
      <w:pPr>
        <w:rPr>
          <w:rFonts w:ascii="Arial" w:hAnsi="Arial" w:cs="Arial"/>
        </w:rPr>
      </w:pPr>
    </w:p>
    <w:p w14:paraId="363A7EF0" w14:textId="77777777" w:rsidR="00D13FB1" w:rsidRPr="00CD59CC" w:rsidRDefault="00D13FB1" w:rsidP="00CD59CC">
      <w:pPr>
        <w:rPr>
          <w:rFonts w:ascii="Arial" w:hAnsi="Arial" w:cs="Arial"/>
        </w:rPr>
      </w:pPr>
      <w:r w:rsidRPr="00CD59CC">
        <w:rPr>
          <w:rFonts w:ascii="Arial" w:hAnsi="Arial" w:cs="Arial"/>
        </w:rPr>
        <w:t xml:space="preserve">The specific exempting provision for labour sets a stricter test. Under Article 22 Paragraph (1) (a) the principle of equal treatment is not violated if the differentiation is proportionate, justified by the characteristics or nature of the job and is based on all relevant and legitimate terms and conditions that may be taken in consideration in the course of recruitment. So in employment related cases the employer would have to go beyond reasonableness to argue that a differentiation based on age is justifiable. With regard to the principle of equal pay for equal work, no justification is allowed for ethnicity and gender, but differentiation based on all other grounds, including age are, in principle, justifiable. </w:t>
      </w:r>
    </w:p>
    <w:p w14:paraId="7D247ED2" w14:textId="77777777" w:rsidR="00D13FB1" w:rsidRPr="00CD59CC" w:rsidRDefault="00D13FB1" w:rsidP="00CD59CC">
      <w:pPr>
        <w:rPr>
          <w:rFonts w:ascii="Arial" w:hAnsi="Arial" w:cs="Arial"/>
        </w:rPr>
      </w:pPr>
    </w:p>
    <w:p w14:paraId="7C2242FC" w14:textId="77777777" w:rsidR="00D13FB1" w:rsidRPr="00CD59CC" w:rsidRDefault="00D13FB1" w:rsidP="00CD59CC">
      <w:pPr>
        <w:rPr>
          <w:rFonts w:ascii="Arial" w:hAnsi="Arial" w:cs="Arial"/>
        </w:rPr>
      </w:pPr>
      <w:r w:rsidRPr="00CD59CC">
        <w:rPr>
          <w:rFonts w:ascii="Arial" w:hAnsi="Arial" w:cs="Arial"/>
        </w:rPr>
        <w:t>Whether the Mangold test would be passed, depends on the type of the right the differentiation concerns. If it is a fundamental right (such as the right to employment), the stricter test [Article 7 Paragraph (2) Point a)] will be applied, so the requirements of “appropriateness” and “necessity” will be taken into consideration. Problems similar to those dealt with in the Kucukdeveci case do not arise in the Hungarian legislation.</w:t>
      </w:r>
    </w:p>
    <w:p w14:paraId="4970B1C3" w14:textId="77777777" w:rsidR="00625ACF" w:rsidRPr="00CD59CC" w:rsidRDefault="00625ACF" w:rsidP="00CD59CC">
      <w:pPr>
        <w:ind w:left="567" w:hanging="567"/>
        <w:rPr>
          <w:rFonts w:ascii="Arial" w:hAnsi="Arial" w:cs="Arial"/>
        </w:rPr>
      </w:pPr>
    </w:p>
    <w:p w14:paraId="03605531" w14:textId="77777777" w:rsidR="002B5BCD" w:rsidRPr="00CD59CC" w:rsidRDefault="002B5BCD" w:rsidP="00CD59CC">
      <w:pPr>
        <w:numPr>
          <w:ilvl w:val="0"/>
          <w:numId w:val="17"/>
        </w:numPr>
        <w:ind w:left="567" w:hanging="567"/>
        <w:rPr>
          <w:rFonts w:ascii="Arial" w:hAnsi="Arial" w:cs="Arial"/>
          <w:i/>
        </w:rPr>
      </w:pPr>
      <w:r w:rsidRPr="00CD59CC">
        <w:rPr>
          <w:rFonts w:ascii="Arial" w:hAnsi="Arial" w:cs="Arial"/>
          <w:i/>
        </w:rPr>
        <w:t>Does national law permit differences of treatment based on age for any activities within the material scope of Directive 2000/78?</w:t>
      </w:r>
    </w:p>
    <w:p w14:paraId="21B0F9FE" w14:textId="77777777" w:rsidR="002B5BCD" w:rsidRPr="00CD59CC" w:rsidRDefault="002B5BCD" w:rsidP="00CD59CC">
      <w:pPr>
        <w:ind w:left="567" w:hanging="567"/>
        <w:rPr>
          <w:rFonts w:ascii="Arial" w:hAnsi="Arial" w:cs="Arial"/>
        </w:rPr>
      </w:pPr>
    </w:p>
    <w:p w14:paraId="1D7339CD" w14:textId="77777777" w:rsidR="00D13FB1" w:rsidRPr="00CD59CC" w:rsidRDefault="00D13FB1" w:rsidP="00CD59CC">
      <w:pPr>
        <w:rPr>
          <w:rFonts w:ascii="Arial" w:hAnsi="Arial" w:cs="Arial"/>
        </w:rPr>
      </w:pPr>
      <w:r w:rsidRPr="00CD59CC">
        <w:rPr>
          <w:rFonts w:ascii="Arial" w:hAnsi="Arial" w:cs="Arial"/>
        </w:rPr>
        <w:t xml:space="preserve">Under Article 4 of the Labour Code, a “young employee” is an employee who is below 18 years of age. The Labour Code contains numerous provisions aimed at the protection of young employees. These are mostly related to employment and working conditions. For instance, young employees may not be employed for night shifts (Article 114), they are entitled to five extra days off per year (Article 119), and so on. </w:t>
      </w:r>
    </w:p>
    <w:p w14:paraId="687D2D9C" w14:textId="77777777" w:rsidR="00D13FB1" w:rsidRPr="00CD59CC" w:rsidRDefault="00D13FB1" w:rsidP="00CD59CC">
      <w:pPr>
        <w:rPr>
          <w:rFonts w:ascii="Arial" w:hAnsi="Arial" w:cs="Arial"/>
        </w:rPr>
      </w:pPr>
    </w:p>
    <w:p w14:paraId="254BA618" w14:textId="77777777" w:rsidR="00D13FB1" w:rsidRPr="00CD59CC" w:rsidRDefault="00D13FB1" w:rsidP="00CD59CC">
      <w:pPr>
        <w:rPr>
          <w:rFonts w:ascii="Arial" w:hAnsi="Arial" w:cs="Arial"/>
        </w:rPr>
      </w:pPr>
      <w:r w:rsidRPr="00CD59CC">
        <w:rPr>
          <w:rFonts w:ascii="Arial" w:hAnsi="Arial" w:cs="Arial"/>
        </w:rPr>
        <w:t>Apart from these provisions, age-related differences are mostly in place with regard to dismissals and promotion of access to employment. For these, see the relevant sections.</w:t>
      </w:r>
    </w:p>
    <w:p w14:paraId="622FBA30" w14:textId="77777777" w:rsidR="00D13FB1" w:rsidRPr="00CD59CC" w:rsidRDefault="00D13FB1" w:rsidP="00CD59CC">
      <w:pPr>
        <w:ind w:left="567" w:hanging="567"/>
        <w:rPr>
          <w:rFonts w:ascii="Arial" w:hAnsi="Arial" w:cs="Arial"/>
        </w:rPr>
      </w:pPr>
    </w:p>
    <w:p w14:paraId="5C06AA9D" w14:textId="77777777" w:rsidR="002B5BCD" w:rsidRPr="00CD59CC" w:rsidRDefault="002B5BCD" w:rsidP="00CD59CC">
      <w:pPr>
        <w:numPr>
          <w:ilvl w:val="0"/>
          <w:numId w:val="17"/>
        </w:numPr>
        <w:ind w:left="567" w:hanging="567"/>
        <w:rPr>
          <w:rFonts w:ascii="Arial" w:hAnsi="Arial" w:cs="Arial"/>
          <w:i/>
        </w:rPr>
      </w:pPr>
      <w:r w:rsidRPr="00CD59CC">
        <w:rPr>
          <w:rFonts w:ascii="Arial" w:hAnsi="Arial" w:cs="Arial"/>
          <w:i/>
          <w:iCs/>
        </w:rPr>
        <w:lastRenderedPageBreak/>
        <w:t>Does national legislation allow occupational pension schemes to fix ages for admission to the scheme or entitlement to benefits, taking up the possibility provided for by article 6(2)?</w:t>
      </w:r>
    </w:p>
    <w:p w14:paraId="06CC2773" w14:textId="77777777" w:rsidR="002B5BCD" w:rsidRPr="00CD59CC" w:rsidRDefault="002B5BCD" w:rsidP="00CD59CC">
      <w:pPr>
        <w:rPr>
          <w:rFonts w:ascii="Arial" w:hAnsi="Arial" w:cs="Arial"/>
          <w:i/>
        </w:rPr>
      </w:pPr>
    </w:p>
    <w:p w14:paraId="61121528" w14:textId="77777777" w:rsidR="00D13FB1" w:rsidRPr="00CD59CC" w:rsidRDefault="00D13FB1" w:rsidP="00CD59CC">
      <w:pPr>
        <w:rPr>
          <w:rFonts w:ascii="Arial" w:hAnsi="Arial" w:cs="Arial"/>
        </w:rPr>
      </w:pPr>
      <w:r w:rsidRPr="00CD59CC">
        <w:rPr>
          <w:rFonts w:ascii="Arial" w:hAnsi="Arial" w:cs="Arial"/>
        </w:rPr>
        <w:t xml:space="preserve">The Hungarian system concerning private pension funds (including pension funds established by employers or professional chambers) and the state pension fund is quite complex. Membership in a private pension fund was before January 2011 either obligatory (for career beginners establishing an employment relationship for the first time provided they are younger than 35 years of age) or voluntary (in January 2011 even those were allowed to leave private pension funds, for whom membership had been compulsory, and from this date there is no compulsory membership). </w:t>
      </w:r>
    </w:p>
    <w:p w14:paraId="0DC28A15" w14:textId="77777777" w:rsidR="00D13FB1" w:rsidRPr="00CD59CC" w:rsidRDefault="00D13FB1" w:rsidP="00CD59CC">
      <w:pPr>
        <w:pStyle w:val="Header"/>
        <w:tabs>
          <w:tab w:val="clear" w:pos="4153"/>
          <w:tab w:val="clear" w:pos="8306"/>
        </w:tabs>
        <w:rPr>
          <w:rFonts w:ascii="Arial" w:hAnsi="Arial" w:cs="Arial"/>
        </w:rPr>
      </w:pPr>
    </w:p>
    <w:p w14:paraId="7B380657" w14:textId="77777777" w:rsidR="00D13FB1" w:rsidRPr="00CD59CC" w:rsidRDefault="00D13FB1" w:rsidP="00CD59CC">
      <w:pPr>
        <w:pStyle w:val="Header"/>
        <w:tabs>
          <w:tab w:val="clear" w:pos="4153"/>
          <w:tab w:val="clear" w:pos="8306"/>
        </w:tabs>
        <w:rPr>
          <w:rFonts w:ascii="Arial" w:hAnsi="Arial" w:cs="Arial"/>
        </w:rPr>
      </w:pPr>
      <w:r w:rsidRPr="00CD59CC">
        <w:rPr>
          <w:rFonts w:ascii="Arial" w:hAnsi="Arial" w:cs="Arial"/>
        </w:rPr>
        <w:t xml:space="preserve">In either case, the pension fund itself may not fix an age for admission. </w:t>
      </w:r>
    </w:p>
    <w:p w14:paraId="2F583915" w14:textId="77777777" w:rsidR="00D13FB1" w:rsidRPr="00CD59CC" w:rsidRDefault="00D13FB1" w:rsidP="00CD59CC">
      <w:pPr>
        <w:pStyle w:val="Header"/>
        <w:tabs>
          <w:tab w:val="clear" w:pos="4153"/>
          <w:tab w:val="clear" w:pos="8306"/>
        </w:tabs>
        <w:rPr>
          <w:rFonts w:ascii="Arial" w:hAnsi="Arial" w:cs="Arial"/>
        </w:rPr>
      </w:pPr>
    </w:p>
    <w:p w14:paraId="6692AFAC" w14:textId="77777777" w:rsidR="00D13FB1" w:rsidRPr="00CD59CC" w:rsidRDefault="00D13FB1" w:rsidP="00CD59CC">
      <w:pPr>
        <w:pStyle w:val="BodyText"/>
        <w:rPr>
          <w:rFonts w:ascii="Arial" w:hAnsi="Arial" w:cs="Arial"/>
          <w:i w:val="0"/>
          <w:lang w:val="en-GB"/>
        </w:rPr>
      </w:pPr>
      <w:r w:rsidRPr="00CD59CC">
        <w:rPr>
          <w:rFonts w:ascii="Arial" w:hAnsi="Arial" w:cs="Arial"/>
          <w:i w:val="0"/>
          <w:lang w:val="en-GB"/>
        </w:rPr>
        <w:t xml:space="preserve">On the other hand, under Article 30 of the Private Pensions Act, employees may not request that private pension funds (including ones established by the employer) start to pay their pensions before they reach the pensionable age, as defined in the law relating to state pensions (it is possible to request this later than the pensionable age). </w:t>
      </w:r>
    </w:p>
    <w:p w14:paraId="246A398B" w14:textId="77777777" w:rsidR="00D13FB1" w:rsidRPr="00CD59CC" w:rsidRDefault="00D13FB1" w:rsidP="00CD59CC">
      <w:pPr>
        <w:pStyle w:val="BodyText"/>
        <w:rPr>
          <w:rFonts w:ascii="Arial" w:hAnsi="Arial" w:cs="Arial"/>
          <w:i w:val="0"/>
          <w:lang w:val="en-GB"/>
        </w:rPr>
      </w:pPr>
    </w:p>
    <w:p w14:paraId="1A2E5E18" w14:textId="77777777" w:rsidR="00D13FB1" w:rsidRPr="00E54402" w:rsidRDefault="00D13FB1" w:rsidP="00E54402">
      <w:pPr>
        <w:pStyle w:val="BodyText"/>
        <w:rPr>
          <w:rFonts w:ascii="Arial" w:hAnsi="Arial" w:cs="Arial"/>
          <w:i w:val="0"/>
          <w:lang w:val="en-GB"/>
        </w:rPr>
      </w:pPr>
      <w:r w:rsidRPr="00CD59CC">
        <w:rPr>
          <w:rFonts w:ascii="Arial" w:hAnsi="Arial" w:cs="Arial"/>
          <w:i w:val="0"/>
          <w:lang w:val="en-GB"/>
        </w:rPr>
        <w:t>If an employee leaves the employer, and the fund established by the employer is a so-called closed fund (where only employees can be members), he/she has to choose another private pension fund. In this case, the payments made to the fund until the termination of the membership will b</w:t>
      </w:r>
      <w:r w:rsidR="00E54402">
        <w:rPr>
          <w:rFonts w:ascii="Arial" w:hAnsi="Arial" w:cs="Arial"/>
          <w:i w:val="0"/>
          <w:lang w:val="en-GB"/>
        </w:rPr>
        <w:t xml:space="preserve">e transferred to the new fund. </w:t>
      </w:r>
    </w:p>
    <w:p w14:paraId="7FDC74F7" w14:textId="77777777" w:rsidR="00D13FB1" w:rsidRPr="00CD59CC" w:rsidRDefault="00D13FB1" w:rsidP="00CD59CC">
      <w:pPr>
        <w:rPr>
          <w:rFonts w:ascii="Arial" w:hAnsi="Arial" w:cs="Arial"/>
          <w:i/>
        </w:rPr>
      </w:pPr>
    </w:p>
    <w:p w14:paraId="4780150D" w14:textId="77777777" w:rsidR="002B5BCD" w:rsidRPr="00CD59CC" w:rsidRDefault="002B5BCD" w:rsidP="00CD59CC">
      <w:pPr>
        <w:pStyle w:val="Heading3"/>
        <w:rPr>
          <w:rFonts w:cs="Arial"/>
        </w:rPr>
      </w:pPr>
      <w:bookmarkStart w:id="240" w:name="_Toc220221170"/>
      <w:bookmarkStart w:id="241" w:name="_Toc392758740"/>
      <w:bookmarkStart w:id="242" w:name="_Toc329163632"/>
      <w:bookmarkStart w:id="243" w:name="_Toc366846350"/>
      <w:r w:rsidRPr="00CD59CC">
        <w:rPr>
          <w:rFonts w:cs="Arial"/>
        </w:rPr>
        <w:t>Special conditions for young people, older workers and persons with caring responsibilities</w:t>
      </w:r>
      <w:bookmarkEnd w:id="240"/>
      <w:bookmarkEnd w:id="241"/>
      <w:bookmarkEnd w:id="242"/>
      <w:bookmarkEnd w:id="243"/>
      <w:r w:rsidRPr="00CD59CC">
        <w:rPr>
          <w:rFonts w:cs="Arial"/>
        </w:rPr>
        <w:t xml:space="preserve"> </w:t>
      </w:r>
    </w:p>
    <w:p w14:paraId="17B46E2A" w14:textId="77777777" w:rsidR="002B5BCD" w:rsidRPr="00CD59CC" w:rsidRDefault="002B5BCD" w:rsidP="00CD59CC">
      <w:pPr>
        <w:rPr>
          <w:rFonts w:ascii="Arial" w:hAnsi="Arial" w:cs="Arial"/>
        </w:rPr>
      </w:pPr>
    </w:p>
    <w:p w14:paraId="7FF2FDF2" w14:textId="77777777" w:rsidR="002B5BCD" w:rsidRPr="00CD59CC" w:rsidRDefault="002B5BCD" w:rsidP="00CD59CC">
      <w:pPr>
        <w:rPr>
          <w:rFonts w:ascii="Arial" w:hAnsi="Arial" w:cs="Arial"/>
          <w:i/>
        </w:rPr>
      </w:pPr>
      <w:r w:rsidRPr="00CD59CC">
        <w:rPr>
          <w:rFonts w:ascii="Arial" w:hAnsi="Arial" w:cs="Arial"/>
          <w:i/>
        </w:rPr>
        <w:t xml:space="preserve">Are there any special conditions set by law for older or younger workers in order to promote their vocational integration, or for persons with caring responsibilities to ensure their protection? If so, please describe these. </w:t>
      </w:r>
    </w:p>
    <w:p w14:paraId="28053210" w14:textId="77777777" w:rsidR="002B5BCD" w:rsidRPr="00CD59CC" w:rsidRDefault="002B5BCD" w:rsidP="00CD59CC">
      <w:pPr>
        <w:rPr>
          <w:rFonts w:ascii="Arial" w:hAnsi="Arial" w:cs="Arial"/>
        </w:rPr>
      </w:pPr>
    </w:p>
    <w:p w14:paraId="6A5E611C" w14:textId="77777777" w:rsidR="000D2008" w:rsidRPr="00CD59CC" w:rsidRDefault="000D2008" w:rsidP="00CD59CC">
      <w:pPr>
        <w:tabs>
          <w:tab w:val="left" w:pos="480"/>
        </w:tabs>
        <w:rPr>
          <w:rFonts w:ascii="Arial" w:hAnsi="Arial" w:cs="Arial"/>
          <w:bCs/>
        </w:rPr>
      </w:pPr>
      <w:r w:rsidRPr="00CD59CC">
        <w:rPr>
          <w:rFonts w:ascii="Arial" w:hAnsi="Arial" w:cs="Arial"/>
          <w:bCs/>
        </w:rPr>
        <w:t xml:space="preserve">There are some special statutory provisions aimed at the </w:t>
      </w:r>
      <w:r w:rsidRPr="00CD59CC">
        <w:rPr>
          <w:rFonts w:ascii="Arial" w:hAnsi="Arial" w:cs="Arial"/>
          <w:bCs/>
          <w:i/>
        </w:rPr>
        <w:t>promotion of vocational integration</w:t>
      </w:r>
      <w:r w:rsidRPr="00CD59CC">
        <w:rPr>
          <w:rFonts w:ascii="Arial" w:hAnsi="Arial" w:cs="Arial"/>
          <w:bCs/>
        </w:rPr>
        <w:t xml:space="preserve"> of all the three categories, i.e. young workers, persons with caring responsibilities and older workers as well. </w:t>
      </w:r>
    </w:p>
    <w:p w14:paraId="41C04C15" w14:textId="77777777" w:rsidR="000D2008" w:rsidRPr="00CD59CC" w:rsidRDefault="000D2008" w:rsidP="00CD59CC">
      <w:pPr>
        <w:tabs>
          <w:tab w:val="left" w:pos="480"/>
        </w:tabs>
        <w:rPr>
          <w:rFonts w:ascii="Arial" w:hAnsi="Arial" w:cs="Arial"/>
          <w:bCs/>
        </w:rPr>
      </w:pPr>
    </w:p>
    <w:p w14:paraId="0933A477" w14:textId="77777777" w:rsidR="000D2008" w:rsidRPr="00CD59CC" w:rsidRDefault="000D2008" w:rsidP="00CD59CC">
      <w:pPr>
        <w:tabs>
          <w:tab w:val="left" w:pos="480"/>
        </w:tabs>
        <w:rPr>
          <w:rFonts w:ascii="Arial" w:hAnsi="Arial" w:cs="Arial"/>
          <w:bCs/>
        </w:rPr>
      </w:pPr>
      <w:r w:rsidRPr="00CD59CC">
        <w:rPr>
          <w:rFonts w:ascii="Arial" w:hAnsi="Arial" w:cs="Arial"/>
          <w:bCs/>
        </w:rPr>
        <w:t xml:space="preserve">Article 2 of the Act IV of 1991 on the Promotion of Employment expressly claims that while the requirement of equal treatment shall be respected in connection with the promotion of employment and the support of job seekers, this shall not exclude the possibility of offering additional rights to those who are in a disadvantaged position on the labour market. </w:t>
      </w:r>
    </w:p>
    <w:p w14:paraId="1D390CC0" w14:textId="77777777" w:rsidR="000D2008" w:rsidRPr="00CD59CC" w:rsidRDefault="000D2008" w:rsidP="00CD59CC">
      <w:pPr>
        <w:tabs>
          <w:tab w:val="left" w:pos="480"/>
        </w:tabs>
        <w:rPr>
          <w:rFonts w:ascii="Arial" w:hAnsi="Arial" w:cs="Arial"/>
          <w:bCs/>
        </w:rPr>
      </w:pPr>
    </w:p>
    <w:p w14:paraId="30AAD8F9" w14:textId="77777777" w:rsidR="000D2008" w:rsidRPr="00CD59CC" w:rsidRDefault="000D2008" w:rsidP="00CD59CC">
      <w:pPr>
        <w:tabs>
          <w:tab w:val="left" w:pos="480"/>
        </w:tabs>
        <w:rPr>
          <w:rFonts w:ascii="Arial" w:hAnsi="Arial" w:cs="Arial"/>
          <w:bCs/>
        </w:rPr>
      </w:pPr>
      <w:r w:rsidRPr="00CD59CC">
        <w:rPr>
          <w:rFonts w:ascii="Arial" w:hAnsi="Arial" w:cs="Arial"/>
          <w:bCs/>
        </w:rPr>
        <w:t xml:space="preserve">The Act on the Promotion of Employment enumerates the forms of state support available for the promotion of employment. The funding of trainings is one of the available forms of support. Employees under 25 and persons with caring </w:t>
      </w:r>
      <w:r w:rsidRPr="00CD59CC">
        <w:rPr>
          <w:rFonts w:ascii="Arial" w:hAnsi="Arial" w:cs="Arial"/>
          <w:bCs/>
        </w:rPr>
        <w:lastRenderedPageBreak/>
        <w:t xml:space="preserve">responsibilities are expressly mentioned by Article 14 among the groups for the training of which funding may be requested. </w:t>
      </w:r>
    </w:p>
    <w:p w14:paraId="25529D47" w14:textId="77777777" w:rsidR="000D2008" w:rsidRPr="00CD59CC" w:rsidRDefault="000D2008" w:rsidP="00CD59CC">
      <w:pPr>
        <w:tabs>
          <w:tab w:val="left" w:pos="480"/>
        </w:tabs>
        <w:rPr>
          <w:rFonts w:ascii="Arial" w:hAnsi="Arial" w:cs="Arial"/>
          <w:bCs/>
        </w:rPr>
      </w:pPr>
    </w:p>
    <w:p w14:paraId="6D6877F2" w14:textId="77777777" w:rsidR="000D2008" w:rsidRPr="00CD59CC" w:rsidRDefault="000D2008" w:rsidP="00CD59CC">
      <w:pPr>
        <w:tabs>
          <w:tab w:val="left" w:pos="480"/>
        </w:tabs>
        <w:rPr>
          <w:rFonts w:ascii="Arial" w:hAnsi="Arial" w:cs="Arial"/>
          <w:bCs/>
        </w:rPr>
      </w:pPr>
      <w:r w:rsidRPr="00CD59CC">
        <w:rPr>
          <w:rFonts w:ascii="Arial" w:hAnsi="Arial" w:cs="Arial"/>
          <w:bCs/>
        </w:rPr>
        <w:t xml:space="preserve">Article 16 makes it possible for the State Employment Service to provide employers for a maximum of 1 or – in cases concerning persons unable to find employment for over 2 years – 2 years with support amounting to 50% or 60% of the salary and social security payments of disadvantaged workers or workers with disabilities respectively, if the employer </w:t>
      </w:r>
    </w:p>
    <w:p w14:paraId="5BCE5FDF" w14:textId="77777777" w:rsidR="000D2008" w:rsidRPr="00CD59CC" w:rsidRDefault="000D2008" w:rsidP="00CD59CC">
      <w:pPr>
        <w:tabs>
          <w:tab w:val="left" w:pos="480"/>
        </w:tabs>
        <w:rPr>
          <w:rFonts w:ascii="Arial" w:hAnsi="Arial" w:cs="Arial"/>
          <w:bCs/>
        </w:rPr>
      </w:pPr>
    </w:p>
    <w:p w14:paraId="1740C9A7" w14:textId="77777777" w:rsidR="000D2008" w:rsidRPr="00CD59CC" w:rsidRDefault="000D2008" w:rsidP="007B4138">
      <w:pPr>
        <w:numPr>
          <w:ilvl w:val="0"/>
          <w:numId w:val="56"/>
        </w:numPr>
        <w:tabs>
          <w:tab w:val="left" w:pos="567"/>
        </w:tabs>
        <w:suppressAutoHyphens/>
        <w:rPr>
          <w:rFonts w:ascii="Arial" w:hAnsi="Arial" w:cs="Arial"/>
          <w:bCs/>
        </w:rPr>
      </w:pPr>
      <w:r w:rsidRPr="00CD59CC">
        <w:rPr>
          <w:rFonts w:ascii="Arial" w:hAnsi="Arial" w:cs="Arial"/>
          <w:bCs/>
        </w:rPr>
        <w:t xml:space="preserve">undertakes to maintain the employment for the whole period of the provision of the support; </w:t>
      </w:r>
    </w:p>
    <w:p w14:paraId="2B84C4C4" w14:textId="77777777" w:rsidR="000D2008" w:rsidRPr="00CD59CC" w:rsidRDefault="000D2008" w:rsidP="007B4138">
      <w:pPr>
        <w:numPr>
          <w:ilvl w:val="0"/>
          <w:numId w:val="56"/>
        </w:numPr>
        <w:tabs>
          <w:tab w:val="left" w:pos="567"/>
        </w:tabs>
        <w:suppressAutoHyphens/>
        <w:rPr>
          <w:rFonts w:ascii="Arial" w:hAnsi="Arial" w:cs="Arial"/>
          <w:bCs/>
        </w:rPr>
      </w:pPr>
      <w:r w:rsidRPr="00CD59CC">
        <w:rPr>
          <w:rFonts w:ascii="Arial" w:hAnsi="Arial" w:cs="Arial"/>
          <w:bCs/>
        </w:rPr>
        <w:t xml:space="preserve">has not dismissed with reference to circumstances concerning its own operation the employee within 12 months preceding the submission of the request for support; and </w:t>
      </w:r>
    </w:p>
    <w:p w14:paraId="1F7D566B" w14:textId="77777777" w:rsidR="000D2008" w:rsidRPr="00CD59CC" w:rsidRDefault="000D2008" w:rsidP="007B4138">
      <w:pPr>
        <w:numPr>
          <w:ilvl w:val="0"/>
          <w:numId w:val="56"/>
        </w:numPr>
        <w:tabs>
          <w:tab w:val="left" w:pos="567"/>
        </w:tabs>
        <w:suppressAutoHyphens/>
        <w:rPr>
          <w:rFonts w:ascii="Arial" w:hAnsi="Arial" w:cs="Arial"/>
          <w:bCs/>
        </w:rPr>
      </w:pPr>
      <w:r w:rsidRPr="00CD59CC">
        <w:rPr>
          <w:rFonts w:ascii="Arial" w:hAnsi="Arial" w:cs="Arial"/>
          <w:bCs/>
        </w:rPr>
        <w:t xml:space="preserve">undertakes not to dismiss the employee with reference to circumstances concerning its own operation during the time the support is being provided. </w:t>
      </w:r>
    </w:p>
    <w:p w14:paraId="2668F7BA" w14:textId="77777777" w:rsidR="000D2008" w:rsidRPr="00CD59CC" w:rsidRDefault="000D2008" w:rsidP="00CD59CC">
      <w:pPr>
        <w:tabs>
          <w:tab w:val="left" w:pos="480"/>
        </w:tabs>
        <w:rPr>
          <w:rFonts w:ascii="Arial" w:hAnsi="Arial" w:cs="Arial"/>
          <w:bCs/>
        </w:rPr>
      </w:pPr>
    </w:p>
    <w:p w14:paraId="23F45E88" w14:textId="77777777" w:rsidR="000D2008" w:rsidRPr="00CD59CC" w:rsidRDefault="000D2008" w:rsidP="00CD59CC">
      <w:pPr>
        <w:tabs>
          <w:tab w:val="left" w:pos="480"/>
        </w:tabs>
        <w:rPr>
          <w:rFonts w:ascii="Arial" w:hAnsi="Arial" w:cs="Arial"/>
          <w:bCs/>
        </w:rPr>
      </w:pPr>
      <w:r w:rsidRPr="00CD59CC">
        <w:rPr>
          <w:rFonts w:ascii="Arial" w:hAnsi="Arial" w:cs="Arial"/>
          <w:bCs/>
        </w:rPr>
        <w:t xml:space="preserve">The definition of who shall be regarded to be a disadvantaged worker is set forth by Article 11 of Decree 6/1996 of the Minister of Labour on Supports Promoting Employment and Supports that May be Provided from the Labour Market Fund in Crisis Situations. The categories are – among others – the following: </w:t>
      </w:r>
    </w:p>
    <w:p w14:paraId="70DB5794" w14:textId="77777777" w:rsidR="000D2008" w:rsidRPr="00CD59CC" w:rsidRDefault="000D2008" w:rsidP="00CD59CC">
      <w:pPr>
        <w:tabs>
          <w:tab w:val="left" w:pos="480"/>
        </w:tabs>
        <w:rPr>
          <w:rFonts w:ascii="Arial" w:hAnsi="Arial" w:cs="Arial"/>
          <w:bCs/>
        </w:rPr>
      </w:pPr>
    </w:p>
    <w:p w14:paraId="29BBB03E" w14:textId="77777777" w:rsidR="000D2008" w:rsidRPr="00CD59CC" w:rsidRDefault="000D2008" w:rsidP="007B4138">
      <w:pPr>
        <w:numPr>
          <w:ilvl w:val="0"/>
          <w:numId w:val="58"/>
        </w:numPr>
        <w:tabs>
          <w:tab w:val="left" w:pos="567"/>
        </w:tabs>
        <w:ind w:left="567" w:hanging="567"/>
        <w:rPr>
          <w:rFonts w:ascii="Arial" w:hAnsi="Arial" w:cs="Arial"/>
          <w:bCs/>
        </w:rPr>
      </w:pPr>
      <w:r w:rsidRPr="00CD59CC">
        <w:rPr>
          <w:rFonts w:ascii="Arial" w:hAnsi="Arial" w:cs="Arial"/>
          <w:bCs/>
        </w:rPr>
        <w:t xml:space="preserve">persons with primary education or below; </w:t>
      </w:r>
    </w:p>
    <w:p w14:paraId="20650E85" w14:textId="77777777" w:rsidR="000D2008" w:rsidRPr="00CD59CC" w:rsidRDefault="000D2008" w:rsidP="007B4138">
      <w:pPr>
        <w:numPr>
          <w:ilvl w:val="1"/>
          <w:numId w:val="57"/>
        </w:numPr>
        <w:tabs>
          <w:tab w:val="left" w:pos="567"/>
        </w:tabs>
        <w:suppressAutoHyphens/>
        <w:rPr>
          <w:rFonts w:ascii="Arial" w:hAnsi="Arial" w:cs="Arial"/>
          <w:bCs/>
        </w:rPr>
      </w:pPr>
      <w:r w:rsidRPr="00CD59CC">
        <w:rPr>
          <w:rFonts w:ascii="Arial" w:hAnsi="Arial" w:cs="Arial"/>
          <w:bCs/>
        </w:rPr>
        <w:t xml:space="preserve">persons over 50; </w:t>
      </w:r>
    </w:p>
    <w:p w14:paraId="5FEACF8B" w14:textId="77777777" w:rsidR="000D2008" w:rsidRPr="00CD59CC" w:rsidRDefault="000D2008" w:rsidP="007B4138">
      <w:pPr>
        <w:numPr>
          <w:ilvl w:val="1"/>
          <w:numId w:val="57"/>
        </w:numPr>
        <w:tabs>
          <w:tab w:val="left" w:pos="567"/>
        </w:tabs>
        <w:suppressAutoHyphens/>
        <w:rPr>
          <w:rFonts w:ascii="Arial" w:hAnsi="Arial" w:cs="Arial"/>
          <w:bCs/>
        </w:rPr>
      </w:pPr>
      <w:r w:rsidRPr="00CD59CC">
        <w:rPr>
          <w:rFonts w:ascii="Arial" w:hAnsi="Arial" w:cs="Arial"/>
          <w:bCs/>
        </w:rPr>
        <w:t xml:space="preserve">career beginners up to the age of 25; </w:t>
      </w:r>
    </w:p>
    <w:p w14:paraId="4E28EF6C" w14:textId="77777777" w:rsidR="000D2008" w:rsidRPr="00CD59CC" w:rsidRDefault="000D2008" w:rsidP="007B4138">
      <w:pPr>
        <w:numPr>
          <w:ilvl w:val="1"/>
          <w:numId w:val="57"/>
        </w:numPr>
        <w:tabs>
          <w:tab w:val="left" w:pos="567"/>
        </w:tabs>
        <w:suppressAutoHyphens/>
        <w:rPr>
          <w:rFonts w:ascii="Arial" w:hAnsi="Arial" w:cs="Arial"/>
          <w:bCs/>
        </w:rPr>
      </w:pPr>
      <w:r w:rsidRPr="00CD59CC">
        <w:rPr>
          <w:rFonts w:ascii="Arial" w:hAnsi="Arial" w:cs="Arial"/>
          <w:bCs/>
        </w:rPr>
        <w:t xml:space="preserve">single parents of at least 1 child below 18; </w:t>
      </w:r>
    </w:p>
    <w:p w14:paraId="1375D99B" w14:textId="77777777" w:rsidR="000D2008" w:rsidRPr="00CD59CC" w:rsidRDefault="000D2008" w:rsidP="007B4138">
      <w:pPr>
        <w:numPr>
          <w:ilvl w:val="1"/>
          <w:numId w:val="57"/>
        </w:numPr>
        <w:tabs>
          <w:tab w:val="left" w:pos="567"/>
        </w:tabs>
        <w:suppressAutoHyphens/>
        <w:rPr>
          <w:rFonts w:ascii="Arial" w:hAnsi="Arial" w:cs="Arial"/>
          <w:bCs/>
        </w:rPr>
      </w:pPr>
      <w:r w:rsidRPr="00CD59CC">
        <w:rPr>
          <w:rFonts w:ascii="Arial" w:hAnsi="Arial" w:cs="Arial"/>
          <w:bCs/>
        </w:rPr>
        <w:t>persons who within 12 months preceding the commencement of the employment were in prison or pre-trial detention.</w:t>
      </w:r>
    </w:p>
    <w:p w14:paraId="2B29BAD8" w14:textId="77777777" w:rsidR="000D2008" w:rsidRPr="00CD59CC" w:rsidRDefault="000D2008" w:rsidP="00CD59CC">
      <w:pPr>
        <w:tabs>
          <w:tab w:val="left" w:pos="480"/>
        </w:tabs>
        <w:rPr>
          <w:rFonts w:ascii="Arial" w:hAnsi="Arial" w:cs="Arial"/>
          <w:bCs/>
        </w:rPr>
      </w:pPr>
    </w:p>
    <w:p w14:paraId="7AF1B866" w14:textId="77777777" w:rsidR="000D2008" w:rsidRPr="00CD59CC" w:rsidRDefault="000D2008" w:rsidP="00CD59CC">
      <w:pPr>
        <w:tabs>
          <w:tab w:val="left" w:pos="480"/>
        </w:tabs>
        <w:rPr>
          <w:rFonts w:ascii="Arial" w:hAnsi="Arial" w:cs="Arial"/>
          <w:bCs/>
        </w:rPr>
      </w:pPr>
      <w:r w:rsidRPr="00CD59CC">
        <w:rPr>
          <w:rFonts w:ascii="Arial" w:hAnsi="Arial" w:cs="Arial"/>
          <w:bCs/>
        </w:rPr>
        <w:t xml:space="preserve">Act CXXIII of 2004 on the Promotion of the Employment of Career Beginners, Employees over 50 and Persons with Caring Responsibilities and on Internships contains further schemes aimed at the promotion of employment of career beginners and persons with caring responsibilities. Employers employing such persons (and also persons whose education does not exceed the primary level) are entitled for a reduction in the social security contributions they are obliged to pay after the employee. The law furthermore contains the possibility of an internship of career beginners with a university of college diploma. </w:t>
      </w:r>
    </w:p>
    <w:p w14:paraId="263C0948" w14:textId="77777777" w:rsidR="000D2008" w:rsidRPr="00CD59CC" w:rsidRDefault="000D2008" w:rsidP="00CD59CC">
      <w:pPr>
        <w:tabs>
          <w:tab w:val="left" w:pos="480"/>
        </w:tabs>
        <w:rPr>
          <w:rFonts w:ascii="Arial" w:hAnsi="Arial" w:cs="Arial"/>
          <w:bCs/>
        </w:rPr>
      </w:pPr>
    </w:p>
    <w:p w14:paraId="683CDC1B" w14:textId="77777777" w:rsidR="000D2008" w:rsidRDefault="000D2008" w:rsidP="00CD59CC">
      <w:pPr>
        <w:tabs>
          <w:tab w:val="left" w:pos="480"/>
        </w:tabs>
        <w:rPr>
          <w:rFonts w:ascii="Arial" w:hAnsi="Arial" w:cs="Arial"/>
          <w:bCs/>
        </w:rPr>
      </w:pPr>
      <w:r w:rsidRPr="00CD59CC">
        <w:rPr>
          <w:rFonts w:ascii="Arial" w:hAnsi="Arial" w:cs="Arial"/>
          <w:bCs/>
        </w:rPr>
        <w:t xml:space="preserve">Protection against dismissals for persons with caring responsibilities does also exist in the Hungarian legal system. Under Article 65 of the Labour Code, employers shall not terminate an employment relationship by regular dismissal – among others – during a leave of absence without pay for nursing or caring for a child; during pregnancy; during the 24-week long maternity leave. </w:t>
      </w:r>
    </w:p>
    <w:p w14:paraId="3332737A" w14:textId="77777777" w:rsidR="00DA0744" w:rsidRPr="00CD59CC" w:rsidRDefault="00DA0744" w:rsidP="00CD59CC">
      <w:pPr>
        <w:tabs>
          <w:tab w:val="left" w:pos="480"/>
        </w:tabs>
        <w:rPr>
          <w:rFonts w:ascii="Arial" w:hAnsi="Arial" w:cs="Arial"/>
          <w:bCs/>
        </w:rPr>
      </w:pPr>
    </w:p>
    <w:p w14:paraId="5F9D9AE5" w14:textId="77777777" w:rsidR="000D2008" w:rsidRPr="00CD59CC" w:rsidRDefault="000D2008" w:rsidP="00CD59CC">
      <w:pPr>
        <w:tabs>
          <w:tab w:val="left" w:pos="480"/>
        </w:tabs>
        <w:rPr>
          <w:rFonts w:ascii="Arial" w:hAnsi="Arial" w:cs="Arial"/>
          <w:bCs/>
        </w:rPr>
      </w:pPr>
      <w:r w:rsidRPr="00CD59CC">
        <w:rPr>
          <w:rFonts w:ascii="Arial" w:hAnsi="Arial" w:cs="Arial"/>
          <w:bCs/>
        </w:rPr>
        <w:t xml:space="preserve">Protection against dismissals exists for older workers as well. Under Article 66 Paragraphs (4) and (5) of the Labour Code, employers shall be allowed to terminate </w:t>
      </w:r>
      <w:r w:rsidRPr="00CD59CC">
        <w:rPr>
          <w:rFonts w:ascii="Arial" w:hAnsi="Arial" w:cs="Arial"/>
          <w:bCs/>
        </w:rPr>
        <w:lastRenderedPageBreak/>
        <w:t>an employee's employment relationship within a five-year period preceding the employee's eligibility for old age pension by regular dismissal only in particularly justified cases. In terms of Article 77 Paragraph (4), the amount of severance pay shall be increased by up to three months average earnings if the employee's employment relationship is terminated within a five-year period before his/her eligibility for old age pension.</w:t>
      </w:r>
    </w:p>
    <w:p w14:paraId="3C4C1DB5" w14:textId="77777777" w:rsidR="000D2008" w:rsidRPr="00CD59CC" w:rsidRDefault="000D2008" w:rsidP="00CD59CC">
      <w:pPr>
        <w:rPr>
          <w:rFonts w:ascii="Arial" w:hAnsi="Arial" w:cs="Arial"/>
        </w:rPr>
      </w:pPr>
    </w:p>
    <w:p w14:paraId="4F1C836B" w14:textId="77777777" w:rsidR="002B5BCD" w:rsidRPr="00CD59CC" w:rsidRDefault="002B5BCD" w:rsidP="00CD59CC">
      <w:pPr>
        <w:pStyle w:val="Heading3"/>
        <w:rPr>
          <w:rFonts w:cs="Arial"/>
        </w:rPr>
      </w:pPr>
      <w:bookmarkStart w:id="244" w:name="_Toc220221171"/>
      <w:bookmarkStart w:id="245" w:name="_Toc392758741"/>
      <w:bookmarkStart w:id="246" w:name="_Toc329163633"/>
      <w:bookmarkStart w:id="247" w:name="_Toc366846351"/>
      <w:r w:rsidRPr="00CD59CC">
        <w:rPr>
          <w:rFonts w:cs="Arial"/>
        </w:rPr>
        <w:t>Minimum and maximum age requirements</w:t>
      </w:r>
      <w:bookmarkEnd w:id="244"/>
      <w:bookmarkEnd w:id="245"/>
      <w:bookmarkEnd w:id="246"/>
      <w:bookmarkEnd w:id="247"/>
    </w:p>
    <w:p w14:paraId="13EA7179" w14:textId="77777777" w:rsidR="002B5BCD" w:rsidRPr="00CD59CC" w:rsidRDefault="002B5BCD" w:rsidP="00CD59CC">
      <w:pPr>
        <w:rPr>
          <w:rFonts w:ascii="Arial" w:hAnsi="Arial" w:cs="Arial"/>
        </w:rPr>
      </w:pPr>
    </w:p>
    <w:p w14:paraId="240FDB04" w14:textId="77777777" w:rsidR="002B5BCD" w:rsidRPr="00CD59CC" w:rsidRDefault="002B5BCD" w:rsidP="00CD59CC">
      <w:pPr>
        <w:rPr>
          <w:rFonts w:ascii="Arial" w:hAnsi="Arial" w:cs="Arial"/>
          <w:i/>
        </w:rPr>
      </w:pPr>
      <w:r w:rsidRPr="00CD59CC">
        <w:rPr>
          <w:rFonts w:ascii="Arial" w:hAnsi="Arial" w:cs="Arial"/>
          <w:i/>
        </w:rPr>
        <w:t>Are there exceptions permitting minimum and/or maximum age requirements in relation to access to employment (notably in the public sector) and training?</w:t>
      </w:r>
    </w:p>
    <w:p w14:paraId="0F51FACD" w14:textId="77777777" w:rsidR="002B5BCD" w:rsidRPr="00CD59CC" w:rsidRDefault="002B5BCD" w:rsidP="00CD59CC">
      <w:pPr>
        <w:rPr>
          <w:rFonts w:ascii="Arial" w:hAnsi="Arial" w:cs="Arial"/>
          <w:i/>
        </w:rPr>
      </w:pPr>
    </w:p>
    <w:p w14:paraId="570F55D9" w14:textId="77777777" w:rsidR="00782DB1" w:rsidRPr="00CD59CC" w:rsidRDefault="00782DB1" w:rsidP="00CD59CC">
      <w:pPr>
        <w:rPr>
          <w:rFonts w:ascii="Arial" w:hAnsi="Arial" w:cs="Arial"/>
        </w:rPr>
      </w:pPr>
      <w:r w:rsidRPr="00CD59CC">
        <w:rPr>
          <w:rFonts w:ascii="Arial" w:hAnsi="Arial" w:cs="Arial"/>
        </w:rPr>
        <w:t>According to Article 34 of the Labour Code, all persons entering into an employment relationship as employees shall be at least sixteen years of age. During the school holidays, full-time pupils and students attending elementary school, vocational school or secondary school may also enter into an employment relationship, provided that they are at least 15 years old. Under the same Article, persons younger than 16 may be employed for the purposes of performance in artistic, sports, modelling or advertising activities upon prior authorisation by the competent guardianship authority.</w:t>
      </w:r>
    </w:p>
    <w:p w14:paraId="025D5BB3" w14:textId="77777777" w:rsidR="00782DB1" w:rsidRPr="00CD59CC" w:rsidRDefault="00782DB1" w:rsidP="00CD59CC">
      <w:pPr>
        <w:rPr>
          <w:rFonts w:ascii="Arial" w:hAnsi="Arial" w:cs="Arial"/>
        </w:rPr>
      </w:pPr>
    </w:p>
    <w:p w14:paraId="52938ACA" w14:textId="77777777" w:rsidR="00782DB1" w:rsidRPr="00CD59CC" w:rsidRDefault="00782DB1" w:rsidP="00CD59CC">
      <w:pPr>
        <w:rPr>
          <w:rFonts w:ascii="Arial" w:hAnsi="Arial" w:cs="Arial"/>
        </w:rPr>
      </w:pPr>
      <w:r w:rsidRPr="00CD59CC">
        <w:rPr>
          <w:rFonts w:ascii="Arial" w:hAnsi="Arial" w:cs="Arial"/>
        </w:rPr>
        <w:t xml:space="preserve">Besides these general rules, there are minimum age requirements only with regard to a very limited circle of positions (e.g. members of the Constitutional Courts shall be at least 45 years old, judges shall be at least 30 years old). </w:t>
      </w:r>
    </w:p>
    <w:p w14:paraId="01403A09" w14:textId="77777777" w:rsidR="00782DB1" w:rsidRPr="00CD59CC" w:rsidRDefault="00782DB1" w:rsidP="00CD59CC">
      <w:pPr>
        <w:rPr>
          <w:rFonts w:ascii="Arial" w:hAnsi="Arial" w:cs="Arial"/>
        </w:rPr>
      </w:pPr>
    </w:p>
    <w:p w14:paraId="17FF1CCD" w14:textId="77777777" w:rsidR="00782DB1" w:rsidRPr="00CD59CC" w:rsidRDefault="00782DB1" w:rsidP="00CD59CC">
      <w:pPr>
        <w:rPr>
          <w:rFonts w:ascii="Arial" w:hAnsi="Arial" w:cs="Arial"/>
        </w:rPr>
      </w:pPr>
      <w:r w:rsidRPr="00CD59CC">
        <w:rPr>
          <w:rFonts w:ascii="Arial" w:hAnsi="Arial" w:cs="Arial"/>
        </w:rPr>
        <w:t xml:space="preserve">The Constitutional Court has in a number of cases dealt with the question whether it is legitimate to define an age minimum or maximum with regard to certain positions and occupations. In its Decision No. 857/B/1994 the body stated the following: “[…] the legislator is entitled to subject the exercise of certain professions and the filling of certain positions to age-related conditions, i.e. to set a lower and an upper age limit.” The Constitutional Court established that “age-related restrictions concerning the filling of certain positions shall not be regarded as discriminatory unless they are arbitrary”. </w:t>
      </w:r>
    </w:p>
    <w:p w14:paraId="31009A6C" w14:textId="77777777" w:rsidR="00782DB1" w:rsidRPr="00CD59CC" w:rsidRDefault="00782DB1" w:rsidP="00CD59CC">
      <w:pPr>
        <w:rPr>
          <w:rFonts w:ascii="Arial" w:hAnsi="Arial" w:cs="Arial"/>
        </w:rPr>
      </w:pPr>
    </w:p>
    <w:p w14:paraId="7F30FE2E" w14:textId="77777777" w:rsidR="00782DB1" w:rsidRPr="00CD59CC" w:rsidRDefault="00782DB1" w:rsidP="00CD59CC">
      <w:pPr>
        <w:rPr>
          <w:rFonts w:ascii="Arial" w:hAnsi="Arial" w:cs="Arial"/>
        </w:rPr>
      </w:pPr>
      <w:r w:rsidRPr="00CD59CC">
        <w:rPr>
          <w:rFonts w:ascii="Arial" w:hAnsi="Arial" w:cs="Arial"/>
        </w:rPr>
        <w:t xml:space="preserve">Therefore, according to the Constitutional Court, “differentiation based on age is permitted, if it pertains to each person in the given category and is not arbitrary, i.e. it is reasonable and necessary for the aim to be achieved”. No case law from ordinary courts is at present available on this matter, nor has the compatibility of age limitations for certain professions been discussed during the transposition of the directives. </w:t>
      </w:r>
    </w:p>
    <w:p w14:paraId="15942436" w14:textId="77777777" w:rsidR="00782DB1" w:rsidRPr="00CD59CC" w:rsidRDefault="00782DB1" w:rsidP="00CD59CC">
      <w:pPr>
        <w:rPr>
          <w:rFonts w:ascii="Arial" w:hAnsi="Arial" w:cs="Arial"/>
          <w:i/>
        </w:rPr>
      </w:pPr>
    </w:p>
    <w:p w14:paraId="6F3DE04A" w14:textId="3184CDBD" w:rsidR="002B5BCD" w:rsidRPr="00CD59CC" w:rsidRDefault="002B5BCD" w:rsidP="00CD59CC">
      <w:pPr>
        <w:pStyle w:val="Heading3"/>
        <w:rPr>
          <w:rFonts w:cs="Arial"/>
        </w:rPr>
      </w:pPr>
      <w:bookmarkStart w:id="248" w:name="_Toc220221172"/>
      <w:bookmarkStart w:id="249" w:name="_Toc392758742"/>
      <w:bookmarkStart w:id="250" w:name="_Toc329163634"/>
      <w:bookmarkStart w:id="251" w:name="_Toc366846352"/>
      <w:r w:rsidRPr="00CD59CC">
        <w:rPr>
          <w:rFonts w:cs="Arial"/>
        </w:rPr>
        <w:t>Retirement</w:t>
      </w:r>
      <w:bookmarkEnd w:id="248"/>
      <w:bookmarkEnd w:id="249"/>
      <w:bookmarkEnd w:id="250"/>
      <w:bookmarkEnd w:id="251"/>
      <w:r w:rsidRPr="00CD59CC">
        <w:rPr>
          <w:rFonts w:cs="Arial"/>
        </w:rPr>
        <w:t xml:space="preserve"> </w:t>
      </w:r>
    </w:p>
    <w:p w14:paraId="33D26B53" w14:textId="77777777" w:rsidR="002B5BCD" w:rsidRPr="00CD59CC" w:rsidRDefault="002B5BCD" w:rsidP="00CD59CC">
      <w:pPr>
        <w:rPr>
          <w:rFonts w:ascii="Arial" w:hAnsi="Arial" w:cs="Arial"/>
          <w:b/>
        </w:rPr>
      </w:pPr>
    </w:p>
    <w:p w14:paraId="2A6C0D1F" w14:textId="77777777" w:rsidR="002B5BCD" w:rsidRPr="00CD59CC" w:rsidRDefault="002B5BCD" w:rsidP="00CD59CC">
      <w:pPr>
        <w:pStyle w:val="BodyText"/>
        <w:rPr>
          <w:rFonts w:ascii="Arial" w:hAnsi="Arial" w:cs="Arial"/>
          <w:bCs/>
          <w:lang w:val="en-GB"/>
        </w:rPr>
      </w:pPr>
      <w:r w:rsidRPr="00CD59CC">
        <w:rPr>
          <w:rFonts w:ascii="Arial" w:hAnsi="Arial" w:cs="Arial"/>
          <w:bCs/>
          <w:lang w:val="en-GB"/>
        </w:rPr>
        <w:t xml:space="preserve">In this question it is important to distinguish between pensionable age (the age set by the state, or by employers or by collective agreements, at which individuals become entitled to a state pension, as distinct from the age at which individuals actually retire </w:t>
      </w:r>
      <w:r w:rsidRPr="00CD59CC">
        <w:rPr>
          <w:rFonts w:ascii="Arial" w:hAnsi="Arial" w:cs="Arial"/>
          <w:bCs/>
          <w:lang w:val="en-GB"/>
        </w:rPr>
        <w:lastRenderedPageBreak/>
        <w:t>from work), and mandatory retirement ages (which can be state-imposed, employer-imposed, imposed by an employee’s employment contract or imposed by a collective agreement).</w:t>
      </w:r>
    </w:p>
    <w:p w14:paraId="0E401A0F" w14:textId="77777777" w:rsidR="002B5BCD" w:rsidRPr="00CD59CC" w:rsidRDefault="002B5BCD" w:rsidP="00CD59CC">
      <w:pPr>
        <w:rPr>
          <w:rFonts w:ascii="Arial" w:hAnsi="Arial" w:cs="Arial"/>
        </w:rPr>
      </w:pPr>
    </w:p>
    <w:p w14:paraId="4C3462FA" w14:textId="77777777" w:rsidR="002B5BCD" w:rsidRPr="00CD59CC" w:rsidRDefault="002B5BCD" w:rsidP="00CD59CC">
      <w:pPr>
        <w:pStyle w:val="BodyText"/>
        <w:rPr>
          <w:rFonts w:ascii="Arial" w:hAnsi="Arial" w:cs="Arial"/>
          <w:bCs/>
          <w:u w:val="single"/>
          <w:lang w:val="en-GB"/>
        </w:rPr>
      </w:pPr>
      <w:r w:rsidRPr="00CD59CC">
        <w:rPr>
          <w:rFonts w:ascii="Arial" w:hAnsi="Arial" w:cs="Arial"/>
          <w:bCs/>
          <w:u w:val="single"/>
          <w:lang w:val="en-GB"/>
        </w:rPr>
        <w:t>For these questions, please indicate whether the ages are different for women and men.</w:t>
      </w:r>
    </w:p>
    <w:p w14:paraId="10C5ED23" w14:textId="77777777" w:rsidR="002B5BCD" w:rsidRPr="00CD59CC" w:rsidRDefault="002B5BCD" w:rsidP="00CD59CC">
      <w:pPr>
        <w:rPr>
          <w:rFonts w:ascii="Arial" w:hAnsi="Arial" w:cs="Arial"/>
        </w:rPr>
      </w:pPr>
    </w:p>
    <w:p w14:paraId="142702CD" w14:textId="77777777" w:rsidR="002B5BCD" w:rsidRPr="00CD59CC" w:rsidRDefault="002B5BCD" w:rsidP="00CD59CC">
      <w:pPr>
        <w:pStyle w:val="BodyText"/>
        <w:numPr>
          <w:ilvl w:val="0"/>
          <w:numId w:val="18"/>
        </w:numPr>
        <w:ind w:left="567" w:hanging="567"/>
        <w:rPr>
          <w:rFonts w:ascii="Arial" w:hAnsi="Arial" w:cs="Arial"/>
          <w:bCs/>
          <w:lang w:val="en-GB"/>
        </w:rPr>
      </w:pPr>
      <w:r w:rsidRPr="00CD59CC">
        <w:rPr>
          <w:rFonts w:ascii="Arial" w:hAnsi="Arial" w:cs="Arial"/>
          <w:bCs/>
          <w:lang w:val="en-GB"/>
        </w:rPr>
        <w:t>Is there a state pension age, at which individuals must begin to collect their state pensions? Can this be deferred if an individual wishes to work longer, or can a person collect a pension and still work?</w:t>
      </w:r>
    </w:p>
    <w:p w14:paraId="37A336F5" w14:textId="77777777" w:rsidR="002B5BCD" w:rsidRPr="00CD59CC" w:rsidRDefault="002B5BCD" w:rsidP="00CD59CC">
      <w:pPr>
        <w:pStyle w:val="BodyText"/>
        <w:ind w:left="567" w:hanging="567"/>
        <w:rPr>
          <w:rFonts w:ascii="Arial" w:hAnsi="Arial" w:cs="Arial"/>
          <w:bCs/>
          <w:i w:val="0"/>
          <w:lang w:val="en-GB"/>
        </w:rPr>
      </w:pPr>
    </w:p>
    <w:p w14:paraId="0B802F99" w14:textId="77777777" w:rsidR="003300D6" w:rsidRPr="00CD59CC" w:rsidRDefault="003300D6" w:rsidP="00CD59CC">
      <w:pPr>
        <w:rPr>
          <w:rFonts w:ascii="Arial" w:hAnsi="Arial" w:cs="Arial"/>
        </w:rPr>
      </w:pPr>
      <w:r w:rsidRPr="00CD59CC">
        <w:rPr>
          <w:rFonts w:ascii="Arial" w:hAnsi="Arial" w:cs="Arial"/>
        </w:rPr>
        <w:t xml:space="preserve">Until 1997 the pensionable age was 60 for men and 55 for women. In order to guarantee a smooth transition, a complex system of retirement schemes was developed with different options depending on sex and age, but as from 1 January 2009, the retirement system has been basically unified. </w:t>
      </w:r>
    </w:p>
    <w:p w14:paraId="4FAEA4D9" w14:textId="77777777" w:rsidR="003300D6" w:rsidRPr="00CD59CC" w:rsidRDefault="003300D6" w:rsidP="00CD59CC">
      <w:pPr>
        <w:rPr>
          <w:rFonts w:ascii="Arial" w:hAnsi="Arial" w:cs="Arial"/>
        </w:rPr>
      </w:pPr>
    </w:p>
    <w:p w14:paraId="79F6EF5F" w14:textId="77777777" w:rsidR="003300D6" w:rsidRPr="00CD59CC" w:rsidRDefault="003300D6" w:rsidP="00CD59CC">
      <w:pPr>
        <w:rPr>
          <w:rFonts w:ascii="Arial" w:hAnsi="Arial" w:cs="Arial"/>
        </w:rPr>
      </w:pPr>
      <w:r w:rsidRPr="00CD59CC">
        <w:rPr>
          <w:rFonts w:ascii="Arial" w:hAnsi="Arial" w:cs="Arial"/>
        </w:rPr>
        <w:t>Under Article 18 of Act LXXXI of 1997 on State Pensions (State Pensions Act), the pensionable age in Hungary is at this moment 62 for both men and women, but will be raised to 65 gradually by 2022. Notably, only workers with twenty years in service are eligible for a full old age pension, others can receive a partial pension. There is one significant exception: namely women with 40 years of service (including maternity leaves and other similar periods) can retire irrespective of their actual age.</w:t>
      </w:r>
    </w:p>
    <w:p w14:paraId="114A07DA" w14:textId="77777777" w:rsidR="003300D6" w:rsidRPr="00CD59CC" w:rsidRDefault="003300D6" w:rsidP="00CD59CC">
      <w:pPr>
        <w:tabs>
          <w:tab w:val="left" w:pos="1335"/>
        </w:tabs>
        <w:rPr>
          <w:rFonts w:ascii="Arial" w:hAnsi="Arial" w:cs="Arial"/>
        </w:rPr>
      </w:pPr>
    </w:p>
    <w:p w14:paraId="601BDEE1" w14:textId="77777777" w:rsidR="003300D6" w:rsidRPr="00CD59CC" w:rsidRDefault="003300D6" w:rsidP="00CD59CC">
      <w:pPr>
        <w:rPr>
          <w:rFonts w:ascii="Arial" w:hAnsi="Arial" w:cs="Arial"/>
        </w:rPr>
      </w:pPr>
      <w:r w:rsidRPr="00CD59CC">
        <w:rPr>
          <w:rFonts w:ascii="Arial" w:hAnsi="Arial" w:cs="Arial"/>
        </w:rPr>
        <w:t xml:space="preserve">Employees are not obliged to begin to collect their state pensions and they can continue working after pensionable age, however when they fulfil the pensionable age, they will be qualified as pensioners from the point of view of the Labour Code (Article 66) provided that they have the necessary amount of service years. This means that their protection against dismissal and redundancy ceases, as explained below. </w:t>
      </w:r>
    </w:p>
    <w:p w14:paraId="28424FC8" w14:textId="77777777" w:rsidR="003300D6" w:rsidRPr="00CD59CC" w:rsidRDefault="003300D6" w:rsidP="00CD59CC">
      <w:pPr>
        <w:rPr>
          <w:rFonts w:ascii="Arial" w:hAnsi="Arial" w:cs="Arial"/>
        </w:rPr>
      </w:pPr>
    </w:p>
    <w:p w14:paraId="12FB70AB" w14:textId="77777777" w:rsidR="003300D6" w:rsidRPr="00CD59CC" w:rsidRDefault="003300D6" w:rsidP="00CD59CC">
      <w:pPr>
        <w:pStyle w:val="BodyText"/>
        <w:rPr>
          <w:rFonts w:ascii="Arial" w:hAnsi="Arial" w:cs="Arial"/>
          <w:bCs/>
          <w:i w:val="0"/>
          <w:lang w:val="en-GB"/>
        </w:rPr>
      </w:pPr>
      <w:r w:rsidRPr="00CD59CC">
        <w:rPr>
          <w:rFonts w:ascii="Arial" w:hAnsi="Arial" w:cs="Arial"/>
          <w:i w:val="0"/>
          <w:lang w:val="en-GB"/>
        </w:rPr>
        <w:t xml:space="preserve">Penalties are not imposed on employees who work beyond pension age. </w:t>
      </w:r>
      <w:r w:rsidRPr="00CD59CC">
        <w:rPr>
          <w:rFonts w:ascii="Arial" w:hAnsi="Arial" w:cs="Arial"/>
          <w:bCs/>
          <w:i w:val="0"/>
          <w:lang w:val="en-GB"/>
        </w:rPr>
        <w:t>In the private sphere, there</w:t>
      </w:r>
      <w:r w:rsidRPr="00CD59CC">
        <w:rPr>
          <w:rFonts w:ascii="Arial" w:hAnsi="Arial" w:cs="Arial"/>
          <w:i w:val="0"/>
          <w:lang w:val="en-GB"/>
        </w:rPr>
        <w:t xml:space="preserve"> is no cap on the number of working hours and the salary of </w:t>
      </w:r>
      <w:r w:rsidRPr="00CD59CC">
        <w:rPr>
          <w:rFonts w:ascii="Arial" w:hAnsi="Arial" w:cs="Arial"/>
          <w:bCs/>
          <w:i w:val="0"/>
          <w:lang w:val="en-GB"/>
        </w:rPr>
        <w:t>persons collecting their pensions.</w:t>
      </w:r>
    </w:p>
    <w:p w14:paraId="531E0EC3" w14:textId="77777777" w:rsidR="003300D6" w:rsidRPr="00CD59CC" w:rsidRDefault="003300D6" w:rsidP="00CD59CC">
      <w:pPr>
        <w:pStyle w:val="BodyText"/>
        <w:rPr>
          <w:rFonts w:ascii="Arial" w:hAnsi="Arial" w:cs="Arial"/>
          <w:bCs/>
          <w:i w:val="0"/>
          <w:lang w:val="en-GB"/>
        </w:rPr>
      </w:pPr>
    </w:p>
    <w:p w14:paraId="432922FC" w14:textId="77777777" w:rsidR="003300D6" w:rsidRPr="00CD59CC" w:rsidRDefault="003300D6" w:rsidP="00CD59CC">
      <w:pPr>
        <w:pStyle w:val="BodyText"/>
        <w:rPr>
          <w:rFonts w:ascii="Arial" w:hAnsi="Arial" w:cs="Arial"/>
          <w:bCs/>
          <w:i w:val="0"/>
          <w:lang w:val="en-GB"/>
        </w:rPr>
      </w:pPr>
      <w:r w:rsidRPr="00CD59CC">
        <w:rPr>
          <w:rFonts w:ascii="Arial" w:hAnsi="Arial" w:cs="Arial"/>
          <w:bCs/>
          <w:i w:val="0"/>
          <w:lang w:val="en-GB"/>
        </w:rPr>
        <w:t xml:space="preserve">In the public sphere however, a person who has reached the pensionable age has to choose between collecting the pension or continuing to work (provided that according to the rules pertaining to him/her, he/she has the choice to serve on – see below). Under Article 83/C of the State Pensions Act, the payment of the pension has to be suspended if the pensioner starts working (or continues to work) as a </w:t>
      </w:r>
    </w:p>
    <w:p w14:paraId="1C2FF6B7" w14:textId="77777777" w:rsidR="003300D6" w:rsidRPr="00CD59CC" w:rsidRDefault="003300D6" w:rsidP="00CD59CC">
      <w:pPr>
        <w:pStyle w:val="BodyText"/>
        <w:rPr>
          <w:rFonts w:ascii="Arial" w:hAnsi="Arial" w:cs="Arial"/>
          <w:bCs/>
          <w:i w:val="0"/>
          <w:lang w:val="en-GB"/>
        </w:rPr>
      </w:pPr>
    </w:p>
    <w:p w14:paraId="771883CC" w14:textId="793B4C24" w:rsidR="003300D6" w:rsidRPr="00CD59CC" w:rsidRDefault="003300D6" w:rsidP="007B4138">
      <w:pPr>
        <w:pStyle w:val="BodyText"/>
        <w:numPr>
          <w:ilvl w:val="0"/>
          <w:numId w:val="59"/>
        </w:numPr>
        <w:ind w:left="567" w:hanging="567"/>
        <w:rPr>
          <w:rFonts w:ascii="Arial" w:hAnsi="Arial" w:cs="Arial"/>
          <w:bCs/>
          <w:i w:val="0"/>
          <w:lang w:val="en-GB"/>
        </w:rPr>
      </w:pPr>
      <w:r w:rsidRPr="00CD59CC">
        <w:rPr>
          <w:rFonts w:ascii="Arial" w:hAnsi="Arial" w:cs="Arial"/>
          <w:bCs/>
          <w:i w:val="0"/>
          <w:lang w:val="en-GB"/>
        </w:rPr>
        <w:t>public servant (e.g. a teacher teaching in a public school, a doctor working in a public hospital)</w:t>
      </w:r>
      <w:r w:rsidR="002B50DC">
        <w:rPr>
          <w:rFonts w:ascii="Arial" w:hAnsi="Arial" w:cs="Arial"/>
          <w:bCs/>
          <w:i w:val="0"/>
          <w:lang w:val="en-GB"/>
        </w:rPr>
        <w:t>;</w:t>
      </w:r>
    </w:p>
    <w:p w14:paraId="02852798" w14:textId="72E4E807" w:rsidR="003300D6" w:rsidRPr="00CD59CC" w:rsidRDefault="003300D6" w:rsidP="007B4138">
      <w:pPr>
        <w:pStyle w:val="BodyText"/>
        <w:numPr>
          <w:ilvl w:val="0"/>
          <w:numId w:val="59"/>
        </w:numPr>
        <w:ind w:left="567" w:hanging="567"/>
        <w:rPr>
          <w:rFonts w:ascii="Arial" w:hAnsi="Arial" w:cs="Arial"/>
          <w:bCs/>
          <w:i w:val="0"/>
          <w:lang w:val="en-GB"/>
        </w:rPr>
      </w:pPr>
      <w:r w:rsidRPr="00CD59CC">
        <w:rPr>
          <w:rFonts w:ascii="Arial" w:hAnsi="Arial" w:cs="Arial"/>
          <w:bCs/>
          <w:i w:val="0"/>
          <w:lang w:val="en-GB"/>
        </w:rPr>
        <w:t>civil servant (working in the public administration)</w:t>
      </w:r>
      <w:r w:rsidR="002B50DC">
        <w:rPr>
          <w:rFonts w:ascii="Arial" w:hAnsi="Arial" w:cs="Arial"/>
          <w:bCs/>
          <w:i w:val="0"/>
          <w:lang w:val="en-GB"/>
        </w:rPr>
        <w:t>;</w:t>
      </w:r>
    </w:p>
    <w:p w14:paraId="494C96B5" w14:textId="77777777" w:rsidR="003300D6" w:rsidRPr="00CD59CC" w:rsidRDefault="003300D6" w:rsidP="007B4138">
      <w:pPr>
        <w:pStyle w:val="BodyText"/>
        <w:numPr>
          <w:ilvl w:val="0"/>
          <w:numId w:val="59"/>
        </w:numPr>
        <w:ind w:left="567" w:hanging="567"/>
        <w:rPr>
          <w:rFonts w:ascii="Arial" w:hAnsi="Arial" w:cs="Arial"/>
          <w:bCs/>
          <w:i w:val="0"/>
          <w:lang w:val="en-GB"/>
        </w:rPr>
      </w:pPr>
      <w:r w:rsidRPr="00CD59CC">
        <w:rPr>
          <w:rFonts w:ascii="Arial" w:hAnsi="Arial" w:cs="Arial"/>
          <w:bCs/>
          <w:i w:val="0"/>
          <w:lang w:val="en-GB"/>
        </w:rPr>
        <w:t>governmental servant</w:t>
      </w:r>
      <w:r w:rsidR="002B50DC">
        <w:rPr>
          <w:rFonts w:ascii="Arial" w:hAnsi="Arial" w:cs="Arial"/>
          <w:bCs/>
          <w:i w:val="0"/>
          <w:lang w:val="en-GB"/>
        </w:rPr>
        <w:t>;</w:t>
      </w:r>
    </w:p>
    <w:p w14:paraId="1A3E8935" w14:textId="77777777" w:rsidR="003300D6" w:rsidRPr="00CD59CC" w:rsidRDefault="003300D6" w:rsidP="007B4138">
      <w:pPr>
        <w:pStyle w:val="BodyText"/>
        <w:numPr>
          <w:ilvl w:val="0"/>
          <w:numId w:val="59"/>
        </w:numPr>
        <w:ind w:left="567" w:hanging="567"/>
        <w:rPr>
          <w:rFonts w:ascii="Arial" w:hAnsi="Arial" w:cs="Arial"/>
          <w:bCs/>
          <w:i w:val="0"/>
          <w:lang w:val="en-GB"/>
        </w:rPr>
      </w:pPr>
      <w:r w:rsidRPr="00CD59CC">
        <w:rPr>
          <w:rFonts w:ascii="Arial" w:hAnsi="Arial" w:cs="Arial"/>
          <w:bCs/>
          <w:i w:val="0"/>
          <w:lang w:val="en-GB"/>
        </w:rPr>
        <w:t>high ranking state official</w:t>
      </w:r>
      <w:r w:rsidR="002B50DC">
        <w:rPr>
          <w:rFonts w:ascii="Arial" w:hAnsi="Arial" w:cs="Arial"/>
          <w:bCs/>
          <w:i w:val="0"/>
          <w:lang w:val="en-GB"/>
        </w:rPr>
        <w:t>;</w:t>
      </w:r>
    </w:p>
    <w:p w14:paraId="6C226C80" w14:textId="77777777" w:rsidR="003300D6" w:rsidRPr="00CD59CC" w:rsidRDefault="003300D6" w:rsidP="007B4138">
      <w:pPr>
        <w:pStyle w:val="BodyText"/>
        <w:numPr>
          <w:ilvl w:val="0"/>
          <w:numId w:val="59"/>
        </w:numPr>
        <w:ind w:left="567" w:hanging="567"/>
        <w:rPr>
          <w:rFonts w:ascii="Arial" w:hAnsi="Arial" w:cs="Arial"/>
          <w:bCs/>
          <w:i w:val="0"/>
          <w:lang w:val="en-GB"/>
        </w:rPr>
      </w:pPr>
      <w:r w:rsidRPr="00CD59CC">
        <w:rPr>
          <w:rFonts w:ascii="Arial" w:hAnsi="Arial" w:cs="Arial"/>
          <w:i w:val="0"/>
          <w:lang w:val="en-GB"/>
        </w:rPr>
        <w:t>judge</w:t>
      </w:r>
      <w:r w:rsidR="002B50DC">
        <w:rPr>
          <w:rFonts w:ascii="Arial" w:hAnsi="Arial" w:cs="Arial"/>
          <w:i w:val="0"/>
          <w:lang w:val="en-GB"/>
        </w:rPr>
        <w:t>;</w:t>
      </w:r>
    </w:p>
    <w:p w14:paraId="7FA957D1" w14:textId="52A6448F" w:rsidR="003300D6" w:rsidRPr="00CD59CC" w:rsidRDefault="003300D6" w:rsidP="007B4138">
      <w:pPr>
        <w:pStyle w:val="BodyText"/>
        <w:numPr>
          <w:ilvl w:val="0"/>
          <w:numId w:val="59"/>
        </w:numPr>
        <w:ind w:left="567" w:hanging="567"/>
        <w:rPr>
          <w:rFonts w:ascii="Arial" w:hAnsi="Arial" w:cs="Arial"/>
          <w:bCs/>
          <w:i w:val="0"/>
          <w:lang w:val="en-GB"/>
        </w:rPr>
      </w:pPr>
      <w:r w:rsidRPr="00CD59CC">
        <w:rPr>
          <w:rFonts w:ascii="Arial" w:hAnsi="Arial" w:cs="Arial"/>
          <w:bCs/>
          <w:i w:val="0"/>
          <w:lang w:val="en-GB"/>
        </w:rPr>
        <w:lastRenderedPageBreak/>
        <w:t>justice employee (e.g. a court clerk)</w:t>
      </w:r>
      <w:r w:rsidR="002B50DC">
        <w:rPr>
          <w:rFonts w:ascii="Arial" w:hAnsi="Arial" w:cs="Arial"/>
          <w:bCs/>
          <w:i w:val="0"/>
          <w:lang w:val="en-GB"/>
        </w:rPr>
        <w:t>;</w:t>
      </w:r>
    </w:p>
    <w:p w14:paraId="1E9AEDBB" w14:textId="77777777" w:rsidR="003300D6" w:rsidRPr="00CD59CC" w:rsidRDefault="003300D6" w:rsidP="007B4138">
      <w:pPr>
        <w:pStyle w:val="BodyText"/>
        <w:numPr>
          <w:ilvl w:val="0"/>
          <w:numId w:val="59"/>
        </w:numPr>
        <w:ind w:left="567" w:hanging="567"/>
        <w:rPr>
          <w:rFonts w:ascii="Arial" w:hAnsi="Arial" w:cs="Arial"/>
          <w:bCs/>
          <w:i w:val="0"/>
          <w:lang w:val="en-GB"/>
        </w:rPr>
      </w:pPr>
      <w:r w:rsidRPr="00CD59CC">
        <w:rPr>
          <w:rFonts w:ascii="Arial" w:hAnsi="Arial" w:cs="Arial"/>
          <w:i w:val="0"/>
          <w:lang w:val="en-GB"/>
        </w:rPr>
        <w:t>prosecutor</w:t>
      </w:r>
      <w:r w:rsidR="002B50DC">
        <w:rPr>
          <w:rFonts w:ascii="Arial" w:hAnsi="Arial" w:cs="Arial"/>
          <w:i w:val="0"/>
          <w:lang w:val="en-GB"/>
        </w:rPr>
        <w:t>;</w:t>
      </w:r>
    </w:p>
    <w:p w14:paraId="389EDBB4" w14:textId="77777777" w:rsidR="003300D6" w:rsidRPr="00CD59CC" w:rsidRDefault="003300D6" w:rsidP="007B4138">
      <w:pPr>
        <w:pStyle w:val="BodyText"/>
        <w:numPr>
          <w:ilvl w:val="0"/>
          <w:numId w:val="59"/>
        </w:numPr>
        <w:ind w:left="567" w:hanging="567"/>
        <w:rPr>
          <w:rFonts w:ascii="Arial" w:hAnsi="Arial" w:cs="Arial"/>
          <w:bCs/>
          <w:i w:val="0"/>
          <w:lang w:val="en-GB"/>
        </w:rPr>
      </w:pPr>
      <w:r w:rsidRPr="00CD59CC">
        <w:rPr>
          <w:rFonts w:ascii="Arial" w:hAnsi="Arial" w:cs="Arial"/>
          <w:bCs/>
          <w:i w:val="0"/>
          <w:lang w:val="en-GB"/>
        </w:rPr>
        <w:t>person serving in a law enforcement agency or the army.</w:t>
      </w:r>
    </w:p>
    <w:p w14:paraId="415F47C8" w14:textId="77777777" w:rsidR="003300D6" w:rsidRPr="00CD59CC" w:rsidRDefault="003300D6" w:rsidP="00CD59CC">
      <w:pPr>
        <w:pStyle w:val="BodyText"/>
        <w:rPr>
          <w:rFonts w:ascii="Arial" w:hAnsi="Arial" w:cs="Arial"/>
          <w:bCs/>
          <w:i w:val="0"/>
          <w:lang w:val="en-GB"/>
        </w:rPr>
      </w:pPr>
    </w:p>
    <w:p w14:paraId="7F5190C1" w14:textId="77777777" w:rsidR="003300D6" w:rsidRPr="00CD59CC" w:rsidRDefault="003300D6" w:rsidP="00CD59CC">
      <w:pPr>
        <w:pStyle w:val="BodyText"/>
        <w:rPr>
          <w:rFonts w:ascii="Arial" w:hAnsi="Arial" w:cs="Arial"/>
          <w:i w:val="0"/>
          <w:lang w:val="en-GB"/>
        </w:rPr>
      </w:pPr>
      <w:r w:rsidRPr="00CD59CC">
        <w:rPr>
          <w:rFonts w:ascii="Arial" w:hAnsi="Arial" w:cs="Arial"/>
          <w:i w:val="0"/>
          <w:lang w:val="en-GB"/>
        </w:rPr>
        <w:t>An intricate system regulates the length of work incapacitated pensioners can perform and the salary they can receive without being disqualified from their pension: the lower the level of incapacity, the higher the number of limitations.</w:t>
      </w:r>
    </w:p>
    <w:p w14:paraId="772B38CA" w14:textId="77777777" w:rsidR="003300D6" w:rsidRPr="00CD59CC" w:rsidRDefault="003300D6" w:rsidP="00CD59CC">
      <w:pPr>
        <w:pStyle w:val="BodyText"/>
        <w:ind w:left="567" w:hanging="567"/>
        <w:rPr>
          <w:rFonts w:ascii="Arial" w:hAnsi="Arial" w:cs="Arial"/>
          <w:bCs/>
          <w:i w:val="0"/>
          <w:lang w:val="en-GB"/>
        </w:rPr>
      </w:pPr>
    </w:p>
    <w:p w14:paraId="502EA72D" w14:textId="77777777" w:rsidR="002B5BCD" w:rsidRPr="00CD59CC" w:rsidRDefault="002B5BCD" w:rsidP="00CD59CC">
      <w:pPr>
        <w:pStyle w:val="BodyText"/>
        <w:numPr>
          <w:ilvl w:val="0"/>
          <w:numId w:val="18"/>
        </w:numPr>
        <w:ind w:left="567" w:hanging="567"/>
        <w:rPr>
          <w:rFonts w:ascii="Arial" w:hAnsi="Arial" w:cs="Arial"/>
          <w:bCs/>
          <w:lang w:val="en-GB"/>
        </w:rPr>
      </w:pPr>
      <w:r w:rsidRPr="00CD59CC">
        <w:rPr>
          <w:rFonts w:ascii="Arial" w:hAnsi="Arial" w:cs="Arial"/>
          <w:bCs/>
          <w:lang w:val="en-GB"/>
        </w:rPr>
        <w:t>Is there a normal age when people can begin to receive payments from occupational pension schemes and other employer-funded pension arrangements? Can payments from such occupational pension schemes be deferred if an individual wishes to work longer, or can an individual collect a pension and still work?</w:t>
      </w:r>
    </w:p>
    <w:p w14:paraId="28D044B0" w14:textId="77777777" w:rsidR="002B5BCD" w:rsidRPr="00CD59CC" w:rsidRDefault="002B5BCD" w:rsidP="00CD59CC">
      <w:pPr>
        <w:pStyle w:val="BodyText"/>
        <w:ind w:left="567" w:hanging="567"/>
        <w:rPr>
          <w:rFonts w:ascii="Arial" w:hAnsi="Arial" w:cs="Arial"/>
          <w:bCs/>
          <w:i w:val="0"/>
          <w:lang w:val="en-GB"/>
        </w:rPr>
      </w:pPr>
    </w:p>
    <w:p w14:paraId="58E7D786" w14:textId="77777777" w:rsidR="00AA3DE3" w:rsidRPr="00CD59CC" w:rsidRDefault="00AA3DE3" w:rsidP="00CD59CC">
      <w:pPr>
        <w:pStyle w:val="BodyText"/>
        <w:rPr>
          <w:rFonts w:ascii="Arial" w:hAnsi="Arial" w:cs="Arial"/>
          <w:bCs/>
          <w:i w:val="0"/>
          <w:lang w:val="en-GB"/>
        </w:rPr>
      </w:pPr>
      <w:r w:rsidRPr="00CD59CC">
        <w:rPr>
          <w:rFonts w:ascii="Arial" w:hAnsi="Arial" w:cs="Arial"/>
          <w:bCs/>
          <w:i w:val="0"/>
          <w:lang w:val="en-GB"/>
        </w:rPr>
        <w:t xml:space="preserve">In Hungary private pension schemes may complement the state pension scheme. </w:t>
      </w:r>
    </w:p>
    <w:p w14:paraId="51440360" w14:textId="77777777" w:rsidR="00AA3DE3" w:rsidRPr="00CD59CC" w:rsidRDefault="00AA3DE3" w:rsidP="00CD59CC">
      <w:pPr>
        <w:pStyle w:val="BodyText"/>
        <w:ind w:firstLine="720"/>
        <w:rPr>
          <w:rFonts w:ascii="Arial" w:hAnsi="Arial" w:cs="Arial"/>
          <w:bCs/>
          <w:i w:val="0"/>
          <w:lang w:val="en-GB"/>
        </w:rPr>
      </w:pPr>
    </w:p>
    <w:p w14:paraId="39424F98" w14:textId="4FA11111" w:rsidR="00AA3DE3" w:rsidRPr="00CD59CC" w:rsidRDefault="00AA3DE3" w:rsidP="00CD59CC">
      <w:pPr>
        <w:pStyle w:val="BodyText"/>
        <w:rPr>
          <w:rFonts w:ascii="Arial" w:hAnsi="Arial" w:cs="Arial"/>
          <w:bCs/>
          <w:i w:val="0"/>
          <w:lang w:val="en-GB"/>
        </w:rPr>
      </w:pPr>
      <w:r w:rsidRPr="00CD59CC">
        <w:rPr>
          <w:rFonts w:ascii="Arial" w:hAnsi="Arial" w:cs="Arial"/>
          <w:bCs/>
          <w:i w:val="0"/>
          <w:lang w:val="en-GB"/>
        </w:rPr>
        <w:t xml:space="preserve">As it was mentioned above, </w:t>
      </w:r>
      <w:r w:rsidR="00B37037" w:rsidRPr="00CD59CC">
        <w:rPr>
          <w:rFonts w:ascii="Arial" w:hAnsi="Arial" w:cs="Arial"/>
          <w:bCs/>
          <w:i w:val="0"/>
          <w:lang w:val="en-GB"/>
        </w:rPr>
        <w:t>under the provisions</w:t>
      </w:r>
      <w:r w:rsidRPr="00CD59CC">
        <w:rPr>
          <w:rFonts w:ascii="Arial" w:hAnsi="Arial" w:cs="Arial"/>
          <w:bCs/>
          <w:i w:val="0"/>
          <w:lang w:val="en-GB"/>
        </w:rPr>
        <w:t xml:space="preserve"> of Article 7 of Private Pensions Act, employers and professional chambers (such as the Bar Association) may establish private pension funds for their employees or members. Employers may also undertake to complement the payments made by employees into private pension funds. </w:t>
      </w:r>
    </w:p>
    <w:p w14:paraId="3FF44C44" w14:textId="77777777" w:rsidR="00AA3DE3" w:rsidRPr="00CD59CC" w:rsidRDefault="00AA3DE3" w:rsidP="00CD59CC">
      <w:pPr>
        <w:pStyle w:val="BodyText"/>
        <w:rPr>
          <w:rFonts w:ascii="Arial" w:hAnsi="Arial" w:cs="Arial"/>
          <w:bCs/>
          <w:i w:val="0"/>
          <w:lang w:val="en-GB"/>
        </w:rPr>
      </w:pPr>
    </w:p>
    <w:p w14:paraId="1A1EA293" w14:textId="77777777" w:rsidR="00AA3DE3" w:rsidRPr="00CD59CC" w:rsidRDefault="00AA3DE3" w:rsidP="00CD59CC">
      <w:pPr>
        <w:pStyle w:val="BodyText"/>
        <w:rPr>
          <w:rFonts w:ascii="Arial" w:hAnsi="Arial" w:cs="Arial"/>
          <w:bCs/>
          <w:i w:val="0"/>
          <w:lang w:val="en-GB"/>
        </w:rPr>
      </w:pPr>
      <w:r w:rsidRPr="00CD59CC">
        <w:rPr>
          <w:rFonts w:ascii="Arial" w:hAnsi="Arial" w:cs="Arial"/>
          <w:bCs/>
          <w:i w:val="0"/>
          <w:lang w:val="en-GB"/>
        </w:rPr>
        <w:t xml:space="preserve">There are no differences between the operation of private pension funds established by employers and other private pension funds. Employees may request that such private pension funds start to pay their pensions when they reach the pensionable age, as defined in the law relating to state pensions, or later, depending upon their choice. </w:t>
      </w:r>
    </w:p>
    <w:p w14:paraId="244F9B06" w14:textId="77777777" w:rsidR="00AA3DE3" w:rsidRPr="00CD59CC" w:rsidRDefault="00AA3DE3" w:rsidP="00CD59CC">
      <w:pPr>
        <w:pStyle w:val="BodyText"/>
        <w:rPr>
          <w:rFonts w:ascii="Arial" w:hAnsi="Arial" w:cs="Arial"/>
          <w:bCs/>
          <w:i w:val="0"/>
          <w:lang w:val="en-GB"/>
        </w:rPr>
      </w:pPr>
    </w:p>
    <w:p w14:paraId="1CFB02CF" w14:textId="7118A153" w:rsidR="00AA3DE3" w:rsidRPr="00CD59CC" w:rsidRDefault="00AA3DE3" w:rsidP="00CD59CC">
      <w:pPr>
        <w:pStyle w:val="BodyText"/>
        <w:rPr>
          <w:rFonts w:ascii="Arial" w:hAnsi="Arial" w:cs="Arial"/>
          <w:bCs/>
          <w:i w:val="0"/>
          <w:lang w:val="en-GB"/>
        </w:rPr>
      </w:pPr>
      <w:r w:rsidRPr="00CD59CC">
        <w:rPr>
          <w:rFonts w:ascii="Arial" w:hAnsi="Arial" w:cs="Arial"/>
          <w:bCs/>
          <w:i w:val="0"/>
          <w:lang w:val="en-GB"/>
        </w:rPr>
        <w:t xml:space="preserve">Collecting pensions from such schemes does not prevent employees from working on, </w:t>
      </w:r>
      <w:r w:rsidR="00CF0BD4" w:rsidRPr="00CD59CC">
        <w:rPr>
          <w:rFonts w:ascii="Arial" w:hAnsi="Arial" w:cs="Arial"/>
          <w:bCs/>
          <w:i w:val="0"/>
          <w:lang w:val="en-GB"/>
        </w:rPr>
        <w:t xml:space="preserve">but </w:t>
      </w:r>
      <w:r w:rsidRPr="00CD59CC">
        <w:rPr>
          <w:rFonts w:ascii="Arial" w:hAnsi="Arial" w:cs="Arial"/>
          <w:bCs/>
          <w:i w:val="0"/>
          <w:lang w:val="en-GB"/>
        </w:rPr>
        <w:t xml:space="preserve">the restrictions referred to above and described in detail below also apply to employees who receive private pensions. </w:t>
      </w:r>
    </w:p>
    <w:p w14:paraId="64A77991" w14:textId="77777777" w:rsidR="00AA3DE3" w:rsidRPr="00CD59CC" w:rsidRDefault="00AA3DE3" w:rsidP="00CD59CC">
      <w:pPr>
        <w:pStyle w:val="BodyText"/>
        <w:ind w:left="567" w:hanging="567"/>
        <w:rPr>
          <w:rFonts w:ascii="Arial" w:hAnsi="Arial" w:cs="Arial"/>
          <w:bCs/>
          <w:i w:val="0"/>
          <w:lang w:val="en-GB"/>
        </w:rPr>
      </w:pPr>
    </w:p>
    <w:p w14:paraId="07EF9CA0" w14:textId="77777777" w:rsidR="002B5BCD" w:rsidRPr="00CD59CC" w:rsidRDefault="002B5BCD" w:rsidP="00CD59CC">
      <w:pPr>
        <w:pStyle w:val="BodyText"/>
        <w:numPr>
          <w:ilvl w:val="0"/>
          <w:numId w:val="18"/>
        </w:numPr>
        <w:ind w:left="567" w:hanging="567"/>
        <w:rPr>
          <w:rFonts w:ascii="Arial" w:hAnsi="Arial" w:cs="Arial"/>
          <w:bCs/>
          <w:lang w:val="en-GB"/>
        </w:rPr>
      </w:pPr>
      <w:r w:rsidRPr="00CD59CC">
        <w:rPr>
          <w:rFonts w:ascii="Arial" w:hAnsi="Arial" w:cs="Arial"/>
          <w:bCs/>
          <w:lang w:val="en-GB"/>
        </w:rPr>
        <w:t>Is there a state-imposed mandatory retirement age(s)? Please state whether this is generally applicable or only in respect of certain sectors, and if so please state which. Have there been recent changes in this respect or are any planned in the near future?</w:t>
      </w:r>
    </w:p>
    <w:p w14:paraId="0E585DA6" w14:textId="77777777" w:rsidR="002B5BCD" w:rsidRPr="00CD59CC" w:rsidRDefault="002B5BCD" w:rsidP="00CD59CC">
      <w:pPr>
        <w:pStyle w:val="BodyText"/>
        <w:ind w:left="567" w:hanging="567"/>
        <w:rPr>
          <w:rFonts w:ascii="Arial" w:hAnsi="Arial" w:cs="Arial"/>
          <w:bCs/>
          <w:i w:val="0"/>
          <w:lang w:val="en-GB"/>
        </w:rPr>
      </w:pPr>
    </w:p>
    <w:p w14:paraId="6F0D73A2" w14:textId="77777777" w:rsidR="00AA3DE3" w:rsidRDefault="00AA3DE3" w:rsidP="00CD59CC">
      <w:pPr>
        <w:rPr>
          <w:rFonts w:ascii="Arial" w:hAnsi="Arial" w:cs="Arial"/>
        </w:rPr>
      </w:pPr>
      <w:r w:rsidRPr="00CD59CC">
        <w:rPr>
          <w:rFonts w:ascii="Arial" w:hAnsi="Arial" w:cs="Arial"/>
        </w:rPr>
        <w:t xml:space="preserve">Compulsory retirement is only permitted in the case of employees in public service: e.g. civil servants, judges, judges of the Constitutional Court, public notaries, the professional personnel of armed organisations. </w:t>
      </w:r>
    </w:p>
    <w:p w14:paraId="4ED58AE6" w14:textId="77777777" w:rsidR="00DA0744" w:rsidRPr="00CD59CC" w:rsidRDefault="00DA0744" w:rsidP="00CD59CC">
      <w:pPr>
        <w:rPr>
          <w:rFonts w:ascii="Arial" w:hAnsi="Arial" w:cs="Arial"/>
        </w:rPr>
      </w:pPr>
    </w:p>
    <w:p w14:paraId="67EE36A1" w14:textId="77777777" w:rsidR="00AA3DE3" w:rsidRPr="00CD59CC" w:rsidRDefault="00AA3DE3" w:rsidP="007B4138">
      <w:pPr>
        <w:numPr>
          <w:ilvl w:val="1"/>
          <w:numId w:val="60"/>
        </w:numPr>
        <w:suppressAutoHyphens/>
        <w:rPr>
          <w:rFonts w:ascii="Arial" w:hAnsi="Arial" w:cs="Arial"/>
        </w:rPr>
      </w:pPr>
      <w:r w:rsidRPr="00CD59CC">
        <w:rPr>
          <w:rFonts w:ascii="Arial" w:hAnsi="Arial" w:cs="Arial"/>
        </w:rPr>
        <w:t xml:space="preserve">Under Article 60 Paragraph (1) Point (j) of Act CXCIX of 2011 on Civil Servants, the service relationship of civil servants ceases when they reach the general pensionable age (provided that they have 20 years of service time). If they do not have 20 years of service time, or if they receive a special permission from their superior, they may continue to work, but not after reaching the age of 70. </w:t>
      </w:r>
    </w:p>
    <w:p w14:paraId="38B2B94C" w14:textId="77777777" w:rsidR="00AA3DE3" w:rsidRPr="00CD59CC" w:rsidRDefault="00AA3DE3" w:rsidP="007B4138">
      <w:pPr>
        <w:numPr>
          <w:ilvl w:val="1"/>
          <w:numId w:val="60"/>
        </w:numPr>
        <w:suppressAutoHyphens/>
        <w:rPr>
          <w:rFonts w:ascii="Arial" w:hAnsi="Arial" w:cs="Arial"/>
        </w:rPr>
      </w:pPr>
      <w:r w:rsidRPr="00CD59CC">
        <w:rPr>
          <w:rFonts w:ascii="Arial" w:hAnsi="Arial" w:cs="Arial"/>
        </w:rPr>
        <w:lastRenderedPageBreak/>
        <w:t>Under Article 90 Point (ha) of Act CLXII of 2011 on the Status and Remuneration of Judges (Judicial Status Act), if a judge reaches the actual pensionable age, he/she has to retire. Although this is 62 at the moment, in an attempt to comply with the decision of the Court of Justice of the European Union (see below), the Hungarian Government provided judges older than 62 with a transitional period, therefore at the moment judges still have to retire at the age of 70 (their traditional mandatory retirement age), and their mandatory retirement age will be decreased gradually to 65 by 2022, so in 2022, the mandatory retirement age of judges will coincide with the general pensionable age, as envisaged by the above quoted provision of Act CLXII of 2011 (see Articles 232/C and 232/J of the Act).</w:t>
      </w:r>
    </w:p>
    <w:p w14:paraId="3B7B6749" w14:textId="77777777" w:rsidR="00AA3DE3" w:rsidRPr="00CD59CC" w:rsidRDefault="00AA3DE3" w:rsidP="007B4138">
      <w:pPr>
        <w:numPr>
          <w:ilvl w:val="1"/>
          <w:numId w:val="60"/>
        </w:numPr>
        <w:suppressAutoHyphens/>
        <w:rPr>
          <w:rFonts w:ascii="Arial" w:hAnsi="Arial" w:cs="Arial"/>
        </w:rPr>
      </w:pPr>
      <w:r w:rsidRPr="00CD59CC">
        <w:rPr>
          <w:rFonts w:ascii="Arial" w:hAnsi="Arial" w:cs="Arial"/>
        </w:rPr>
        <w:t xml:space="preserve">The same applies to prosecutors under Article 34 Point (d) and Articles 165/C and 165/J of Act CLXIV of 2011 on the Status of the Chief Public Prosecutor, Prosecutors and Other Prosecutorial Employees and the Prosecutorial Career. </w:t>
      </w:r>
    </w:p>
    <w:p w14:paraId="08362AB9" w14:textId="77777777" w:rsidR="00AA3DE3" w:rsidRPr="00CD59CC" w:rsidRDefault="00AA3DE3" w:rsidP="007B4138">
      <w:pPr>
        <w:numPr>
          <w:ilvl w:val="1"/>
          <w:numId w:val="60"/>
        </w:numPr>
        <w:suppressAutoHyphens/>
        <w:rPr>
          <w:rFonts w:ascii="Arial" w:hAnsi="Arial" w:cs="Arial"/>
        </w:rPr>
      </w:pPr>
      <w:r w:rsidRPr="00CD59CC">
        <w:rPr>
          <w:rFonts w:ascii="Arial" w:hAnsi="Arial" w:cs="Arial"/>
        </w:rPr>
        <w:t xml:space="preserve">Similar rules apply to notaries public in terms of Article 22 Paragraph (1) Point (d) and Article 178 of Act XLI of 1991 on Public Notaries. </w:t>
      </w:r>
    </w:p>
    <w:p w14:paraId="2111AE76" w14:textId="77777777" w:rsidR="00AA3DE3" w:rsidRPr="00CD59CC" w:rsidRDefault="00AA3DE3" w:rsidP="007B4138">
      <w:pPr>
        <w:numPr>
          <w:ilvl w:val="1"/>
          <w:numId w:val="60"/>
        </w:numPr>
        <w:suppressAutoHyphens/>
        <w:rPr>
          <w:rFonts w:ascii="Arial" w:hAnsi="Arial" w:cs="Arial"/>
        </w:rPr>
      </w:pPr>
      <w:r w:rsidRPr="00CD59CC">
        <w:rPr>
          <w:rFonts w:ascii="Arial" w:hAnsi="Arial" w:cs="Arial"/>
        </w:rPr>
        <w:t xml:space="preserve">Under Article 59 Paragraph (1) Point (a) of the Armed Organisations Act, the service relationship of the member of the professional personnel ceases once he/she reaches the upper age limit of professional service. Under Article 52 the upper age limit coincides with the general pensionable age. </w:t>
      </w:r>
    </w:p>
    <w:p w14:paraId="3E5EA1A2" w14:textId="77777777" w:rsidR="00AA3DE3" w:rsidRPr="00CD59CC" w:rsidRDefault="00AA3DE3" w:rsidP="00CD59CC">
      <w:pPr>
        <w:ind w:left="720"/>
        <w:rPr>
          <w:rFonts w:ascii="Arial" w:hAnsi="Arial" w:cs="Arial"/>
        </w:rPr>
      </w:pPr>
    </w:p>
    <w:p w14:paraId="4F6BA99B" w14:textId="77777777" w:rsidR="00AA3DE3" w:rsidRPr="00CD59CC" w:rsidRDefault="00AA3DE3" w:rsidP="00CD59CC">
      <w:pPr>
        <w:rPr>
          <w:rFonts w:ascii="Arial" w:hAnsi="Arial" w:cs="Arial"/>
        </w:rPr>
      </w:pPr>
      <w:r w:rsidRPr="00CD59CC">
        <w:rPr>
          <w:rFonts w:ascii="Arial" w:hAnsi="Arial" w:cs="Arial"/>
        </w:rPr>
        <w:t>These provisions were not subject to debate during the transposition of the directives, they have however come under domestic and international serious criticism when the mandatory retirement age for judges and prosecutors (which was 70 before the coming in to force of the Fundamental Law in April 2011), was abruptly reduced to the actual general pensionable age (currently 62) with an insufficient transitory period. (It needs to be mentioned that much of the criticism did not only – or primarily – focus on the measure’s incompliance with non-discrimination requirements, but also on its very detrimental effect on the independence of the judiciary.)</w:t>
      </w:r>
    </w:p>
    <w:p w14:paraId="70566C68" w14:textId="77777777" w:rsidR="00AA3DE3" w:rsidRPr="00CD59CC" w:rsidRDefault="00AA3DE3" w:rsidP="00CD59CC">
      <w:pPr>
        <w:rPr>
          <w:rFonts w:ascii="Arial" w:hAnsi="Arial" w:cs="Arial"/>
        </w:rPr>
      </w:pPr>
    </w:p>
    <w:p w14:paraId="3E89CE76" w14:textId="58F1D96C" w:rsidR="00AA3DE3" w:rsidRPr="00CD59CC" w:rsidRDefault="00AA3DE3" w:rsidP="00CD59CC">
      <w:pPr>
        <w:pStyle w:val="BodyText"/>
        <w:rPr>
          <w:rFonts w:ascii="Arial" w:hAnsi="Arial" w:cs="Arial"/>
          <w:i w:val="0"/>
          <w:lang w:val="en-GB"/>
        </w:rPr>
      </w:pPr>
      <w:r w:rsidRPr="00CD59CC">
        <w:rPr>
          <w:rFonts w:ascii="Arial" w:hAnsi="Arial" w:cs="Arial"/>
          <w:i w:val="0"/>
          <w:lang w:val="en-GB"/>
        </w:rPr>
        <w:t>The European Commission expressed the opinion that “EU rules on equal treatment in employment (Directive 2000/78/EC) prohibit discrimination at the workplace on grounds of age, which also covers a reduction of the retirement for one profession without an objective justification”. Following the Commission's letter of formal notice in January 2012 and then the</w:t>
      </w:r>
      <w:r w:rsidR="007B7640" w:rsidRPr="00CD59CC">
        <w:rPr>
          <w:rFonts w:ascii="Arial" w:hAnsi="Arial" w:cs="Arial"/>
          <w:i w:val="0"/>
          <w:lang w:val="en-GB"/>
        </w:rPr>
        <w:t xml:space="preserve"> </w:t>
      </w:r>
      <w:r w:rsidRPr="00CD59CC">
        <w:rPr>
          <w:rFonts w:ascii="Arial" w:hAnsi="Arial" w:cs="Arial"/>
          <w:i w:val="0"/>
          <w:lang w:val="en-GB"/>
        </w:rPr>
        <w:t xml:space="preserve">reasoned opinion in March 2012. the Commission finally brought an action against Hungary in June under Article 258 TFEU for failure to fulfil obligations on the basis that the contested Hungarian regulation is contrary to Articles 2 and 6(1) of Directive 2000/78 in that they give rise to unjustified discrimination and, are neither appropriate nor necessary to achieve the allegedly legitimate objectives invoked by Hungary. The Commission’s action concerned all legal professionals, including prosecutors and public notaries as well. In its decision of 6 November 2012, the CJEU established that the national scheme requiring compulsory retirement of judges, prosecutors and notaries when they reach the age of 62 was not in line with Articles 2 and 6(1) of Directive 2000/78/EC. The CJEU concluded that the radical lowering of the retirement age by 8 years with a very short </w:t>
      </w:r>
      <w:r w:rsidRPr="00CD59CC">
        <w:rPr>
          <w:rFonts w:ascii="Arial" w:hAnsi="Arial" w:cs="Arial"/>
          <w:i w:val="0"/>
          <w:lang w:val="en-GB"/>
        </w:rPr>
        <w:lastRenderedPageBreak/>
        <w:t>transitory period while on the other hand raising the general pensionable age did not take the interests of those affected into sufficient account, and could not therefore be seen as necessary to achieve the objective of standardising the retirement age for public-sector professions. Furthermore, the CJEU concluded that the contested national legislation was not appropriate to achieve the pursued objective of establishing a more balanced ‘age structure’, since after the first wave of replacing the dismissed persons with young professionals, the system does not allow for further corrections to the age structure.</w:t>
      </w:r>
    </w:p>
    <w:p w14:paraId="47C2684C" w14:textId="77777777" w:rsidR="00AA3DE3" w:rsidRPr="00CD59CC" w:rsidRDefault="00AA3DE3" w:rsidP="00CD59CC">
      <w:pPr>
        <w:pStyle w:val="BodyText"/>
        <w:rPr>
          <w:rFonts w:ascii="Arial" w:hAnsi="Arial" w:cs="Arial"/>
          <w:i w:val="0"/>
          <w:lang w:val="en-GB"/>
        </w:rPr>
      </w:pPr>
    </w:p>
    <w:p w14:paraId="082806E0" w14:textId="512EF035" w:rsidR="00AA3DE3" w:rsidRPr="00CD59CC" w:rsidRDefault="00AA3DE3" w:rsidP="00CD59CC">
      <w:pPr>
        <w:pStyle w:val="BodyText"/>
        <w:rPr>
          <w:rFonts w:ascii="Arial" w:hAnsi="Arial" w:cs="Arial"/>
          <w:i w:val="0"/>
          <w:lang w:val="en-GB"/>
        </w:rPr>
      </w:pPr>
      <w:r w:rsidRPr="00CD59CC">
        <w:rPr>
          <w:rFonts w:ascii="Arial" w:hAnsi="Arial" w:cs="Arial"/>
          <w:i w:val="0"/>
          <w:lang w:val="en-GB"/>
        </w:rPr>
        <w:t>Following up on the judgment, in December 2012, the Hungarian Government submitted a Bill with the aim of complying with the CJEU’s decision. Act XX</w:t>
      </w:r>
      <w:r w:rsidR="007B7640" w:rsidRPr="00CD59CC">
        <w:rPr>
          <w:rFonts w:ascii="Arial" w:hAnsi="Arial" w:cs="Arial"/>
          <w:i w:val="0"/>
          <w:lang w:val="en-GB"/>
        </w:rPr>
        <w:t xml:space="preserve"> </w:t>
      </w:r>
      <w:r w:rsidRPr="00CD59CC">
        <w:rPr>
          <w:rFonts w:ascii="Arial" w:hAnsi="Arial" w:cs="Arial"/>
          <w:i w:val="0"/>
          <w:lang w:val="en-GB"/>
        </w:rPr>
        <w:t>of 2013 – remedying most, but not all the failures – was passed on 11 March 2013.</w:t>
      </w:r>
      <w:r w:rsidRPr="00BB4E9F">
        <w:rPr>
          <w:rFonts w:ascii="Arial" w:hAnsi="Arial"/>
          <w:lang w:val="en-GB"/>
        </w:rPr>
        <w:t xml:space="preserve"> </w:t>
      </w:r>
      <w:r w:rsidRPr="00CD59CC">
        <w:rPr>
          <w:rFonts w:ascii="Arial" w:hAnsi="Arial" w:cs="Arial"/>
          <w:i w:val="0"/>
          <w:lang w:val="en-GB"/>
        </w:rPr>
        <w:t>The main points of the law can be summarized as follows.</w:t>
      </w:r>
    </w:p>
    <w:p w14:paraId="029C7BFF" w14:textId="77777777" w:rsidR="00AA3DE3" w:rsidRPr="00CD59CC" w:rsidRDefault="00AA3DE3" w:rsidP="00CD59CC">
      <w:pPr>
        <w:pStyle w:val="BodyText"/>
        <w:rPr>
          <w:rFonts w:ascii="Arial" w:hAnsi="Arial" w:cs="Arial"/>
          <w:i w:val="0"/>
          <w:lang w:val="en-GB"/>
        </w:rPr>
      </w:pPr>
    </w:p>
    <w:p w14:paraId="484D9717" w14:textId="77777777" w:rsidR="00AA3DE3" w:rsidRPr="00CD59CC" w:rsidRDefault="00AA3DE3" w:rsidP="007B4138">
      <w:pPr>
        <w:pStyle w:val="BodyText"/>
        <w:numPr>
          <w:ilvl w:val="1"/>
          <w:numId w:val="61"/>
        </w:numPr>
        <w:ind w:left="567" w:hanging="567"/>
        <w:rPr>
          <w:rFonts w:ascii="Arial" w:hAnsi="Arial" w:cs="Arial"/>
          <w:i w:val="0"/>
          <w:lang w:val="en-GB"/>
        </w:rPr>
      </w:pPr>
      <w:r w:rsidRPr="00CD59CC">
        <w:rPr>
          <w:rFonts w:ascii="Arial" w:hAnsi="Arial" w:cs="Arial"/>
          <w:i w:val="0"/>
          <w:lang w:val="en-GB"/>
        </w:rPr>
        <w:t>The mandatory retirement age will be reduced gradually to 65 years by 31 December 2022 for all legal professionals.</w:t>
      </w:r>
    </w:p>
    <w:p w14:paraId="63AA22B3" w14:textId="77777777" w:rsidR="00AA3DE3" w:rsidRPr="00CD59CC" w:rsidRDefault="00AA3DE3" w:rsidP="007B4138">
      <w:pPr>
        <w:pStyle w:val="BodyText"/>
        <w:numPr>
          <w:ilvl w:val="1"/>
          <w:numId w:val="61"/>
        </w:numPr>
        <w:ind w:left="567" w:hanging="567"/>
        <w:rPr>
          <w:rFonts w:ascii="Arial" w:hAnsi="Arial" w:cs="Arial"/>
          <w:i w:val="0"/>
          <w:lang w:val="en-GB"/>
        </w:rPr>
      </w:pPr>
      <w:r w:rsidRPr="00CD59CC">
        <w:rPr>
          <w:rFonts w:ascii="Arial" w:hAnsi="Arial" w:cs="Arial"/>
          <w:i w:val="0"/>
          <w:lang w:val="en-GB"/>
        </w:rPr>
        <w:t xml:space="preserve">Judges dismissed on the basis of the regulation found to be in breach of EU norms by the CJEU shall make a statement within 30 days from the coming into force of the new Act whether they wish to be reinstated. If so, they shall be reinstated to the court at which they previously worked and fully compensated for the financial losses they suffered. If a judge who previously filled a leading administrative position is reinstated and the leading administrative position has not been filled in the meantime, the judge shall be reinstated into that position as well. </w:t>
      </w:r>
    </w:p>
    <w:p w14:paraId="1102199A" w14:textId="77777777" w:rsidR="00AA3DE3" w:rsidRPr="00CD59CC" w:rsidRDefault="00AA3DE3" w:rsidP="007B4138">
      <w:pPr>
        <w:pStyle w:val="BodyText"/>
        <w:numPr>
          <w:ilvl w:val="1"/>
          <w:numId w:val="61"/>
        </w:numPr>
        <w:ind w:left="567" w:hanging="567"/>
        <w:rPr>
          <w:rFonts w:ascii="Arial" w:hAnsi="Arial" w:cs="Arial"/>
          <w:i w:val="0"/>
          <w:lang w:val="en-GB"/>
        </w:rPr>
      </w:pPr>
      <w:r w:rsidRPr="00CD59CC">
        <w:rPr>
          <w:rFonts w:ascii="Arial" w:hAnsi="Arial" w:cs="Arial"/>
          <w:i w:val="0"/>
          <w:lang w:val="en-GB"/>
        </w:rPr>
        <w:t>If an unlawfully dismissed judge does not request reinstatement, he/she shall be paid a general compensation equalling the amount of his/her 12-month salary. Any damage exceeding this amount shall be enforced in a lawsuit.</w:t>
      </w:r>
    </w:p>
    <w:p w14:paraId="189CE3FE" w14:textId="77777777" w:rsidR="00AA3DE3" w:rsidRPr="00CD59CC" w:rsidRDefault="00AA3DE3" w:rsidP="007B4138">
      <w:pPr>
        <w:pStyle w:val="BodyText"/>
        <w:numPr>
          <w:ilvl w:val="1"/>
          <w:numId w:val="61"/>
        </w:numPr>
        <w:ind w:left="567" w:hanging="567"/>
        <w:rPr>
          <w:rFonts w:ascii="Arial" w:hAnsi="Arial" w:cs="Arial"/>
          <w:i w:val="0"/>
          <w:lang w:val="en-GB"/>
        </w:rPr>
      </w:pPr>
      <w:r w:rsidRPr="00CD59CC">
        <w:rPr>
          <w:rFonts w:ascii="Arial" w:hAnsi="Arial" w:cs="Arial"/>
          <w:i w:val="0"/>
          <w:lang w:val="en-GB"/>
        </w:rPr>
        <w:t>Practically the same provisions will be introduced with regard to prosecutors.</w:t>
      </w:r>
    </w:p>
    <w:p w14:paraId="55E33FD8" w14:textId="77777777" w:rsidR="00AA3DE3" w:rsidRPr="00CD59CC" w:rsidRDefault="00AA3DE3" w:rsidP="00CD59CC">
      <w:pPr>
        <w:pStyle w:val="BodyText"/>
        <w:rPr>
          <w:rFonts w:ascii="Arial" w:hAnsi="Arial" w:cs="Arial"/>
          <w:i w:val="0"/>
          <w:lang w:val="en-GB"/>
        </w:rPr>
      </w:pPr>
    </w:p>
    <w:p w14:paraId="5608AF23" w14:textId="77777777" w:rsidR="002B5BCD" w:rsidRPr="00CD59CC" w:rsidRDefault="002B5BCD" w:rsidP="00CD59CC">
      <w:pPr>
        <w:pStyle w:val="BodyText"/>
        <w:numPr>
          <w:ilvl w:val="0"/>
          <w:numId w:val="18"/>
        </w:numPr>
        <w:ind w:left="567" w:hanging="567"/>
        <w:rPr>
          <w:rFonts w:ascii="Arial" w:hAnsi="Arial" w:cs="Arial"/>
          <w:bCs/>
          <w:lang w:val="en-GB"/>
        </w:rPr>
      </w:pPr>
      <w:r w:rsidRPr="00CD59CC">
        <w:rPr>
          <w:rFonts w:ascii="Arial" w:hAnsi="Arial" w:cs="Arial"/>
          <w:bCs/>
          <w:lang w:val="en-GB"/>
        </w:rPr>
        <w:t xml:space="preserve">Does national law permit employers to set retirement ages </w:t>
      </w:r>
      <w:r w:rsidRPr="00CD59CC">
        <w:rPr>
          <w:rFonts w:ascii="Arial" w:hAnsi="Arial" w:cs="Arial"/>
          <w:bCs/>
          <w:u w:val="single"/>
          <w:lang w:val="en-GB"/>
        </w:rPr>
        <w:t>(</w:t>
      </w:r>
      <w:r w:rsidRPr="00CD59CC">
        <w:rPr>
          <w:rFonts w:ascii="Arial" w:hAnsi="Arial" w:cs="Arial"/>
          <w:bCs/>
          <w:lang w:val="en-GB"/>
        </w:rPr>
        <w:t xml:space="preserve">or ages at which the termination of an employment contract is possible) by contract, collective bargaining or unilaterally? </w:t>
      </w:r>
    </w:p>
    <w:p w14:paraId="2633BA8B" w14:textId="77777777" w:rsidR="002B5BCD" w:rsidRPr="00CD59CC" w:rsidRDefault="002B5BCD" w:rsidP="00CD59CC">
      <w:pPr>
        <w:pStyle w:val="BodyText"/>
        <w:ind w:left="567" w:hanging="567"/>
        <w:rPr>
          <w:rFonts w:ascii="Arial" w:hAnsi="Arial" w:cs="Arial"/>
          <w:bCs/>
          <w:i w:val="0"/>
          <w:lang w:val="en-GB"/>
        </w:rPr>
      </w:pPr>
    </w:p>
    <w:p w14:paraId="29881E65" w14:textId="77777777" w:rsidR="00DF3034" w:rsidRPr="00CD59CC" w:rsidRDefault="00DF3034" w:rsidP="00CD59CC">
      <w:pPr>
        <w:rPr>
          <w:rFonts w:ascii="Arial" w:hAnsi="Arial" w:cs="Arial"/>
        </w:rPr>
      </w:pPr>
      <w:r w:rsidRPr="00CD59CC">
        <w:rPr>
          <w:rFonts w:ascii="Arial" w:hAnsi="Arial" w:cs="Arial"/>
        </w:rPr>
        <w:t xml:space="preserve">As it is outlined in detail below, under Point e), after a person reaches the pensionable age, his/her protection from dismissal will come to an end. This age however is set by law and not by the employer. </w:t>
      </w:r>
    </w:p>
    <w:p w14:paraId="6602CF7F" w14:textId="77777777" w:rsidR="00DF3034" w:rsidRPr="00CD59CC" w:rsidRDefault="00DF3034" w:rsidP="00CD59CC">
      <w:pPr>
        <w:pStyle w:val="BodyText"/>
        <w:ind w:left="567" w:hanging="567"/>
        <w:rPr>
          <w:rFonts w:ascii="Arial" w:hAnsi="Arial" w:cs="Arial"/>
          <w:bCs/>
          <w:i w:val="0"/>
          <w:lang w:val="en-GB"/>
        </w:rPr>
      </w:pPr>
    </w:p>
    <w:p w14:paraId="14DF2DEE" w14:textId="7EEFC0F2" w:rsidR="002B5BCD" w:rsidRPr="00CD59CC" w:rsidRDefault="002B5BCD" w:rsidP="00CD59CC">
      <w:pPr>
        <w:pStyle w:val="BodyText"/>
        <w:numPr>
          <w:ilvl w:val="0"/>
          <w:numId w:val="18"/>
        </w:numPr>
        <w:ind w:left="567" w:hanging="567"/>
        <w:rPr>
          <w:rFonts w:ascii="Arial" w:hAnsi="Arial" w:cs="Arial"/>
          <w:bCs/>
          <w:lang w:val="en-GB"/>
        </w:rPr>
      </w:pPr>
      <w:r w:rsidRPr="00CD59CC">
        <w:rPr>
          <w:rFonts w:ascii="Arial" w:hAnsi="Arial" w:cs="Arial"/>
          <w:bCs/>
          <w:lang w:val="en-GB"/>
        </w:rPr>
        <w:t>Does the law on protection against dismissal and other laws protecting employment rights apply to all workers irrespective of age, if they remain in employment, or are these rights lost on attaining pensionable age or another age (please specify)?</w:t>
      </w:r>
      <w:r w:rsidR="007B7640" w:rsidRPr="00CD59CC">
        <w:rPr>
          <w:rFonts w:ascii="Arial" w:hAnsi="Arial" w:cs="Arial"/>
          <w:bCs/>
          <w:lang w:val="en-GB"/>
        </w:rPr>
        <w:t xml:space="preserve"> </w:t>
      </w:r>
    </w:p>
    <w:p w14:paraId="1F523F45" w14:textId="77777777" w:rsidR="00DA0744" w:rsidRDefault="00DA0744" w:rsidP="00CD59CC">
      <w:pPr>
        <w:rPr>
          <w:rFonts w:ascii="Arial" w:hAnsi="Arial" w:cs="Arial"/>
        </w:rPr>
      </w:pPr>
    </w:p>
    <w:p w14:paraId="659654C0" w14:textId="77777777" w:rsidR="00DF3034" w:rsidRPr="00CD59CC" w:rsidRDefault="00DF3034" w:rsidP="00CD59CC">
      <w:pPr>
        <w:rPr>
          <w:rFonts w:ascii="Arial" w:hAnsi="Arial" w:cs="Arial"/>
        </w:rPr>
      </w:pPr>
      <w:r w:rsidRPr="00CD59CC">
        <w:rPr>
          <w:rFonts w:ascii="Arial" w:hAnsi="Arial" w:cs="Arial"/>
        </w:rPr>
        <w:t xml:space="preserve">Workers as a rule can continue working after they reach pensionable age. They however are not entitled to the same protection after reaching the pensionable age. </w:t>
      </w:r>
    </w:p>
    <w:p w14:paraId="533E4801" w14:textId="77777777" w:rsidR="00DF3034" w:rsidRPr="00CD59CC" w:rsidRDefault="00DF3034" w:rsidP="00CD59CC">
      <w:pPr>
        <w:rPr>
          <w:rFonts w:ascii="Arial" w:hAnsi="Arial" w:cs="Arial"/>
        </w:rPr>
      </w:pPr>
    </w:p>
    <w:p w14:paraId="175D2AAE" w14:textId="77777777" w:rsidR="00DF3034" w:rsidRPr="00CD59CC" w:rsidRDefault="00DF3034" w:rsidP="00CD59CC">
      <w:pPr>
        <w:rPr>
          <w:rFonts w:ascii="Arial" w:hAnsi="Arial" w:cs="Arial"/>
        </w:rPr>
      </w:pPr>
      <w:r w:rsidRPr="00CD59CC">
        <w:rPr>
          <w:rFonts w:ascii="Arial" w:hAnsi="Arial" w:cs="Arial"/>
        </w:rPr>
        <w:lastRenderedPageBreak/>
        <w:t xml:space="preserve">In terms of Article 66 Paragraph (9), the employer is not obliged to provide the reasons for the dismissal if the employee has passed the pensionable age, although in all other cases reasons shall be provided, and if a dispute arises, the employer shall be obliged to prove that the reasons are real and relevant. On the other hand, it needs to be mentioned that only an exceptionally reasonable justification may be acceptable if the dismissal takes place within five years before the employee reaches the pensionable age. </w:t>
      </w:r>
    </w:p>
    <w:p w14:paraId="6C3B004B" w14:textId="77777777" w:rsidR="00DF3034" w:rsidRPr="00CD59CC" w:rsidRDefault="00DF3034" w:rsidP="00CD59CC">
      <w:pPr>
        <w:rPr>
          <w:rFonts w:ascii="Arial" w:hAnsi="Arial" w:cs="Arial"/>
        </w:rPr>
      </w:pPr>
    </w:p>
    <w:p w14:paraId="2E872818" w14:textId="77777777" w:rsidR="00DF3034" w:rsidRPr="00CD59CC" w:rsidRDefault="00DF3034" w:rsidP="00CD59CC">
      <w:pPr>
        <w:pStyle w:val="ListParagraph"/>
        <w:ind w:left="0"/>
        <w:rPr>
          <w:rFonts w:ascii="Arial" w:hAnsi="Arial" w:cs="Arial"/>
          <w:bCs/>
        </w:rPr>
      </w:pPr>
      <w:r w:rsidRPr="00CD59CC">
        <w:rPr>
          <w:rFonts w:ascii="Arial" w:hAnsi="Arial" w:cs="Arial"/>
        </w:rPr>
        <w:t>Another restriction is that employers are exempted from severance payment if they dismiss an employee after he/she has reached the pensionable age. On the other hand, if the dismissal takes place within five years before the employee reaches the pensionable age, an additional three months' salary shall be paid in addition to the severance payment prescribed by law.</w:t>
      </w:r>
    </w:p>
    <w:p w14:paraId="1219FB76" w14:textId="77777777" w:rsidR="00DF3034" w:rsidRPr="00CD59CC" w:rsidRDefault="00DF3034" w:rsidP="00CD59CC">
      <w:pPr>
        <w:pStyle w:val="ListParagraph"/>
        <w:rPr>
          <w:rFonts w:ascii="Arial" w:hAnsi="Arial" w:cs="Arial"/>
          <w:bCs/>
        </w:rPr>
      </w:pPr>
    </w:p>
    <w:p w14:paraId="09D09013" w14:textId="36746B93" w:rsidR="002B5BCD" w:rsidRPr="00075524" w:rsidRDefault="002B5BCD" w:rsidP="00075524">
      <w:pPr>
        <w:pStyle w:val="BodyText"/>
        <w:numPr>
          <w:ilvl w:val="0"/>
          <w:numId w:val="18"/>
        </w:numPr>
        <w:ind w:left="567" w:hanging="567"/>
        <w:rPr>
          <w:rFonts w:ascii="Arial" w:hAnsi="Arial" w:cs="Arial"/>
          <w:bCs/>
          <w:lang w:val="en-GB"/>
        </w:rPr>
      </w:pPr>
      <w:r w:rsidRPr="00CD59CC">
        <w:rPr>
          <w:rFonts w:ascii="Arial" w:hAnsi="Arial" w:cs="Arial"/>
          <w:bCs/>
          <w:lang w:val="en-GB"/>
        </w:rPr>
        <w:t>Is your national legislation in line with the CJEU case law on age (in particular Cases C-229/08 Wolf, C-499/08 Andersen, C-144/04 Mangold and C-555/07 Kücüdevici C-87/06 Pascual García [2006], and cases C-411/05 Palacios de la Villa [2007], C-488/05 The Incorporated Trustees of the National Council on Ageing (Age Concern England) v. Secretary of State for Business, Enterprise and Regulatory Reform [2009], C-45/09, Rosenbladt [2010], C-250/09 Georgiev, C-159/10 Fuchs, C-447/09, Prigge [2011]</w:t>
      </w:r>
      <w:r w:rsidR="00A419F8" w:rsidRPr="00CD59CC">
        <w:rPr>
          <w:rFonts w:ascii="Arial" w:hAnsi="Arial" w:cs="Arial"/>
          <w:bCs/>
          <w:lang w:val="en-GB"/>
        </w:rPr>
        <w:t>)</w:t>
      </w:r>
      <w:r w:rsidRPr="00CD59CC">
        <w:rPr>
          <w:rFonts w:ascii="Arial" w:hAnsi="Arial" w:cs="Arial"/>
          <w:bCs/>
          <w:lang w:val="en-GB"/>
        </w:rPr>
        <w:t xml:space="preserve"> regarding compulsory retirement</w:t>
      </w:r>
      <w:r w:rsidR="00871F01" w:rsidRPr="00CD59CC">
        <w:rPr>
          <w:rFonts w:ascii="Arial" w:hAnsi="Arial" w:cs="Arial"/>
          <w:bCs/>
          <w:lang w:val="en-GB"/>
        </w:rPr>
        <w:t>?</w:t>
      </w:r>
    </w:p>
    <w:p w14:paraId="2133D0D7" w14:textId="77777777" w:rsidR="00DF3034" w:rsidRPr="00CD59CC" w:rsidRDefault="00DF3034" w:rsidP="00BB4E9F">
      <w:pPr>
        <w:pStyle w:val="ListParagraph"/>
        <w:ind w:left="567"/>
        <w:rPr>
          <w:rFonts w:ascii="Arial" w:hAnsi="Arial" w:cs="Arial"/>
          <w:i/>
        </w:rPr>
      </w:pPr>
    </w:p>
    <w:p w14:paraId="5BDF9AD3" w14:textId="77777777" w:rsidR="00DF3034" w:rsidRPr="00CD59CC" w:rsidRDefault="00DF3034" w:rsidP="00CD59CC">
      <w:pPr>
        <w:pStyle w:val="ListParagraph"/>
        <w:ind w:left="0"/>
        <w:rPr>
          <w:rFonts w:ascii="Arial" w:hAnsi="Arial" w:cs="Arial"/>
        </w:rPr>
      </w:pPr>
      <w:r w:rsidRPr="00CD59CC">
        <w:rPr>
          <w:rFonts w:ascii="Arial" w:hAnsi="Arial" w:cs="Arial"/>
        </w:rPr>
        <w:t xml:space="preserve">From what is set forth above, it can be concluded that Hungarian national legislation is for the most part in line with most principles arising in the CJEU case law. </w:t>
      </w:r>
    </w:p>
    <w:p w14:paraId="2C437EE0" w14:textId="77777777" w:rsidR="00DF3034" w:rsidRPr="00CD59CC" w:rsidRDefault="00DF3034" w:rsidP="00CD59CC">
      <w:pPr>
        <w:pStyle w:val="ListParagraph"/>
        <w:ind w:left="0"/>
        <w:rPr>
          <w:rFonts w:ascii="Arial" w:hAnsi="Arial" w:cs="Arial"/>
        </w:rPr>
      </w:pPr>
    </w:p>
    <w:p w14:paraId="34671245" w14:textId="77777777" w:rsidR="00DF3034" w:rsidRPr="00CD59CC" w:rsidRDefault="00DF3034" w:rsidP="00CD59CC">
      <w:pPr>
        <w:pStyle w:val="ListParagraph"/>
        <w:ind w:left="0"/>
        <w:rPr>
          <w:rFonts w:ascii="Arial" w:hAnsi="Arial" w:cs="Arial"/>
        </w:rPr>
      </w:pPr>
      <w:r w:rsidRPr="00CD59CC">
        <w:rPr>
          <w:rFonts w:ascii="Arial" w:hAnsi="Arial" w:cs="Arial"/>
        </w:rPr>
        <w:t xml:space="preserve">Where the domestic law clearly does not seem to be in line with the jurisprudence of the CJEU is the exclusion of employees beyond the pensionable age from severance payment (c.f. Andersen). </w:t>
      </w:r>
    </w:p>
    <w:p w14:paraId="7134B210" w14:textId="77777777" w:rsidR="00DF3034" w:rsidRPr="00BB4E9F" w:rsidRDefault="00DF3034" w:rsidP="00791157">
      <w:pPr>
        <w:pStyle w:val="ListParagraph"/>
        <w:ind w:left="0"/>
        <w:rPr>
          <w:rFonts w:ascii="Arial" w:hAnsi="Arial"/>
          <w:i/>
        </w:rPr>
      </w:pPr>
    </w:p>
    <w:p w14:paraId="26452A35" w14:textId="77777777" w:rsidR="002B5BCD" w:rsidRPr="00CD59CC" w:rsidRDefault="002B5BCD" w:rsidP="00CD59CC">
      <w:pPr>
        <w:pStyle w:val="Heading3"/>
        <w:rPr>
          <w:rFonts w:cs="Arial"/>
        </w:rPr>
      </w:pPr>
      <w:bookmarkStart w:id="252" w:name="_Toc220221173"/>
      <w:bookmarkStart w:id="253" w:name="_Toc392758743"/>
      <w:bookmarkStart w:id="254" w:name="_Toc329163635"/>
      <w:bookmarkStart w:id="255" w:name="_Toc366846353"/>
      <w:r w:rsidRPr="00CD59CC">
        <w:rPr>
          <w:rFonts w:cs="Arial"/>
        </w:rPr>
        <w:t>Redundancy</w:t>
      </w:r>
      <w:bookmarkEnd w:id="252"/>
      <w:bookmarkEnd w:id="253"/>
      <w:bookmarkEnd w:id="254"/>
      <w:bookmarkEnd w:id="255"/>
    </w:p>
    <w:p w14:paraId="4670F890" w14:textId="77777777" w:rsidR="002B5BCD" w:rsidRPr="00CD59CC" w:rsidRDefault="002B5BCD" w:rsidP="00CD59CC">
      <w:pPr>
        <w:rPr>
          <w:rFonts w:ascii="Arial" w:hAnsi="Arial" w:cs="Arial"/>
        </w:rPr>
      </w:pPr>
    </w:p>
    <w:p w14:paraId="76FC86D3" w14:textId="77777777" w:rsidR="002B5BCD" w:rsidRPr="00CD59CC" w:rsidRDefault="002B5BCD" w:rsidP="00CD59CC">
      <w:pPr>
        <w:pStyle w:val="BodyText"/>
        <w:numPr>
          <w:ilvl w:val="0"/>
          <w:numId w:val="19"/>
        </w:numPr>
        <w:ind w:left="567" w:hanging="567"/>
        <w:rPr>
          <w:rFonts w:ascii="Arial" w:hAnsi="Arial" w:cs="Arial"/>
          <w:lang w:val="en-GB"/>
        </w:rPr>
      </w:pPr>
      <w:r w:rsidRPr="00CD59CC">
        <w:rPr>
          <w:rFonts w:ascii="Arial" w:hAnsi="Arial" w:cs="Arial"/>
          <w:lang w:val="en-GB"/>
        </w:rPr>
        <w:t xml:space="preserve">Does national law permit age or seniority to be taken into account in selecting workers for redundancy? </w:t>
      </w:r>
    </w:p>
    <w:p w14:paraId="50CD36AD" w14:textId="77777777" w:rsidR="002B5BCD" w:rsidRPr="00CD59CC" w:rsidRDefault="002B5BCD" w:rsidP="00CD59CC">
      <w:pPr>
        <w:pStyle w:val="BodyText"/>
        <w:ind w:left="567" w:hanging="567"/>
        <w:rPr>
          <w:rFonts w:ascii="Arial" w:hAnsi="Arial" w:cs="Arial"/>
          <w:i w:val="0"/>
          <w:lang w:val="en-GB"/>
        </w:rPr>
      </w:pPr>
    </w:p>
    <w:p w14:paraId="6BB76595" w14:textId="77777777" w:rsidR="00DF3034" w:rsidRPr="00CD59CC" w:rsidRDefault="00DF3034" w:rsidP="00CD59CC">
      <w:pPr>
        <w:pStyle w:val="BodyText"/>
        <w:rPr>
          <w:rFonts w:ascii="Arial" w:hAnsi="Arial" w:cs="Arial"/>
          <w:i w:val="0"/>
          <w:lang w:val="en-GB"/>
        </w:rPr>
      </w:pPr>
      <w:r w:rsidRPr="00CD59CC">
        <w:rPr>
          <w:rFonts w:ascii="Arial" w:hAnsi="Arial" w:cs="Arial"/>
          <w:i w:val="0"/>
          <w:lang w:val="en-GB"/>
        </w:rPr>
        <w:t>Formally, national law does not permit age to be taken into account in selection for redundancy, however, as was pointed out above, if someone has passed the retirement age, his/her dismissal is possible without reasons provided.</w:t>
      </w:r>
    </w:p>
    <w:p w14:paraId="75C1040E" w14:textId="77777777" w:rsidR="00DF3034" w:rsidRPr="00CD59CC" w:rsidRDefault="00DF3034" w:rsidP="00CD59CC">
      <w:pPr>
        <w:pStyle w:val="BodyText"/>
        <w:ind w:left="567" w:hanging="567"/>
        <w:rPr>
          <w:rFonts w:ascii="Arial" w:hAnsi="Arial" w:cs="Arial"/>
          <w:i w:val="0"/>
          <w:lang w:val="en-GB"/>
        </w:rPr>
      </w:pPr>
    </w:p>
    <w:p w14:paraId="08C581E7" w14:textId="77777777" w:rsidR="002B5BCD" w:rsidRPr="00CD59CC" w:rsidRDefault="002B5BCD" w:rsidP="00CD59CC">
      <w:pPr>
        <w:numPr>
          <w:ilvl w:val="0"/>
          <w:numId w:val="19"/>
        </w:numPr>
        <w:ind w:left="567" w:hanging="567"/>
        <w:rPr>
          <w:rFonts w:ascii="Arial" w:hAnsi="Arial" w:cs="Arial"/>
          <w:i/>
        </w:rPr>
      </w:pPr>
      <w:r w:rsidRPr="00CD59CC">
        <w:rPr>
          <w:rFonts w:ascii="Arial" w:hAnsi="Arial" w:cs="Arial"/>
          <w:i/>
        </w:rPr>
        <w:t>If national law provides compensation for redundancy, is this affected by the age of the worker?</w:t>
      </w:r>
    </w:p>
    <w:p w14:paraId="1C15354A" w14:textId="77777777" w:rsidR="002B5BCD" w:rsidRPr="00CD59CC" w:rsidRDefault="002B5BCD" w:rsidP="00CD59CC">
      <w:pPr>
        <w:rPr>
          <w:rFonts w:ascii="Arial" w:hAnsi="Arial" w:cs="Arial"/>
          <w:i/>
        </w:rPr>
      </w:pPr>
    </w:p>
    <w:p w14:paraId="74AA1E76" w14:textId="77777777" w:rsidR="00DF3034" w:rsidRDefault="00DF3034" w:rsidP="00CD59CC">
      <w:pPr>
        <w:rPr>
          <w:rFonts w:ascii="Arial" w:hAnsi="Arial" w:cs="Arial"/>
        </w:rPr>
      </w:pPr>
      <w:r w:rsidRPr="00CD59CC">
        <w:rPr>
          <w:rFonts w:ascii="Arial" w:hAnsi="Arial" w:cs="Arial"/>
        </w:rPr>
        <w:t xml:space="preserve">If a person is dismissed after he/she has reached the pensionable age (and has the necessary service time), he/she is not entitled to compensation. </w:t>
      </w:r>
    </w:p>
    <w:p w14:paraId="3D5F991E" w14:textId="77777777" w:rsidR="002B50DC" w:rsidRPr="00CD59CC" w:rsidRDefault="002B50DC" w:rsidP="00CD59CC">
      <w:pPr>
        <w:rPr>
          <w:rFonts w:ascii="Arial" w:hAnsi="Arial" w:cs="Arial"/>
        </w:rPr>
      </w:pPr>
    </w:p>
    <w:p w14:paraId="1781DE4E" w14:textId="77777777" w:rsidR="00DF3034" w:rsidRPr="00CD59CC" w:rsidRDefault="00DF3034" w:rsidP="00CD59CC">
      <w:pPr>
        <w:rPr>
          <w:rFonts w:ascii="Arial" w:hAnsi="Arial" w:cs="Arial"/>
        </w:rPr>
      </w:pPr>
      <w:r w:rsidRPr="00CD59CC">
        <w:rPr>
          <w:rFonts w:ascii="Arial" w:hAnsi="Arial" w:cs="Arial"/>
        </w:rPr>
        <w:lastRenderedPageBreak/>
        <w:t xml:space="preserve">Otherwise, if a person is dismissed due to redundancy, he/she is entitled to compensation, and the amount of the compensation is dependent on the number of years he/she has worked for the company, so age may play a role in the amount. </w:t>
      </w:r>
    </w:p>
    <w:p w14:paraId="6C3A17F9" w14:textId="77777777" w:rsidR="00DF3034" w:rsidRPr="00CD59CC" w:rsidRDefault="00DF3034" w:rsidP="00CD59CC">
      <w:pPr>
        <w:rPr>
          <w:rFonts w:ascii="Arial" w:hAnsi="Arial" w:cs="Arial"/>
        </w:rPr>
      </w:pPr>
    </w:p>
    <w:p w14:paraId="0BB689CC" w14:textId="77777777" w:rsidR="00DF3034" w:rsidRPr="00CD59CC" w:rsidRDefault="00DF3034" w:rsidP="00CD59CC">
      <w:pPr>
        <w:rPr>
          <w:rFonts w:ascii="Arial" w:hAnsi="Arial" w:cs="Arial"/>
        </w:rPr>
      </w:pPr>
      <w:r w:rsidRPr="00CD59CC">
        <w:rPr>
          <w:rFonts w:ascii="Arial" w:hAnsi="Arial" w:cs="Arial"/>
        </w:rPr>
        <w:t>Furthermore, if an employee is dismissed within the five year period preceding his/her retirement age, he/she shall be entitled to an additional compensation amounting to up to three times his/her monthly salary (Article 77 of the Labour Code).</w:t>
      </w:r>
    </w:p>
    <w:p w14:paraId="74D0FE98" w14:textId="77777777" w:rsidR="00DF3034" w:rsidRPr="00CD59CC" w:rsidRDefault="00DF3034" w:rsidP="00CD59CC">
      <w:pPr>
        <w:rPr>
          <w:rFonts w:ascii="Arial" w:hAnsi="Arial" w:cs="Arial"/>
          <w:i/>
        </w:rPr>
      </w:pPr>
    </w:p>
    <w:p w14:paraId="10C402DC" w14:textId="77777777" w:rsidR="002B5BCD" w:rsidRPr="00CD59CC" w:rsidRDefault="002B5BCD" w:rsidP="00CD59CC">
      <w:pPr>
        <w:pStyle w:val="Heading2"/>
        <w:rPr>
          <w:rFonts w:cs="Arial"/>
        </w:rPr>
      </w:pPr>
      <w:bookmarkStart w:id="256" w:name="_Toc220221174"/>
      <w:r w:rsidRPr="00CD59CC">
        <w:rPr>
          <w:rFonts w:cs="Arial"/>
        </w:rPr>
        <w:tab/>
      </w:r>
      <w:bookmarkStart w:id="257" w:name="_Toc392758744"/>
      <w:bookmarkStart w:id="258" w:name="_Toc329163636"/>
      <w:bookmarkStart w:id="259" w:name="_Toc366846354"/>
      <w:r w:rsidRPr="00CD59CC">
        <w:rPr>
          <w:rFonts w:cs="Arial"/>
        </w:rPr>
        <w:t>Public security, public order, criminal offences, protection of health, protection of the rights and freedoms of others (Article 2(5), Directive 2000/78)</w:t>
      </w:r>
      <w:bookmarkEnd w:id="256"/>
      <w:bookmarkEnd w:id="257"/>
      <w:bookmarkEnd w:id="258"/>
      <w:bookmarkEnd w:id="259"/>
    </w:p>
    <w:p w14:paraId="4AAE6C4A" w14:textId="77777777" w:rsidR="002B5BCD" w:rsidRPr="00CD59CC" w:rsidRDefault="002B5BCD" w:rsidP="00CD59CC">
      <w:pPr>
        <w:rPr>
          <w:rFonts w:ascii="Arial" w:hAnsi="Arial" w:cs="Arial"/>
        </w:rPr>
      </w:pPr>
    </w:p>
    <w:p w14:paraId="207D3FD5" w14:textId="77777777" w:rsidR="002B5BCD" w:rsidRPr="00CD59CC" w:rsidRDefault="002B5BCD" w:rsidP="00CD59CC">
      <w:pPr>
        <w:rPr>
          <w:rFonts w:ascii="Arial" w:hAnsi="Arial" w:cs="Arial"/>
          <w:i/>
        </w:rPr>
      </w:pPr>
      <w:r w:rsidRPr="00CD59CC">
        <w:rPr>
          <w:rFonts w:ascii="Arial" w:hAnsi="Arial" w:cs="Arial"/>
          <w:i/>
        </w:rPr>
        <w:t>Does national law include any exceptions that seek to rely on Article 2(5) of the Employment Equality Directive?</w:t>
      </w:r>
    </w:p>
    <w:p w14:paraId="000685E8" w14:textId="77777777" w:rsidR="002B5BCD" w:rsidRPr="00CD59CC" w:rsidRDefault="002B5BCD" w:rsidP="00BB4E9F">
      <w:pPr>
        <w:rPr>
          <w:rFonts w:ascii="Arial" w:hAnsi="Arial" w:cs="Arial"/>
        </w:rPr>
      </w:pPr>
    </w:p>
    <w:p w14:paraId="154BB940" w14:textId="77777777" w:rsidR="00477D8C" w:rsidRPr="00CD59CC" w:rsidRDefault="00477D8C" w:rsidP="00CD59CC">
      <w:pPr>
        <w:rPr>
          <w:rFonts w:ascii="Arial" w:hAnsi="Arial" w:cs="Arial"/>
          <w:iCs/>
        </w:rPr>
      </w:pPr>
      <w:r w:rsidRPr="00CD59CC">
        <w:rPr>
          <w:rFonts w:ascii="Arial" w:hAnsi="Arial" w:cs="Arial"/>
          <w:iCs/>
        </w:rPr>
        <w:t xml:space="preserve">National law does not include any exceptions that expressly seek to rely on Article 2 (5) of the Framework Employment Directive, however, these grounds could be referred to when claiming that a certain action falls under Article 7 Paragraph (2) of the ETA, i.e. </w:t>
      </w:r>
      <w:r w:rsidRPr="00CD59CC">
        <w:rPr>
          <w:rFonts w:ascii="Arial" w:hAnsi="Arial" w:cs="Arial"/>
        </w:rPr>
        <w:t>it serves the enforcement of a fundamental right and is necessary, suitable and proportionate, or it is found by objective consideration to have a reasonable ground</w:t>
      </w:r>
      <w:r w:rsidRPr="00CD59CC">
        <w:rPr>
          <w:rFonts w:ascii="Arial" w:hAnsi="Arial" w:cs="Arial"/>
          <w:iCs/>
        </w:rPr>
        <w:t xml:space="preserve">. </w:t>
      </w:r>
    </w:p>
    <w:p w14:paraId="150E86EC" w14:textId="77777777" w:rsidR="00477D8C" w:rsidRPr="00CD59CC" w:rsidRDefault="00477D8C" w:rsidP="00CD59CC">
      <w:pPr>
        <w:rPr>
          <w:rFonts w:ascii="Arial" w:hAnsi="Arial" w:cs="Arial"/>
        </w:rPr>
      </w:pPr>
    </w:p>
    <w:p w14:paraId="695AD57B" w14:textId="77777777" w:rsidR="002B5BCD" w:rsidRPr="00CD59CC" w:rsidRDefault="002B5BCD" w:rsidP="00CD59CC">
      <w:pPr>
        <w:pStyle w:val="Heading2"/>
        <w:rPr>
          <w:rFonts w:cs="Arial"/>
        </w:rPr>
      </w:pPr>
      <w:bookmarkStart w:id="260" w:name="_Toc220221175"/>
      <w:r w:rsidRPr="00CD59CC">
        <w:rPr>
          <w:rFonts w:cs="Arial"/>
        </w:rPr>
        <w:tab/>
      </w:r>
      <w:bookmarkStart w:id="261" w:name="_Toc392758745"/>
      <w:bookmarkStart w:id="262" w:name="_Toc329163637"/>
      <w:bookmarkStart w:id="263" w:name="_Toc366846355"/>
      <w:r w:rsidRPr="00CD59CC">
        <w:rPr>
          <w:rFonts w:cs="Arial"/>
        </w:rPr>
        <w:t>Any other exceptions</w:t>
      </w:r>
      <w:bookmarkEnd w:id="260"/>
      <w:bookmarkEnd w:id="261"/>
      <w:bookmarkEnd w:id="262"/>
      <w:bookmarkEnd w:id="263"/>
    </w:p>
    <w:p w14:paraId="5CBCBDD8" w14:textId="77777777" w:rsidR="002B5BCD" w:rsidRPr="00CD59CC" w:rsidRDefault="002B5BCD" w:rsidP="00CD59CC">
      <w:pPr>
        <w:rPr>
          <w:rFonts w:ascii="Arial" w:hAnsi="Arial" w:cs="Arial"/>
        </w:rPr>
      </w:pPr>
    </w:p>
    <w:p w14:paraId="4FCC0041" w14:textId="77777777" w:rsidR="002B5BCD" w:rsidRPr="00CD59CC" w:rsidRDefault="002B5BCD" w:rsidP="00CD59CC">
      <w:pPr>
        <w:rPr>
          <w:rFonts w:ascii="Arial" w:hAnsi="Arial" w:cs="Arial"/>
          <w:i/>
        </w:rPr>
      </w:pPr>
      <w:r w:rsidRPr="00CD59CC">
        <w:rPr>
          <w:rFonts w:ascii="Arial" w:hAnsi="Arial" w:cs="Arial"/>
          <w:i/>
        </w:rPr>
        <w:t xml:space="preserve">Please mention any other exceptions to the prohibition of discrimination (on any ground) provided in national law. </w:t>
      </w:r>
    </w:p>
    <w:p w14:paraId="60328FF5" w14:textId="77777777" w:rsidR="00477D8C" w:rsidRPr="00CD59CC" w:rsidRDefault="00477D8C" w:rsidP="00CD59CC">
      <w:pPr>
        <w:rPr>
          <w:rFonts w:ascii="Arial" w:hAnsi="Arial" w:cs="Arial"/>
          <w:i/>
        </w:rPr>
      </w:pPr>
    </w:p>
    <w:p w14:paraId="0EC99BC0" w14:textId="77777777" w:rsidR="00477D8C" w:rsidRPr="00CD59CC" w:rsidRDefault="00477D8C" w:rsidP="00CD59CC">
      <w:pPr>
        <w:rPr>
          <w:rFonts w:ascii="Arial" w:hAnsi="Arial" w:cs="Arial"/>
        </w:rPr>
      </w:pPr>
      <w:r w:rsidRPr="00CD59CC">
        <w:rPr>
          <w:rFonts w:ascii="Arial" w:hAnsi="Arial" w:cs="Arial"/>
        </w:rPr>
        <w:t xml:space="preserve">As was outlined above, special exempting rules apply to education and access to goods and services (for the text see Section 2.2). These may be problematic with regard to racial or ethnic origin, as the Racial Equality Directive does not allow for specific exemptions of direct discrimination in connection with these fields. This may be a breach of the transposition obligation, which however could be remedied through applying the principles of the direct and indirect effect and the primacy of community law. </w:t>
      </w:r>
    </w:p>
    <w:p w14:paraId="6768BDE2" w14:textId="77777777" w:rsidR="00477D8C" w:rsidRPr="00CD59CC" w:rsidRDefault="00477D8C" w:rsidP="00CD59CC">
      <w:pPr>
        <w:rPr>
          <w:rFonts w:ascii="Arial" w:hAnsi="Arial" w:cs="Arial"/>
          <w:i/>
        </w:rPr>
      </w:pPr>
    </w:p>
    <w:p w14:paraId="38497C97" w14:textId="77777777" w:rsidR="002B5BCD" w:rsidRPr="00BB4E9F" w:rsidRDefault="002B50DC" w:rsidP="00CD59CC">
      <w:pPr>
        <w:pStyle w:val="Heading1"/>
        <w:rPr>
          <w:lang w:val="fr-FR"/>
        </w:rPr>
      </w:pPr>
      <w:bookmarkStart w:id="264" w:name="_Toc220221176"/>
      <w:bookmarkStart w:id="265" w:name="_Toc329163638"/>
      <w:r w:rsidRPr="00BB4E9F">
        <w:rPr>
          <w:lang w:val="fr-FR"/>
        </w:rPr>
        <w:br w:type="page"/>
      </w:r>
      <w:bookmarkStart w:id="266" w:name="_Toc392758746"/>
      <w:bookmarkStart w:id="267" w:name="_Toc366846356"/>
      <w:r w:rsidR="002B5BCD" w:rsidRPr="00BB4E9F">
        <w:rPr>
          <w:lang w:val="fr-FR"/>
        </w:rPr>
        <w:lastRenderedPageBreak/>
        <w:t>POSITIVE ACTION (Article 5 Directive 2000/43, Article 7 Directive 2000/78)</w:t>
      </w:r>
      <w:bookmarkEnd w:id="264"/>
      <w:bookmarkEnd w:id="265"/>
      <w:bookmarkEnd w:id="266"/>
      <w:bookmarkEnd w:id="267"/>
    </w:p>
    <w:p w14:paraId="763D7F80" w14:textId="77777777" w:rsidR="002B5BCD" w:rsidRPr="00BB4E9F" w:rsidRDefault="002B5BCD" w:rsidP="00CD59CC">
      <w:pPr>
        <w:rPr>
          <w:rFonts w:ascii="Arial" w:hAnsi="Arial"/>
          <w:lang w:val="fr-FR"/>
        </w:rPr>
      </w:pPr>
    </w:p>
    <w:p w14:paraId="305138C1" w14:textId="77777777" w:rsidR="002B5BCD" w:rsidRPr="00CD59CC" w:rsidRDefault="002B5BCD" w:rsidP="00CD59CC">
      <w:pPr>
        <w:numPr>
          <w:ilvl w:val="0"/>
          <w:numId w:val="20"/>
        </w:numPr>
        <w:ind w:left="567" w:hanging="567"/>
        <w:rPr>
          <w:rFonts w:ascii="Arial" w:hAnsi="Arial" w:cs="Arial"/>
          <w:i/>
        </w:rPr>
      </w:pPr>
      <w:r w:rsidRPr="00CD59CC">
        <w:rPr>
          <w:rFonts w:ascii="Arial" w:hAnsi="Arial" w:cs="Arial"/>
          <w:bCs/>
          <w:i/>
          <w:iCs/>
        </w:rPr>
        <w:t>What scope does national law provide for taking positive action in respect of racial or ethnic origin, religion or belief, disability, age or sexual orientation? Please refer to any important case law or relevant legal/political discussions on this topic.</w:t>
      </w:r>
    </w:p>
    <w:p w14:paraId="36FB0347" w14:textId="77777777" w:rsidR="002B5BCD" w:rsidRPr="00CD59CC" w:rsidRDefault="002B5BCD" w:rsidP="00CD59CC">
      <w:pPr>
        <w:ind w:left="567" w:hanging="567"/>
        <w:rPr>
          <w:rFonts w:ascii="Arial" w:hAnsi="Arial" w:cs="Arial"/>
          <w:bCs/>
          <w:iCs/>
        </w:rPr>
      </w:pPr>
    </w:p>
    <w:p w14:paraId="56B9995A" w14:textId="77777777" w:rsidR="001C241D" w:rsidRPr="00CD59CC" w:rsidRDefault="001C241D" w:rsidP="00CD59CC">
      <w:pPr>
        <w:pStyle w:val="Fszveg"/>
        <w:spacing w:line="240" w:lineRule="auto"/>
        <w:jc w:val="left"/>
        <w:rPr>
          <w:rFonts w:ascii="Arial" w:hAnsi="Arial" w:cs="Arial"/>
          <w:sz w:val="24"/>
          <w:szCs w:val="24"/>
          <w:lang w:val="en-GB"/>
        </w:rPr>
      </w:pPr>
      <w:r w:rsidRPr="00CD59CC">
        <w:rPr>
          <w:rFonts w:ascii="Arial" w:hAnsi="Arial" w:cs="Arial"/>
          <w:sz w:val="24"/>
          <w:szCs w:val="24"/>
          <w:lang w:val="en-GB"/>
        </w:rPr>
        <w:t xml:space="preserve">National law does not differentiate between protected grounds, nor is it limited to employment, when providing for preferential treatment. Pursuant to Article 11 Paragraph (1) of the ETA “a measure aimed at the elimination of an expressly identified social group’s objectively substantiated inequality of opportunities is not considered a breach of the principle of equal treatment if a) it is based on an Act of Parliament, on a government decree based on an Act or on a collective contract, effective for a definite term or until a specific condition is met, and/or b) the election of a party’s executive and representative organ and the setting up of a candidate at the elections defined at the Act on the Electoral Procedures is executed in line with the party’s fundamental rules”. </w:t>
      </w:r>
    </w:p>
    <w:p w14:paraId="293CF461" w14:textId="77777777" w:rsidR="001C241D" w:rsidRPr="00CD59CC" w:rsidRDefault="001C241D" w:rsidP="00CD59CC">
      <w:pPr>
        <w:pStyle w:val="Fszveg"/>
        <w:spacing w:line="240" w:lineRule="auto"/>
        <w:jc w:val="left"/>
        <w:rPr>
          <w:rFonts w:ascii="Arial" w:hAnsi="Arial" w:cs="Arial"/>
          <w:sz w:val="24"/>
          <w:szCs w:val="24"/>
          <w:lang w:val="en-GB"/>
        </w:rPr>
      </w:pPr>
    </w:p>
    <w:p w14:paraId="2277E92F" w14:textId="77777777" w:rsidR="001C241D" w:rsidRPr="00CD59CC" w:rsidRDefault="001C241D" w:rsidP="00CD59CC">
      <w:pPr>
        <w:pStyle w:val="Fszveg"/>
        <w:spacing w:line="240" w:lineRule="auto"/>
        <w:jc w:val="left"/>
        <w:rPr>
          <w:rFonts w:ascii="Arial" w:hAnsi="Arial" w:cs="Arial"/>
          <w:sz w:val="24"/>
          <w:szCs w:val="24"/>
          <w:lang w:val="en-GB"/>
        </w:rPr>
      </w:pPr>
      <w:r w:rsidRPr="00CD59CC">
        <w:rPr>
          <w:rFonts w:ascii="Arial" w:hAnsi="Arial" w:cs="Arial"/>
          <w:sz w:val="24"/>
          <w:szCs w:val="24"/>
          <w:lang w:val="en-GB"/>
        </w:rPr>
        <w:t xml:space="preserve">Paragraph (2) brings positive action in line with relevant CJEU case law, when it provides that “a measure aimed at evening out a disadvantage shall not violate any basic rights, shall not provide unconditional advantage, and shall not exclude the consideration of individual circumstances”. </w:t>
      </w:r>
    </w:p>
    <w:p w14:paraId="6D396F89" w14:textId="77777777" w:rsidR="001C241D" w:rsidRPr="00CD59CC" w:rsidRDefault="001C241D" w:rsidP="00CD59CC">
      <w:pPr>
        <w:rPr>
          <w:rFonts w:ascii="Arial" w:hAnsi="Arial" w:cs="Arial"/>
        </w:rPr>
      </w:pPr>
    </w:p>
    <w:p w14:paraId="4F78D534" w14:textId="77777777" w:rsidR="001C241D" w:rsidRPr="00CD59CC" w:rsidRDefault="001C241D" w:rsidP="00CD59CC">
      <w:pPr>
        <w:rPr>
          <w:rFonts w:ascii="Arial" w:hAnsi="Arial" w:cs="Arial"/>
        </w:rPr>
      </w:pPr>
      <w:r w:rsidRPr="00CD59CC">
        <w:rPr>
          <w:rFonts w:ascii="Arial" w:hAnsi="Arial" w:cs="Arial"/>
        </w:rPr>
        <w:t xml:space="preserve">Certain provisions of domestic law </w:t>
      </w:r>
      <w:r w:rsidRPr="00CD59CC">
        <w:rPr>
          <w:rFonts w:ascii="Arial" w:hAnsi="Arial" w:cs="Arial"/>
          <w:i/>
        </w:rPr>
        <w:t>expressis verbis</w:t>
      </w:r>
      <w:r w:rsidRPr="00CD59CC">
        <w:rPr>
          <w:rFonts w:ascii="Arial" w:hAnsi="Arial" w:cs="Arial"/>
        </w:rPr>
        <w:t xml:space="preserve"> allow for positive action. </w:t>
      </w:r>
    </w:p>
    <w:p w14:paraId="6997FE3C" w14:textId="77777777" w:rsidR="001C241D" w:rsidRPr="00CD59CC" w:rsidRDefault="001C241D" w:rsidP="00CD59CC">
      <w:pPr>
        <w:rPr>
          <w:rFonts w:ascii="Arial" w:hAnsi="Arial" w:cs="Arial"/>
        </w:rPr>
      </w:pPr>
    </w:p>
    <w:p w14:paraId="0701358B" w14:textId="77777777" w:rsidR="001C241D" w:rsidRPr="00CD59CC" w:rsidRDefault="001C241D" w:rsidP="007B4138">
      <w:pPr>
        <w:numPr>
          <w:ilvl w:val="1"/>
          <w:numId w:val="62"/>
        </w:numPr>
        <w:suppressAutoHyphens/>
        <w:rPr>
          <w:rFonts w:ascii="Arial" w:hAnsi="Arial" w:cs="Arial"/>
        </w:rPr>
      </w:pPr>
      <w:r w:rsidRPr="00CD59CC">
        <w:rPr>
          <w:rFonts w:ascii="Arial" w:hAnsi="Arial" w:cs="Arial"/>
        </w:rPr>
        <w:t>RDP Act, Article 3: Given their situation, persons with disabilities have less access to their rights than others, therefore, it is reasonable to accord preferences to them in all possible ways;</w:t>
      </w:r>
    </w:p>
    <w:p w14:paraId="546FBEA1" w14:textId="77777777" w:rsidR="001C241D" w:rsidRPr="00CD59CC" w:rsidRDefault="001C241D" w:rsidP="007B4138">
      <w:pPr>
        <w:numPr>
          <w:ilvl w:val="1"/>
          <w:numId w:val="62"/>
        </w:numPr>
        <w:suppressAutoHyphens/>
        <w:rPr>
          <w:rFonts w:ascii="Arial" w:hAnsi="Arial" w:cs="Arial"/>
        </w:rPr>
      </w:pPr>
      <w:r w:rsidRPr="00CD59CC">
        <w:rPr>
          <w:rFonts w:ascii="Arial" w:hAnsi="Arial" w:cs="Arial"/>
        </w:rPr>
        <w:t>ETA, Article 23: An act, a government decree based on an act or collective contract may order an obligation for preferential treatment for a specified group of employees in respect of the labour relationship or other relationship aimed at employment;</w:t>
      </w:r>
    </w:p>
    <w:p w14:paraId="5DF11BF9" w14:textId="77777777" w:rsidR="001C241D" w:rsidRPr="00CD59CC" w:rsidRDefault="001C241D" w:rsidP="007B4138">
      <w:pPr>
        <w:numPr>
          <w:ilvl w:val="1"/>
          <w:numId w:val="62"/>
        </w:numPr>
        <w:suppressAutoHyphens/>
        <w:rPr>
          <w:rFonts w:ascii="Arial" w:hAnsi="Arial" w:cs="Arial"/>
        </w:rPr>
      </w:pPr>
      <w:r w:rsidRPr="00CD59CC">
        <w:rPr>
          <w:rFonts w:ascii="Arial" w:hAnsi="Arial" w:cs="Arial"/>
        </w:rPr>
        <w:t xml:space="preserve">ETA Article 25 Paragraph (2): Pursuant to or authorised by the law and based on health, disability or a characteristic defined in Article </w:t>
      </w:r>
      <w:smartTag w:uri="urn:schemas-microsoft-com:office:smarttags" w:element="metricconverter">
        <w:smartTagPr>
          <w:attr w:name="ProductID" w:val="8, a"/>
        </w:smartTagPr>
        <w:r w:rsidRPr="00CD59CC">
          <w:rPr>
            <w:rFonts w:ascii="Arial" w:hAnsi="Arial" w:cs="Arial"/>
          </w:rPr>
          <w:t>8, a</w:t>
        </w:r>
      </w:smartTag>
      <w:r w:rsidRPr="00CD59CC">
        <w:rPr>
          <w:rFonts w:ascii="Arial" w:hAnsi="Arial" w:cs="Arial"/>
        </w:rPr>
        <w:t xml:space="preserve"> government decree may grant additional benefits to specified social groups within the framework of the social and health care system, in accordance with the provisions herein;</w:t>
      </w:r>
    </w:p>
    <w:p w14:paraId="05CB1878" w14:textId="77777777" w:rsidR="001C241D" w:rsidRPr="00CD59CC" w:rsidRDefault="001C241D" w:rsidP="007B4138">
      <w:pPr>
        <w:numPr>
          <w:ilvl w:val="1"/>
          <w:numId w:val="62"/>
        </w:numPr>
        <w:suppressAutoHyphens/>
        <w:rPr>
          <w:rFonts w:ascii="Arial" w:hAnsi="Arial" w:cs="Arial"/>
        </w:rPr>
      </w:pPr>
      <w:r w:rsidRPr="00CD59CC">
        <w:rPr>
          <w:rFonts w:ascii="Arial" w:hAnsi="Arial" w:cs="Arial"/>
        </w:rPr>
        <w:t xml:space="preserve">ETA, Article 29: A government decree created pursuant to the law or the authorisation thereof may order an obligation to provide preferential treatment to a specified group of participants in education within or outside the school system in respect of education or training. </w:t>
      </w:r>
    </w:p>
    <w:p w14:paraId="5B76747B" w14:textId="77777777" w:rsidR="009C44EB" w:rsidRPr="00CD59CC" w:rsidRDefault="009C44EB" w:rsidP="00CD59CC">
      <w:pPr>
        <w:rPr>
          <w:rFonts w:ascii="Arial" w:hAnsi="Arial" w:cs="Arial"/>
          <w:bCs/>
          <w:iCs/>
        </w:rPr>
      </w:pPr>
    </w:p>
    <w:p w14:paraId="6A5F780F" w14:textId="77777777" w:rsidR="009C44EB" w:rsidRPr="00CD59CC" w:rsidRDefault="009C44EB" w:rsidP="00BB4E9F">
      <w:pPr>
        <w:rPr>
          <w:rFonts w:ascii="Arial" w:hAnsi="Arial" w:cs="Arial"/>
          <w:bCs/>
          <w:iCs/>
        </w:rPr>
      </w:pPr>
      <w:r w:rsidRPr="00CD59CC">
        <w:rPr>
          <w:rFonts w:ascii="Arial" w:hAnsi="Arial" w:cs="Arial"/>
          <w:bCs/>
          <w:iCs/>
        </w:rPr>
        <w:t>No case law has evolved in this regard.</w:t>
      </w:r>
    </w:p>
    <w:p w14:paraId="6B8DCE6F" w14:textId="77777777" w:rsidR="001C241D" w:rsidRPr="00CD59CC" w:rsidRDefault="001C241D" w:rsidP="00CD59CC">
      <w:pPr>
        <w:ind w:left="567" w:hanging="567"/>
        <w:rPr>
          <w:rFonts w:ascii="Arial" w:hAnsi="Arial" w:cs="Arial"/>
          <w:bCs/>
          <w:iCs/>
        </w:rPr>
      </w:pPr>
    </w:p>
    <w:p w14:paraId="3A35633F" w14:textId="77777777" w:rsidR="002B5BCD" w:rsidRPr="00CD59CC" w:rsidRDefault="002B5BCD" w:rsidP="00CD59CC">
      <w:pPr>
        <w:numPr>
          <w:ilvl w:val="0"/>
          <w:numId w:val="20"/>
        </w:numPr>
        <w:ind w:left="567" w:hanging="567"/>
        <w:rPr>
          <w:rFonts w:ascii="Arial" w:hAnsi="Arial" w:cs="Arial"/>
          <w:i/>
        </w:rPr>
      </w:pPr>
      <w:r w:rsidRPr="00CD59CC">
        <w:rPr>
          <w:rFonts w:ascii="Arial" w:hAnsi="Arial" w:cs="Arial"/>
          <w:i/>
        </w:rPr>
        <w:t xml:space="preserve">Do measures for positive action exist in your country? Which are the most important? Please provide a list and short description of the measures adopted, classifying them into broad social policy measures, quotas, or preferential </w:t>
      </w:r>
      <w:r w:rsidRPr="00CD59CC">
        <w:rPr>
          <w:rFonts w:ascii="Arial" w:hAnsi="Arial" w:cs="Arial"/>
          <w:i/>
        </w:rPr>
        <w:lastRenderedPageBreak/>
        <w:t xml:space="preserve">treatment narrowly tailored. Refer to measures taken in respect of all five grounds, and in particular refer to the measures related to disability and any quotas for access of people with disabilities to the labour market, any related to Roma and regarding minority rights-based measures. </w:t>
      </w:r>
    </w:p>
    <w:p w14:paraId="2D2D4985" w14:textId="77777777" w:rsidR="002B5BCD" w:rsidRPr="00CD59CC" w:rsidRDefault="002B5BCD" w:rsidP="00CD59CC">
      <w:pPr>
        <w:rPr>
          <w:rFonts w:ascii="Arial" w:hAnsi="Arial" w:cs="Arial"/>
          <w:i/>
        </w:rPr>
      </w:pPr>
    </w:p>
    <w:p w14:paraId="3D6A40CB" w14:textId="5DD4F2A1" w:rsidR="009C44EB" w:rsidRPr="00CD59CC" w:rsidRDefault="009C44EB" w:rsidP="00CD59CC">
      <w:pPr>
        <w:rPr>
          <w:rFonts w:ascii="Arial" w:hAnsi="Arial" w:cs="Arial"/>
        </w:rPr>
      </w:pPr>
      <w:r w:rsidRPr="00CD59CC">
        <w:rPr>
          <w:rFonts w:ascii="Arial" w:hAnsi="Arial" w:cs="Arial"/>
        </w:rPr>
        <w:t xml:space="preserve">Positive action measures in the wider sense do exist in Hungary, especially with regard to the Roma. In this regard we have to emphasise that there has been a shift from the ethnic approach to targeting such measures at socially disadvantaged groups (in which the Roma are overrepresented). This was motivated by a number of factors, including indications of inefficiency of </w:t>
      </w:r>
      <w:r w:rsidR="007B7640" w:rsidRPr="00CD59CC">
        <w:rPr>
          <w:rFonts w:ascii="Arial" w:hAnsi="Arial" w:cs="Arial"/>
        </w:rPr>
        <w:t xml:space="preserve">programmes </w:t>
      </w:r>
      <w:r w:rsidRPr="00CD59CC">
        <w:rPr>
          <w:rFonts w:ascii="Arial" w:hAnsi="Arial" w:cs="Arial"/>
        </w:rPr>
        <w:t xml:space="preserve">expressly targeting Roma people. </w:t>
      </w:r>
    </w:p>
    <w:p w14:paraId="30447E8B" w14:textId="77777777" w:rsidR="009C44EB" w:rsidRPr="00CD59CC" w:rsidRDefault="009C44EB" w:rsidP="00CD59CC">
      <w:pPr>
        <w:rPr>
          <w:rFonts w:ascii="Arial" w:hAnsi="Arial" w:cs="Arial"/>
        </w:rPr>
      </w:pPr>
    </w:p>
    <w:p w14:paraId="4EB76952" w14:textId="4D6D036C" w:rsidR="009C44EB" w:rsidRPr="00CD59CC" w:rsidRDefault="009C44EB" w:rsidP="00CD59CC">
      <w:pPr>
        <w:rPr>
          <w:rFonts w:ascii="Arial" w:hAnsi="Arial" w:cs="Arial"/>
        </w:rPr>
      </w:pPr>
      <w:r w:rsidRPr="00CD59CC">
        <w:rPr>
          <w:rFonts w:ascii="Arial" w:hAnsi="Arial" w:cs="Arial"/>
        </w:rPr>
        <w:t xml:space="preserve">The Institute for Development and Methodology of the National Audit Office for instance voiced criticism of the inefficiency of substantial Government spending on Roma </w:t>
      </w:r>
      <w:r w:rsidR="007B7640" w:rsidRPr="00CD59CC">
        <w:rPr>
          <w:rFonts w:ascii="Arial" w:hAnsi="Arial" w:cs="Arial"/>
        </w:rPr>
        <w:t xml:space="preserve">programmes </w:t>
      </w:r>
      <w:r w:rsidRPr="00CD59CC">
        <w:rPr>
          <w:rFonts w:ascii="Arial" w:hAnsi="Arial" w:cs="Arial"/>
        </w:rPr>
        <w:t xml:space="preserve">between 1990 and </w:t>
      </w:r>
      <w:smartTag w:uri="urn:schemas-microsoft-com:office:smarttags" w:element="metricconverter">
        <w:smartTagPr>
          <w:attr w:name="ProductID" w:val="2008. In"/>
        </w:smartTagPr>
        <w:r w:rsidRPr="00CD59CC">
          <w:rPr>
            <w:rFonts w:ascii="Arial" w:hAnsi="Arial" w:cs="Arial"/>
          </w:rPr>
          <w:t>2008. In</w:t>
        </w:r>
      </w:smartTag>
      <w:r w:rsidRPr="00CD59CC">
        <w:rPr>
          <w:rFonts w:ascii="Arial" w:hAnsi="Arial" w:cs="Arial"/>
        </w:rPr>
        <w:t xml:space="preserve"> its report, the Institute pointed out the following main deficiencies: </w:t>
      </w:r>
    </w:p>
    <w:p w14:paraId="6D504BEC" w14:textId="77777777" w:rsidR="009C44EB" w:rsidRPr="00CD59CC" w:rsidRDefault="009C44EB" w:rsidP="00CD59CC">
      <w:pPr>
        <w:rPr>
          <w:rFonts w:ascii="Arial" w:hAnsi="Arial" w:cs="Arial"/>
        </w:rPr>
      </w:pPr>
    </w:p>
    <w:p w14:paraId="3C7D9478" w14:textId="77777777" w:rsidR="009C44EB" w:rsidRPr="00CD59CC" w:rsidRDefault="009C44EB" w:rsidP="007B4138">
      <w:pPr>
        <w:numPr>
          <w:ilvl w:val="1"/>
          <w:numId w:val="63"/>
        </w:numPr>
        <w:tabs>
          <w:tab w:val="left" w:pos="567"/>
        </w:tabs>
        <w:suppressAutoHyphens/>
        <w:rPr>
          <w:rFonts w:ascii="Arial" w:hAnsi="Arial" w:cs="Arial"/>
        </w:rPr>
      </w:pPr>
      <w:r w:rsidRPr="00CD59CC">
        <w:rPr>
          <w:rFonts w:ascii="Arial" w:hAnsi="Arial" w:cs="Arial"/>
        </w:rPr>
        <w:t xml:space="preserve">Lack of the exact definition of goals; </w:t>
      </w:r>
    </w:p>
    <w:p w14:paraId="38B5A3A0" w14:textId="77777777" w:rsidR="009C44EB" w:rsidRPr="00CD59CC" w:rsidRDefault="009C44EB" w:rsidP="007B4138">
      <w:pPr>
        <w:numPr>
          <w:ilvl w:val="1"/>
          <w:numId w:val="63"/>
        </w:numPr>
        <w:tabs>
          <w:tab w:val="left" w:pos="567"/>
        </w:tabs>
        <w:suppressAutoHyphens/>
        <w:rPr>
          <w:rFonts w:ascii="Arial" w:hAnsi="Arial" w:cs="Arial"/>
        </w:rPr>
      </w:pPr>
      <w:r w:rsidRPr="00CD59CC">
        <w:rPr>
          <w:rFonts w:ascii="Arial" w:hAnsi="Arial" w:cs="Arial"/>
        </w:rPr>
        <w:t xml:space="preserve">Different definition of the target group by the different Ministries; </w:t>
      </w:r>
    </w:p>
    <w:p w14:paraId="2B52F769" w14:textId="77777777" w:rsidR="009C44EB" w:rsidRPr="00CD59CC" w:rsidRDefault="009C44EB" w:rsidP="007B4138">
      <w:pPr>
        <w:numPr>
          <w:ilvl w:val="1"/>
          <w:numId w:val="63"/>
        </w:numPr>
        <w:tabs>
          <w:tab w:val="left" w:pos="567"/>
        </w:tabs>
        <w:suppressAutoHyphens/>
        <w:rPr>
          <w:rFonts w:ascii="Arial" w:hAnsi="Arial" w:cs="Arial"/>
        </w:rPr>
      </w:pPr>
      <w:r w:rsidRPr="00CD59CC">
        <w:rPr>
          <w:rFonts w:ascii="Arial" w:hAnsi="Arial" w:cs="Arial"/>
        </w:rPr>
        <w:t xml:space="preserve">Lack of efficient monitoring systems and consistent indicators (partly due to the difficulties posed by data protection rules); </w:t>
      </w:r>
    </w:p>
    <w:p w14:paraId="28EA3928" w14:textId="77777777" w:rsidR="009C44EB" w:rsidRPr="00CD59CC" w:rsidRDefault="009C44EB" w:rsidP="007B4138">
      <w:pPr>
        <w:numPr>
          <w:ilvl w:val="1"/>
          <w:numId w:val="63"/>
        </w:numPr>
        <w:tabs>
          <w:tab w:val="left" w:pos="567"/>
        </w:tabs>
        <w:suppressAutoHyphens/>
        <w:rPr>
          <w:rFonts w:ascii="Arial" w:hAnsi="Arial" w:cs="Arial"/>
        </w:rPr>
      </w:pPr>
      <w:r w:rsidRPr="00CD59CC">
        <w:rPr>
          <w:rFonts w:ascii="Arial" w:hAnsi="Arial" w:cs="Arial"/>
        </w:rPr>
        <w:t xml:space="preserve">Improper coordination between the Ministries, lack of efficient coordinating mechanisms and bodies; </w:t>
      </w:r>
    </w:p>
    <w:p w14:paraId="3C9F8E58" w14:textId="6A292684" w:rsidR="009C44EB" w:rsidRPr="00CD59CC" w:rsidRDefault="009C44EB" w:rsidP="007B4138">
      <w:pPr>
        <w:numPr>
          <w:ilvl w:val="1"/>
          <w:numId w:val="63"/>
        </w:numPr>
        <w:tabs>
          <w:tab w:val="left" w:pos="567"/>
        </w:tabs>
        <w:suppressAutoHyphens/>
        <w:rPr>
          <w:rFonts w:ascii="Arial" w:hAnsi="Arial" w:cs="Arial"/>
        </w:rPr>
      </w:pPr>
      <w:r w:rsidRPr="00CD59CC">
        <w:rPr>
          <w:rFonts w:ascii="Arial" w:hAnsi="Arial" w:cs="Arial"/>
        </w:rPr>
        <w:t xml:space="preserve">Lack of continuity between the different </w:t>
      </w:r>
      <w:r w:rsidR="007B7640" w:rsidRPr="00CD59CC">
        <w:rPr>
          <w:rFonts w:ascii="Arial" w:hAnsi="Arial" w:cs="Arial"/>
        </w:rPr>
        <w:t>programmes</w:t>
      </w:r>
      <w:r w:rsidRPr="00CD59CC">
        <w:rPr>
          <w:rFonts w:ascii="Arial" w:hAnsi="Arial" w:cs="Arial"/>
        </w:rPr>
        <w:t>, lack of evaluation and failure to try to multiply the successful initiatives.</w:t>
      </w:r>
      <w:r w:rsidRPr="00CD59CC">
        <w:rPr>
          <w:rStyle w:val="FootnoteReference"/>
          <w:rFonts w:ascii="Arial" w:hAnsi="Arial" w:cs="Arial"/>
        </w:rPr>
        <w:footnoteReference w:id="85"/>
      </w:r>
      <w:r w:rsidRPr="00CD59CC">
        <w:rPr>
          <w:rFonts w:ascii="Arial" w:hAnsi="Arial" w:cs="Arial"/>
        </w:rPr>
        <w:t xml:space="preserve"> </w:t>
      </w:r>
    </w:p>
    <w:p w14:paraId="5024A580" w14:textId="77777777" w:rsidR="009C44EB" w:rsidRPr="00CD59CC" w:rsidRDefault="009C44EB" w:rsidP="00CD59CC">
      <w:pPr>
        <w:tabs>
          <w:tab w:val="left" w:pos="567"/>
        </w:tabs>
        <w:suppressAutoHyphens/>
        <w:rPr>
          <w:rFonts w:ascii="Arial" w:hAnsi="Arial" w:cs="Arial"/>
        </w:rPr>
      </w:pPr>
    </w:p>
    <w:p w14:paraId="28EE100B" w14:textId="77777777" w:rsidR="009C44EB" w:rsidRPr="00CD59CC" w:rsidRDefault="009C44EB" w:rsidP="00CD59CC">
      <w:pPr>
        <w:tabs>
          <w:tab w:val="left" w:pos="567"/>
        </w:tabs>
        <w:suppressAutoHyphens/>
        <w:rPr>
          <w:rFonts w:ascii="Arial" w:hAnsi="Arial" w:cs="Arial"/>
        </w:rPr>
      </w:pPr>
      <w:r w:rsidRPr="00CD59CC">
        <w:rPr>
          <w:rFonts w:ascii="Arial" w:hAnsi="Arial" w:cs="Arial"/>
        </w:rPr>
        <w:t>Besides the indications of inefficiency, further arguments for the shift were: a) this would generate less tension within society and b) problems faced by indigent non-Roma people are often very similar to the ones faced by the Roma, so this would be a more just solution any way. This shift has been criticized by some Roma leaders as disguising the plight of Roma as well as by the UN Independent Expert on Minority Issues.</w:t>
      </w:r>
      <w:r w:rsidRPr="00CD59CC">
        <w:rPr>
          <w:rStyle w:val="FootnoteReference"/>
          <w:rFonts w:ascii="Arial" w:hAnsi="Arial" w:cs="Arial"/>
        </w:rPr>
        <w:footnoteReference w:id="86"/>
      </w:r>
      <w:r w:rsidRPr="00CD59CC">
        <w:rPr>
          <w:rFonts w:ascii="Arial" w:hAnsi="Arial" w:cs="Arial"/>
        </w:rPr>
        <w:t xml:space="preserve"> </w:t>
      </w:r>
    </w:p>
    <w:p w14:paraId="4FEA4917" w14:textId="77777777" w:rsidR="009C44EB" w:rsidRPr="00CD59CC" w:rsidRDefault="009C44EB" w:rsidP="00CD59CC">
      <w:pPr>
        <w:rPr>
          <w:rFonts w:ascii="Arial" w:hAnsi="Arial" w:cs="Arial"/>
        </w:rPr>
      </w:pPr>
    </w:p>
    <w:p w14:paraId="6A02E20D" w14:textId="77777777" w:rsidR="009C44EB" w:rsidRPr="00CD59CC" w:rsidRDefault="009C44EB" w:rsidP="00CD59CC">
      <w:pPr>
        <w:rPr>
          <w:rFonts w:ascii="Arial" w:hAnsi="Arial" w:cs="Arial"/>
        </w:rPr>
      </w:pPr>
      <w:r w:rsidRPr="00CD59CC">
        <w:rPr>
          <w:rFonts w:ascii="Arial" w:hAnsi="Arial" w:cs="Arial"/>
        </w:rPr>
        <w:t xml:space="preserve">In spite of this, the National Social Inclusion and Roma Strategy (Hungary’s National Roma Integration Strategy) adopted in November 2011 targets not only the Roma, but also people living in poverty, especially children. The document identifies six intervention areas: the well-being of children, education and training, employment, health care, housing and the formation of social perceptions. The Action Plan of the </w:t>
      </w:r>
      <w:r w:rsidRPr="00CD59CC">
        <w:rPr>
          <w:rFonts w:ascii="Arial" w:hAnsi="Arial" w:cs="Arial"/>
        </w:rPr>
        <w:lastRenderedPageBreak/>
        <w:t>National Social Inclusion Strategy for 2012-2014 was formulated in a government resolution adopted in December 2011.</w:t>
      </w:r>
      <w:r w:rsidRPr="00CD59CC">
        <w:rPr>
          <w:rStyle w:val="FootnoteReference"/>
          <w:rFonts w:ascii="Arial" w:hAnsi="Arial" w:cs="Arial"/>
        </w:rPr>
        <w:footnoteReference w:id="87"/>
      </w:r>
    </w:p>
    <w:p w14:paraId="0BA6FFBE" w14:textId="77777777" w:rsidR="009C44EB" w:rsidRPr="00CD59CC" w:rsidRDefault="009C44EB" w:rsidP="00CD59CC">
      <w:pPr>
        <w:rPr>
          <w:rFonts w:ascii="Arial" w:hAnsi="Arial" w:cs="Arial"/>
        </w:rPr>
      </w:pPr>
    </w:p>
    <w:p w14:paraId="20ADC888" w14:textId="47B77F74" w:rsidR="009C44EB" w:rsidRPr="00CD59CC" w:rsidRDefault="009C44EB" w:rsidP="00CD59CC">
      <w:pPr>
        <w:rPr>
          <w:rFonts w:ascii="Arial" w:hAnsi="Arial" w:cs="Arial"/>
        </w:rPr>
      </w:pPr>
      <w:r w:rsidRPr="00CD59CC">
        <w:rPr>
          <w:rFonts w:ascii="Arial" w:hAnsi="Arial" w:cs="Arial"/>
        </w:rPr>
        <w:t xml:space="preserve">In March 2012 a group of NGO’s analysed </w:t>
      </w:r>
      <w:r w:rsidR="00304490" w:rsidRPr="00CD59CC">
        <w:rPr>
          <w:rFonts w:ascii="Arial" w:hAnsi="Arial" w:cs="Arial"/>
        </w:rPr>
        <w:t xml:space="preserve">in a shadow report </w:t>
      </w:r>
      <w:r w:rsidRPr="00CD59CC">
        <w:rPr>
          <w:rFonts w:ascii="Arial" w:hAnsi="Arial" w:cs="Arial"/>
        </w:rPr>
        <w:t>the resolution and compiled a set of recommendations for the strategy’s improvement. The document expresses strong criticism regarding the lack of explicit guarantees and positive measures for Roma minority rights (culture, language, institutions); and the lack of an articulated human rights approach and specific anti-discrimination measures and tools aimed at reducing prejudices.</w:t>
      </w:r>
      <w:r w:rsidR="001A4260" w:rsidRPr="00CD59CC">
        <w:rPr>
          <w:rFonts w:ascii="Arial" w:hAnsi="Arial" w:cs="Arial"/>
        </w:rPr>
        <w:t xml:space="preserve"> The report claims that the “Hungarian Strategy […] follows the »explicit but not exclusive targeting« principle, congruent with the 10 Common Basic Principles of Roma Inclusion. Nevertheless, the lack of a very clear Roma focus may</w:t>
      </w:r>
      <w:r w:rsidR="00960454" w:rsidRPr="00CD59CC">
        <w:rPr>
          <w:rFonts w:ascii="Arial" w:hAnsi="Arial" w:cs="Arial"/>
        </w:rPr>
        <w:t xml:space="preserve"> </w:t>
      </w:r>
      <w:r w:rsidR="001A4260" w:rsidRPr="00CD59CC">
        <w:rPr>
          <w:rFonts w:ascii="Arial" w:hAnsi="Arial" w:cs="Arial"/>
        </w:rPr>
        <w:t>pose challenges to a successful and robust policy-making, while various interventions in sectoral policies (for example, change of legislation, launching of programmes, etc.) and partial interventions launched in parallel may further weaken the efforts made in favour of Roma inclusion and the Strategy’s implementation.”</w:t>
      </w:r>
      <w:r w:rsidR="001A4260" w:rsidRPr="00CD59CC">
        <w:rPr>
          <w:rStyle w:val="FootnoteReference"/>
          <w:rFonts w:ascii="Arial" w:hAnsi="Arial" w:cs="Arial"/>
        </w:rPr>
        <w:t xml:space="preserve"> </w:t>
      </w:r>
      <w:r w:rsidR="001A4260" w:rsidRPr="00CD59CC">
        <w:rPr>
          <w:rStyle w:val="FootnoteReference"/>
          <w:rFonts w:ascii="Arial" w:hAnsi="Arial" w:cs="Arial"/>
        </w:rPr>
        <w:footnoteReference w:id="88"/>
      </w:r>
    </w:p>
    <w:p w14:paraId="45F2DF33" w14:textId="77777777" w:rsidR="009C44EB" w:rsidRPr="00CD59CC" w:rsidRDefault="009C44EB" w:rsidP="00CD59CC">
      <w:pPr>
        <w:rPr>
          <w:rFonts w:ascii="Arial" w:hAnsi="Arial" w:cs="Arial"/>
        </w:rPr>
      </w:pPr>
    </w:p>
    <w:p w14:paraId="1169808C" w14:textId="65A15563" w:rsidR="009C44EB" w:rsidRPr="00CD59CC" w:rsidRDefault="009C44EB" w:rsidP="00CD59CC">
      <w:pPr>
        <w:rPr>
          <w:rFonts w:ascii="Arial" w:hAnsi="Arial" w:cs="Arial"/>
        </w:rPr>
      </w:pPr>
      <w:r w:rsidRPr="00CD59CC">
        <w:rPr>
          <w:rFonts w:ascii="Arial" w:hAnsi="Arial" w:cs="Arial"/>
        </w:rPr>
        <w:t xml:space="preserve">An example </w:t>
      </w:r>
      <w:r w:rsidR="00354073" w:rsidRPr="00CD59CC">
        <w:rPr>
          <w:rFonts w:ascii="Arial" w:hAnsi="Arial" w:cs="Arial"/>
        </w:rPr>
        <w:t xml:space="preserve">of </w:t>
      </w:r>
      <w:r w:rsidRPr="00CD59CC">
        <w:rPr>
          <w:rFonts w:ascii="Arial" w:hAnsi="Arial" w:cs="Arial"/>
        </w:rPr>
        <w:t xml:space="preserve">narrowly tailored preferential treatment is offered by Article 24 of Government Decree 423/2012 on the Admission Procedures of Universities, under which 40 points shall be added to the number of points achieved by socially disadvantaged applicants, applicants with disabilities and applicants with caring responsibilities related to children in a system where the maximum number of points is 500, and admission is based on the number of points. </w:t>
      </w:r>
    </w:p>
    <w:p w14:paraId="1775263F" w14:textId="77777777" w:rsidR="009C44EB" w:rsidRPr="00CD59CC" w:rsidRDefault="009C44EB" w:rsidP="00CD59CC">
      <w:pPr>
        <w:rPr>
          <w:rFonts w:ascii="Arial" w:hAnsi="Arial" w:cs="Arial"/>
        </w:rPr>
      </w:pPr>
    </w:p>
    <w:p w14:paraId="0448F8E3" w14:textId="4B41149F" w:rsidR="009C44EB" w:rsidRPr="00CD59CC" w:rsidRDefault="009C44EB" w:rsidP="00CD59CC">
      <w:pPr>
        <w:rPr>
          <w:rFonts w:ascii="Arial" w:hAnsi="Arial" w:cs="Arial"/>
        </w:rPr>
      </w:pPr>
      <w:r w:rsidRPr="00CD59CC">
        <w:rPr>
          <w:rFonts w:ascii="Arial" w:hAnsi="Arial" w:cs="Arial"/>
        </w:rPr>
        <w:t xml:space="preserve">At the same time, in education, there are still some </w:t>
      </w:r>
      <w:r w:rsidR="007B7640" w:rsidRPr="00CD59CC">
        <w:rPr>
          <w:rFonts w:ascii="Arial" w:hAnsi="Arial" w:cs="Arial"/>
        </w:rPr>
        <w:t xml:space="preserve">programmes </w:t>
      </w:r>
      <w:r w:rsidRPr="00CD59CC">
        <w:rPr>
          <w:rFonts w:ascii="Arial" w:hAnsi="Arial" w:cs="Arial"/>
        </w:rPr>
        <w:t xml:space="preserve">expressly targeting Roma persons, such as the special educational </w:t>
      </w:r>
      <w:r w:rsidR="007B7640" w:rsidRPr="00CD59CC">
        <w:rPr>
          <w:rFonts w:ascii="Arial" w:hAnsi="Arial" w:cs="Arial"/>
        </w:rPr>
        <w:t xml:space="preserve">programmes </w:t>
      </w:r>
      <w:r w:rsidRPr="00CD59CC">
        <w:rPr>
          <w:rFonts w:ascii="Arial" w:hAnsi="Arial" w:cs="Arial"/>
        </w:rPr>
        <w:t>for Roma students (</w:t>
      </w:r>
      <w:r w:rsidRPr="00CD59CC">
        <w:rPr>
          <w:rFonts w:ascii="Arial" w:hAnsi="Arial" w:cs="Arial"/>
          <w:i/>
        </w:rPr>
        <w:t>roma szakkollégiumok</w:t>
      </w:r>
      <w:r w:rsidRPr="00CD59CC">
        <w:rPr>
          <w:rFonts w:ascii="Arial" w:hAnsi="Arial" w:cs="Arial"/>
        </w:rPr>
        <w:t>) operated by certain universities under the specific authorisation of Article 54 of Act CCIV of 2011 on National Higher Education and supported from the budget of the Ministry of Human Resources</w:t>
      </w:r>
      <w:r w:rsidRPr="00CD59CC">
        <w:rPr>
          <w:rStyle w:val="FootnoteReference"/>
          <w:rFonts w:ascii="Arial" w:hAnsi="Arial" w:cs="Arial"/>
        </w:rPr>
        <w:footnoteReference w:id="89"/>
      </w:r>
      <w:r w:rsidRPr="00CD59CC">
        <w:rPr>
          <w:rFonts w:ascii="Arial" w:hAnsi="Arial" w:cs="Arial"/>
        </w:rPr>
        <w:t xml:space="preserve"> with the aim of promoting their progress in the educational system. Experts have however criticised the </w:t>
      </w:r>
      <w:r w:rsidR="007B7640" w:rsidRPr="00CD59CC">
        <w:rPr>
          <w:rFonts w:ascii="Arial" w:hAnsi="Arial" w:cs="Arial"/>
        </w:rPr>
        <w:t xml:space="preserve">programme </w:t>
      </w:r>
      <w:r w:rsidRPr="00CD59CC">
        <w:rPr>
          <w:rFonts w:ascii="Arial" w:hAnsi="Arial" w:cs="Arial"/>
        </w:rPr>
        <w:t>for a number of reasons, including the following:</w:t>
      </w:r>
    </w:p>
    <w:p w14:paraId="7E80C034" w14:textId="77777777" w:rsidR="009C44EB" w:rsidRPr="00CD59CC" w:rsidRDefault="009C44EB" w:rsidP="00CD59CC">
      <w:pPr>
        <w:rPr>
          <w:rFonts w:ascii="Arial" w:hAnsi="Arial" w:cs="Arial"/>
        </w:rPr>
      </w:pPr>
    </w:p>
    <w:p w14:paraId="2C5A7D62" w14:textId="77777777" w:rsidR="009C44EB" w:rsidRPr="00CD59CC" w:rsidRDefault="009C44EB" w:rsidP="007B4138">
      <w:pPr>
        <w:numPr>
          <w:ilvl w:val="0"/>
          <w:numId w:val="64"/>
        </w:numPr>
        <w:ind w:left="567" w:hanging="567"/>
        <w:rPr>
          <w:rFonts w:ascii="Arial" w:hAnsi="Arial" w:cs="Arial"/>
        </w:rPr>
      </w:pPr>
      <w:r w:rsidRPr="00CD59CC">
        <w:rPr>
          <w:rFonts w:ascii="Arial" w:hAnsi="Arial" w:cs="Arial"/>
        </w:rPr>
        <w:t>the call for application allows educational institutions to recruit 40% of all the admitted students from a non-Roma background;</w:t>
      </w:r>
    </w:p>
    <w:p w14:paraId="2688E10F" w14:textId="77777777" w:rsidR="009C44EB" w:rsidRPr="00CD59CC" w:rsidRDefault="009C44EB" w:rsidP="007B4138">
      <w:pPr>
        <w:numPr>
          <w:ilvl w:val="0"/>
          <w:numId w:val="64"/>
        </w:numPr>
        <w:ind w:left="567" w:hanging="567"/>
        <w:rPr>
          <w:rFonts w:ascii="Arial" w:hAnsi="Arial" w:cs="Arial"/>
        </w:rPr>
      </w:pPr>
      <w:r w:rsidRPr="00CD59CC">
        <w:rPr>
          <w:rFonts w:ascii="Arial" w:hAnsi="Arial" w:cs="Arial"/>
        </w:rPr>
        <w:t>the amount that can be spent on stipends for students is very low compared to what can be spent on administrative costs;</w:t>
      </w:r>
    </w:p>
    <w:p w14:paraId="6C2EC8B9" w14:textId="77777777" w:rsidR="009C44EB" w:rsidRPr="00CD59CC" w:rsidRDefault="009C44EB" w:rsidP="007B4138">
      <w:pPr>
        <w:numPr>
          <w:ilvl w:val="0"/>
          <w:numId w:val="64"/>
        </w:numPr>
        <w:ind w:left="567" w:hanging="567"/>
        <w:rPr>
          <w:rFonts w:ascii="Arial" w:hAnsi="Arial" w:cs="Arial"/>
        </w:rPr>
      </w:pPr>
      <w:r w:rsidRPr="00CD59CC">
        <w:rPr>
          <w:rFonts w:ascii="Arial" w:hAnsi="Arial" w:cs="Arial"/>
        </w:rPr>
        <w:t>no money can be spent on developing residential areas for the students, so only those educational institutions can apply which already have boarding houses;</w:t>
      </w:r>
    </w:p>
    <w:p w14:paraId="59D75DF6" w14:textId="1AC10742" w:rsidR="009C44EB" w:rsidRPr="00CD59CC" w:rsidRDefault="009C44EB" w:rsidP="007B4138">
      <w:pPr>
        <w:numPr>
          <w:ilvl w:val="0"/>
          <w:numId w:val="64"/>
        </w:numPr>
        <w:ind w:left="567" w:hanging="567"/>
        <w:rPr>
          <w:rFonts w:ascii="Arial" w:hAnsi="Arial" w:cs="Arial"/>
        </w:rPr>
      </w:pPr>
      <w:r w:rsidRPr="00CD59CC">
        <w:rPr>
          <w:rFonts w:ascii="Arial" w:hAnsi="Arial" w:cs="Arial"/>
        </w:rPr>
        <w:lastRenderedPageBreak/>
        <w:t xml:space="preserve">the call for applications is formulated in a way that in practice favours denominational educational institution that have started such </w:t>
      </w:r>
      <w:r w:rsidR="007B7640" w:rsidRPr="00CD59CC">
        <w:rPr>
          <w:rFonts w:ascii="Arial" w:hAnsi="Arial" w:cs="Arial"/>
        </w:rPr>
        <w:t>programmes</w:t>
      </w:r>
      <w:r w:rsidRPr="00CD59CC">
        <w:rPr>
          <w:rFonts w:ascii="Arial" w:hAnsi="Arial" w:cs="Arial"/>
        </w:rPr>
        <w:t>, so there is an overrepresentation of church institutions among the successful applicants.</w:t>
      </w:r>
      <w:r w:rsidRPr="00CD59CC">
        <w:rPr>
          <w:rStyle w:val="FootnoteReference"/>
          <w:rFonts w:ascii="Arial" w:hAnsi="Arial" w:cs="Arial"/>
        </w:rPr>
        <w:footnoteReference w:id="90"/>
      </w:r>
    </w:p>
    <w:p w14:paraId="363C90D7" w14:textId="77777777" w:rsidR="002F7897" w:rsidRPr="00CD59CC" w:rsidRDefault="002F7897" w:rsidP="00CD59C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5"/>
        <w:gridCol w:w="2017"/>
        <w:gridCol w:w="1938"/>
      </w:tblGrid>
      <w:tr w:rsidR="002F7897" w:rsidRPr="00CD59CC" w14:paraId="6339974D" w14:textId="77777777" w:rsidTr="00E34CF1">
        <w:tc>
          <w:tcPr>
            <w:tcW w:w="5353" w:type="dxa"/>
          </w:tcPr>
          <w:p w14:paraId="4C8D6637" w14:textId="77777777" w:rsidR="002F7897" w:rsidRPr="00CD59CC" w:rsidRDefault="002F7897" w:rsidP="00CD59CC">
            <w:pPr>
              <w:rPr>
                <w:rFonts w:ascii="Arial" w:hAnsi="Arial" w:cs="Arial"/>
                <w:b/>
              </w:rPr>
            </w:pPr>
            <w:r w:rsidRPr="00CD59CC">
              <w:rPr>
                <w:rFonts w:ascii="Arial" w:hAnsi="Arial" w:cs="Arial"/>
                <w:b/>
              </w:rPr>
              <w:t>Name of grant application</w:t>
            </w:r>
          </w:p>
        </w:tc>
        <w:tc>
          <w:tcPr>
            <w:tcW w:w="1884" w:type="dxa"/>
          </w:tcPr>
          <w:p w14:paraId="67972B36" w14:textId="77777777" w:rsidR="002F7897" w:rsidRPr="00CD59CC" w:rsidRDefault="002F7897" w:rsidP="00CD59CC">
            <w:pPr>
              <w:rPr>
                <w:rFonts w:ascii="Arial" w:hAnsi="Arial" w:cs="Arial"/>
                <w:b/>
              </w:rPr>
            </w:pPr>
            <w:r w:rsidRPr="00CD59CC">
              <w:rPr>
                <w:rFonts w:ascii="Arial" w:hAnsi="Arial" w:cs="Arial"/>
                <w:b/>
              </w:rPr>
              <w:t>Denominational or secular</w:t>
            </w:r>
          </w:p>
        </w:tc>
        <w:tc>
          <w:tcPr>
            <w:tcW w:w="2014" w:type="dxa"/>
          </w:tcPr>
          <w:p w14:paraId="2D61B1A7" w14:textId="77777777" w:rsidR="002F7897" w:rsidRPr="00CD59CC" w:rsidRDefault="002F7897" w:rsidP="00CD59CC">
            <w:pPr>
              <w:rPr>
                <w:rFonts w:ascii="Arial" w:hAnsi="Arial" w:cs="Arial"/>
                <w:b/>
              </w:rPr>
            </w:pPr>
            <w:r w:rsidRPr="00CD59CC">
              <w:rPr>
                <w:rFonts w:ascii="Arial" w:hAnsi="Arial" w:cs="Arial"/>
                <w:b/>
              </w:rPr>
              <w:t>Amount of support</w:t>
            </w:r>
          </w:p>
          <w:p w14:paraId="17E910E3" w14:textId="77777777" w:rsidR="002F7897" w:rsidRPr="00CD59CC" w:rsidRDefault="002F7897" w:rsidP="00CD59CC">
            <w:pPr>
              <w:rPr>
                <w:rFonts w:ascii="Arial" w:hAnsi="Arial" w:cs="Arial"/>
                <w:b/>
              </w:rPr>
            </w:pPr>
          </w:p>
        </w:tc>
      </w:tr>
      <w:tr w:rsidR="002F7897" w:rsidRPr="00CD59CC" w14:paraId="0A255EF1" w14:textId="77777777" w:rsidTr="00E34CF1">
        <w:tc>
          <w:tcPr>
            <w:tcW w:w="5353" w:type="dxa"/>
          </w:tcPr>
          <w:p w14:paraId="336E3FB6" w14:textId="77777777" w:rsidR="002F7897" w:rsidRPr="00CD59CC" w:rsidRDefault="002F7897" w:rsidP="00CD59CC">
            <w:pPr>
              <w:rPr>
                <w:rFonts w:ascii="Arial" w:hAnsi="Arial" w:cs="Arial"/>
              </w:rPr>
            </w:pPr>
            <w:r w:rsidRPr="00CD59CC">
              <w:rPr>
                <w:rFonts w:ascii="Arial" w:hAnsi="Arial" w:cs="Arial"/>
              </w:rPr>
              <w:t>Jezsuita Roma Kollégium és Szakkollégium</w:t>
            </w:r>
          </w:p>
          <w:p w14:paraId="278F01AF" w14:textId="77777777" w:rsidR="002F7897" w:rsidRPr="00CD59CC" w:rsidRDefault="002F7897" w:rsidP="00CD59CC">
            <w:pPr>
              <w:rPr>
                <w:rFonts w:ascii="Arial" w:hAnsi="Arial" w:cs="Arial"/>
              </w:rPr>
            </w:pPr>
            <w:r w:rsidRPr="00CD59CC">
              <w:rPr>
                <w:rFonts w:ascii="Arial" w:hAnsi="Arial" w:cs="Arial"/>
              </w:rPr>
              <w:t>"TUDÁS, KÖZÖSSÉG, JÖVŐ" Jezsuita Roma Szakkollégium a roma tehetséggondozásért</w:t>
            </w:r>
          </w:p>
        </w:tc>
        <w:tc>
          <w:tcPr>
            <w:tcW w:w="1884" w:type="dxa"/>
          </w:tcPr>
          <w:p w14:paraId="344064E0" w14:textId="77777777" w:rsidR="002F7897" w:rsidRPr="00CD59CC" w:rsidRDefault="002F7897" w:rsidP="00CD59CC">
            <w:pPr>
              <w:rPr>
                <w:rFonts w:ascii="Arial" w:hAnsi="Arial" w:cs="Arial"/>
              </w:rPr>
            </w:pPr>
            <w:r w:rsidRPr="00CD59CC">
              <w:rPr>
                <w:rFonts w:ascii="Arial" w:hAnsi="Arial" w:cs="Arial"/>
              </w:rPr>
              <w:t>Denominational</w:t>
            </w:r>
          </w:p>
        </w:tc>
        <w:tc>
          <w:tcPr>
            <w:tcW w:w="2014" w:type="dxa"/>
          </w:tcPr>
          <w:p w14:paraId="256AB819" w14:textId="77777777" w:rsidR="002F7897" w:rsidRPr="00CD59CC" w:rsidRDefault="002F7897" w:rsidP="00CD59CC">
            <w:pPr>
              <w:rPr>
                <w:rFonts w:ascii="Arial" w:hAnsi="Arial" w:cs="Arial"/>
              </w:rPr>
            </w:pPr>
            <w:r w:rsidRPr="00CD59CC">
              <w:rPr>
                <w:rFonts w:ascii="Arial" w:hAnsi="Arial" w:cs="Arial"/>
              </w:rPr>
              <w:t>149 991 300</w:t>
            </w:r>
          </w:p>
        </w:tc>
      </w:tr>
      <w:tr w:rsidR="002F7897" w:rsidRPr="00CD59CC" w14:paraId="0D7C15F2" w14:textId="77777777" w:rsidTr="00E34CF1">
        <w:tc>
          <w:tcPr>
            <w:tcW w:w="5353" w:type="dxa"/>
          </w:tcPr>
          <w:p w14:paraId="56B7FE72" w14:textId="77777777" w:rsidR="002F7897" w:rsidRPr="00CD59CC" w:rsidRDefault="002F7897" w:rsidP="00CD59CC">
            <w:pPr>
              <w:rPr>
                <w:rFonts w:ascii="Arial" w:hAnsi="Arial" w:cs="Arial"/>
              </w:rPr>
            </w:pPr>
            <w:r w:rsidRPr="00CD59CC">
              <w:rPr>
                <w:rFonts w:ascii="Arial" w:hAnsi="Arial" w:cs="Arial"/>
              </w:rPr>
              <w:t>Debreceni Egyetem</w:t>
            </w:r>
          </w:p>
          <w:p w14:paraId="6BA92C69" w14:textId="77777777" w:rsidR="002F7897" w:rsidRPr="00CD59CC" w:rsidRDefault="002F7897" w:rsidP="00CD59CC">
            <w:pPr>
              <w:rPr>
                <w:rFonts w:ascii="Arial" w:hAnsi="Arial" w:cs="Arial"/>
              </w:rPr>
            </w:pPr>
            <w:r w:rsidRPr="00CD59CC">
              <w:rPr>
                <w:rFonts w:ascii="Arial" w:hAnsi="Arial" w:cs="Arial"/>
              </w:rPr>
              <w:t>"Ötágú síp projekt": a társadalmi kohéziót erősítő roma szakkollégiumi képzés, tehetséggondozás, felzárkóztatás és alkalmazott kutatás fejlesztése a DE Gyermeknevelési és Felnőttképzési Kar  kollégiumában</w:t>
            </w:r>
          </w:p>
        </w:tc>
        <w:tc>
          <w:tcPr>
            <w:tcW w:w="1884" w:type="dxa"/>
          </w:tcPr>
          <w:p w14:paraId="54199F8B" w14:textId="77777777" w:rsidR="002F7897" w:rsidRPr="00CD59CC" w:rsidRDefault="002F7897" w:rsidP="00CD59CC">
            <w:pPr>
              <w:rPr>
                <w:rFonts w:ascii="Arial" w:hAnsi="Arial" w:cs="Arial"/>
              </w:rPr>
            </w:pPr>
            <w:r w:rsidRPr="00CD59CC">
              <w:rPr>
                <w:rFonts w:ascii="Arial" w:hAnsi="Arial" w:cs="Arial"/>
              </w:rPr>
              <w:t>Secular</w:t>
            </w:r>
          </w:p>
        </w:tc>
        <w:tc>
          <w:tcPr>
            <w:tcW w:w="2014" w:type="dxa"/>
          </w:tcPr>
          <w:p w14:paraId="760A8ACF" w14:textId="77777777" w:rsidR="002F7897" w:rsidRPr="00CD59CC" w:rsidRDefault="002F7897" w:rsidP="00CD59CC">
            <w:pPr>
              <w:rPr>
                <w:rFonts w:ascii="Arial" w:hAnsi="Arial" w:cs="Arial"/>
              </w:rPr>
            </w:pPr>
            <w:r w:rsidRPr="00CD59CC">
              <w:rPr>
                <w:rFonts w:ascii="Arial" w:hAnsi="Arial" w:cs="Arial"/>
              </w:rPr>
              <w:t>159 180 746</w:t>
            </w:r>
          </w:p>
        </w:tc>
      </w:tr>
      <w:tr w:rsidR="002F7897" w:rsidRPr="00CD59CC" w14:paraId="5D2545F5" w14:textId="77777777" w:rsidTr="00E34CF1">
        <w:tc>
          <w:tcPr>
            <w:tcW w:w="5353" w:type="dxa"/>
          </w:tcPr>
          <w:p w14:paraId="6C62AA5F" w14:textId="77777777" w:rsidR="002F7897" w:rsidRPr="00CD59CC" w:rsidRDefault="002F7897" w:rsidP="00CD59CC">
            <w:pPr>
              <w:rPr>
                <w:rFonts w:ascii="Arial" w:hAnsi="Arial" w:cs="Arial"/>
              </w:rPr>
            </w:pPr>
            <w:r w:rsidRPr="00CD59CC">
              <w:rPr>
                <w:rFonts w:ascii="Arial" w:hAnsi="Arial" w:cs="Arial"/>
              </w:rPr>
              <w:t>Az Eszterházy Károly Főiskola Roma Szakkollégiumának fejlesztése</w:t>
            </w:r>
          </w:p>
        </w:tc>
        <w:tc>
          <w:tcPr>
            <w:tcW w:w="1884" w:type="dxa"/>
          </w:tcPr>
          <w:p w14:paraId="202EE6F7" w14:textId="77777777" w:rsidR="002F7897" w:rsidRPr="00CD59CC" w:rsidRDefault="002F7897" w:rsidP="00CD59CC">
            <w:pPr>
              <w:rPr>
                <w:rFonts w:ascii="Arial" w:hAnsi="Arial" w:cs="Arial"/>
              </w:rPr>
            </w:pPr>
            <w:r w:rsidRPr="00CD59CC">
              <w:rPr>
                <w:rFonts w:ascii="Arial" w:hAnsi="Arial" w:cs="Arial"/>
              </w:rPr>
              <w:t>Secular</w:t>
            </w:r>
          </w:p>
        </w:tc>
        <w:tc>
          <w:tcPr>
            <w:tcW w:w="2014" w:type="dxa"/>
          </w:tcPr>
          <w:p w14:paraId="425F4D4C" w14:textId="77777777" w:rsidR="002F7897" w:rsidRPr="00CD59CC" w:rsidRDefault="002F7897" w:rsidP="00CD59CC">
            <w:pPr>
              <w:rPr>
                <w:rFonts w:ascii="Arial" w:hAnsi="Arial" w:cs="Arial"/>
              </w:rPr>
            </w:pPr>
            <w:r w:rsidRPr="00CD59CC">
              <w:rPr>
                <w:rFonts w:ascii="Arial" w:hAnsi="Arial" w:cs="Arial"/>
              </w:rPr>
              <w:t>191 271 909</w:t>
            </w:r>
          </w:p>
        </w:tc>
      </w:tr>
      <w:tr w:rsidR="002F7897" w:rsidRPr="00CD59CC" w14:paraId="2CA8CAFA" w14:textId="77777777" w:rsidTr="00E34CF1">
        <w:tc>
          <w:tcPr>
            <w:tcW w:w="5353" w:type="dxa"/>
          </w:tcPr>
          <w:p w14:paraId="79F9B0AD" w14:textId="77777777" w:rsidR="002F7897" w:rsidRPr="00CD59CC" w:rsidRDefault="002F7897" w:rsidP="00CD59CC">
            <w:pPr>
              <w:rPr>
                <w:rFonts w:ascii="Arial" w:hAnsi="Arial" w:cs="Arial"/>
              </w:rPr>
            </w:pPr>
            <w:r w:rsidRPr="00CD59CC">
              <w:rPr>
                <w:rFonts w:ascii="Arial" w:hAnsi="Arial" w:cs="Arial"/>
              </w:rPr>
              <w:t>Görögkatolikus Egyetemi és Főiskolai Kollégium Cigány Szakkollégium</w:t>
            </w:r>
          </w:p>
          <w:p w14:paraId="7AFBD388" w14:textId="77777777" w:rsidR="002F7897" w:rsidRPr="00CD59CC" w:rsidRDefault="002F7897" w:rsidP="00CD59CC">
            <w:pPr>
              <w:rPr>
                <w:rFonts w:ascii="Arial" w:hAnsi="Arial" w:cs="Arial"/>
              </w:rPr>
            </w:pPr>
            <w:r w:rsidRPr="00CD59CC">
              <w:rPr>
                <w:rFonts w:ascii="Arial" w:hAnsi="Arial" w:cs="Arial"/>
              </w:rPr>
              <w:t>Hit és Közösség. A miskolci Görögkatolikus Cigány Szakkollégium működésének fejlesztése</w:t>
            </w:r>
          </w:p>
        </w:tc>
        <w:tc>
          <w:tcPr>
            <w:tcW w:w="1884" w:type="dxa"/>
          </w:tcPr>
          <w:p w14:paraId="29EEFDD2" w14:textId="77777777" w:rsidR="002F7897" w:rsidRPr="00CD59CC" w:rsidRDefault="002F7897" w:rsidP="00CD59CC">
            <w:pPr>
              <w:rPr>
                <w:rFonts w:ascii="Arial" w:hAnsi="Arial" w:cs="Arial"/>
              </w:rPr>
            </w:pPr>
            <w:r w:rsidRPr="00CD59CC">
              <w:rPr>
                <w:rFonts w:ascii="Arial" w:hAnsi="Arial" w:cs="Arial"/>
              </w:rPr>
              <w:t>Denominational</w:t>
            </w:r>
          </w:p>
        </w:tc>
        <w:tc>
          <w:tcPr>
            <w:tcW w:w="2014" w:type="dxa"/>
          </w:tcPr>
          <w:p w14:paraId="508C2D0A" w14:textId="77777777" w:rsidR="002F7897" w:rsidRPr="00CD59CC" w:rsidRDefault="002F7897" w:rsidP="00CD59CC">
            <w:pPr>
              <w:rPr>
                <w:rFonts w:ascii="Arial" w:hAnsi="Arial" w:cs="Arial"/>
              </w:rPr>
            </w:pPr>
            <w:r w:rsidRPr="00CD59CC">
              <w:rPr>
                <w:rFonts w:ascii="Arial" w:hAnsi="Arial" w:cs="Arial"/>
              </w:rPr>
              <w:t>192 332 670</w:t>
            </w:r>
          </w:p>
        </w:tc>
      </w:tr>
      <w:tr w:rsidR="002F7897" w:rsidRPr="00CD59CC" w14:paraId="1A778195" w14:textId="77777777" w:rsidTr="00E34CF1">
        <w:tc>
          <w:tcPr>
            <w:tcW w:w="5353" w:type="dxa"/>
          </w:tcPr>
          <w:p w14:paraId="627F9356" w14:textId="77777777" w:rsidR="002F7897" w:rsidRPr="00CD59CC" w:rsidRDefault="002F7897" w:rsidP="00CD59CC">
            <w:pPr>
              <w:rPr>
                <w:rFonts w:ascii="Arial" w:hAnsi="Arial" w:cs="Arial"/>
              </w:rPr>
            </w:pPr>
            <w:r w:rsidRPr="00CD59CC">
              <w:rPr>
                <w:rFonts w:ascii="Arial" w:hAnsi="Arial" w:cs="Arial"/>
              </w:rPr>
              <w:t>Magyarországi Evangélikus Egyház</w:t>
            </w:r>
          </w:p>
          <w:p w14:paraId="53444520" w14:textId="77777777" w:rsidR="002F7897" w:rsidRPr="00CD59CC" w:rsidRDefault="002F7897" w:rsidP="00CD59CC">
            <w:pPr>
              <w:rPr>
                <w:rFonts w:ascii="Arial" w:hAnsi="Arial" w:cs="Arial"/>
              </w:rPr>
            </w:pPr>
            <w:r w:rsidRPr="00CD59CC">
              <w:rPr>
                <w:rFonts w:ascii="Arial" w:hAnsi="Arial" w:cs="Arial"/>
              </w:rPr>
              <w:t>Evangélikus Roma Szakkollégium</w:t>
            </w:r>
          </w:p>
        </w:tc>
        <w:tc>
          <w:tcPr>
            <w:tcW w:w="1884" w:type="dxa"/>
          </w:tcPr>
          <w:p w14:paraId="7D1CB244" w14:textId="77777777" w:rsidR="002F7897" w:rsidRPr="00CD59CC" w:rsidRDefault="002F7897" w:rsidP="00CD59CC">
            <w:pPr>
              <w:rPr>
                <w:rFonts w:ascii="Arial" w:hAnsi="Arial" w:cs="Arial"/>
              </w:rPr>
            </w:pPr>
            <w:r w:rsidRPr="00CD59CC">
              <w:rPr>
                <w:rFonts w:ascii="Arial" w:hAnsi="Arial" w:cs="Arial"/>
              </w:rPr>
              <w:t>Denominational</w:t>
            </w:r>
          </w:p>
        </w:tc>
        <w:tc>
          <w:tcPr>
            <w:tcW w:w="2014" w:type="dxa"/>
          </w:tcPr>
          <w:p w14:paraId="50EFCC25" w14:textId="77777777" w:rsidR="002F7897" w:rsidRPr="00CD59CC" w:rsidRDefault="002F7897" w:rsidP="00CD59CC">
            <w:pPr>
              <w:rPr>
                <w:rFonts w:ascii="Arial" w:hAnsi="Arial" w:cs="Arial"/>
              </w:rPr>
            </w:pPr>
            <w:r w:rsidRPr="00CD59CC">
              <w:rPr>
                <w:rFonts w:ascii="Arial" w:hAnsi="Arial" w:cs="Arial"/>
              </w:rPr>
              <w:t>199 604 545</w:t>
            </w:r>
          </w:p>
        </w:tc>
      </w:tr>
      <w:tr w:rsidR="002F7897" w:rsidRPr="00CD59CC" w14:paraId="57C1DA0C" w14:textId="77777777" w:rsidTr="00E34CF1">
        <w:tc>
          <w:tcPr>
            <w:tcW w:w="5353" w:type="dxa"/>
          </w:tcPr>
          <w:p w14:paraId="75B2F84F" w14:textId="77777777" w:rsidR="002F7897" w:rsidRPr="00CD59CC" w:rsidRDefault="002F7897" w:rsidP="00CD59CC">
            <w:pPr>
              <w:rPr>
                <w:rFonts w:ascii="Arial" w:hAnsi="Arial" w:cs="Arial"/>
              </w:rPr>
            </w:pPr>
            <w:r w:rsidRPr="00CD59CC">
              <w:rPr>
                <w:rFonts w:ascii="Arial" w:hAnsi="Arial" w:cs="Arial"/>
              </w:rPr>
              <w:t>Pécsi Tudományegyetem</w:t>
            </w:r>
          </w:p>
          <w:p w14:paraId="6DECDDF7" w14:textId="77777777" w:rsidR="002F7897" w:rsidRPr="00CD59CC" w:rsidRDefault="002F7897" w:rsidP="00CD59CC">
            <w:pPr>
              <w:rPr>
                <w:rFonts w:ascii="Arial" w:hAnsi="Arial" w:cs="Arial"/>
              </w:rPr>
            </w:pPr>
            <w:r w:rsidRPr="00CD59CC">
              <w:rPr>
                <w:rFonts w:ascii="Arial" w:hAnsi="Arial" w:cs="Arial"/>
              </w:rPr>
              <w:t>Komplex hallgatói szolgáltatások fejlesztése hátrányos helyzetű hallgatók részére a Wlislocki Henrik Szakkollégium szervezésében</w:t>
            </w:r>
          </w:p>
        </w:tc>
        <w:tc>
          <w:tcPr>
            <w:tcW w:w="1884" w:type="dxa"/>
          </w:tcPr>
          <w:p w14:paraId="330C42E5" w14:textId="77777777" w:rsidR="002F7897" w:rsidRPr="00CD59CC" w:rsidRDefault="002F7897" w:rsidP="00CD59CC">
            <w:pPr>
              <w:rPr>
                <w:rFonts w:ascii="Arial" w:hAnsi="Arial" w:cs="Arial"/>
              </w:rPr>
            </w:pPr>
            <w:r w:rsidRPr="00CD59CC">
              <w:rPr>
                <w:rFonts w:ascii="Arial" w:hAnsi="Arial" w:cs="Arial"/>
              </w:rPr>
              <w:t>Secular</w:t>
            </w:r>
          </w:p>
        </w:tc>
        <w:tc>
          <w:tcPr>
            <w:tcW w:w="2014" w:type="dxa"/>
          </w:tcPr>
          <w:p w14:paraId="786F0FE6" w14:textId="77777777" w:rsidR="002F7897" w:rsidRPr="00CD59CC" w:rsidRDefault="002F7897" w:rsidP="00CD59CC">
            <w:pPr>
              <w:rPr>
                <w:rFonts w:ascii="Arial" w:hAnsi="Arial" w:cs="Arial"/>
              </w:rPr>
            </w:pPr>
            <w:r w:rsidRPr="00CD59CC">
              <w:rPr>
                <w:rFonts w:ascii="Arial" w:hAnsi="Arial" w:cs="Arial"/>
              </w:rPr>
              <w:t>237 194 787</w:t>
            </w:r>
          </w:p>
        </w:tc>
      </w:tr>
      <w:tr w:rsidR="002F7897" w:rsidRPr="00CD59CC" w14:paraId="45107A78" w14:textId="77777777" w:rsidTr="00E34CF1">
        <w:tc>
          <w:tcPr>
            <w:tcW w:w="5353" w:type="dxa"/>
          </w:tcPr>
          <w:p w14:paraId="42D6E2FD" w14:textId="77777777" w:rsidR="002F7897" w:rsidRPr="00CD59CC" w:rsidRDefault="002F7897" w:rsidP="00CD59CC">
            <w:pPr>
              <w:rPr>
                <w:rFonts w:ascii="Arial" w:hAnsi="Arial" w:cs="Arial"/>
              </w:rPr>
            </w:pPr>
            <w:r w:rsidRPr="00CD59CC">
              <w:rPr>
                <w:rFonts w:ascii="Arial" w:hAnsi="Arial" w:cs="Arial"/>
              </w:rPr>
              <w:t>Szegedi Keresztény Roma Szakkollégium</w:t>
            </w:r>
          </w:p>
          <w:p w14:paraId="48CEDB93" w14:textId="77777777" w:rsidR="002F7897" w:rsidRPr="00CD59CC" w:rsidRDefault="002F7897" w:rsidP="00CD59CC">
            <w:pPr>
              <w:rPr>
                <w:rFonts w:ascii="Arial" w:hAnsi="Arial" w:cs="Arial"/>
              </w:rPr>
            </w:pPr>
            <w:r w:rsidRPr="00CD59CC">
              <w:rPr>
                <w:rFonts w:ascii="Arial" w:hAnsi="Arial" w:cs="Arial"/>
              </w:rPr>
              <w:t>Boldog Ceferino Program</w:t>
            </w:r>
          </w:p>
        </w:tc>
        <w:tc>
          <w:tcPr>
            <w:tcW w:w="1884" w:type="dxa"/>
          </w:tcPr>
          <w:p w14:paraId="42CA842C" w14:textId="77777777" w:rsidR="002F7897" w:rsidRPr="00CD59CC" w:rsidRDefault="002F7897" w:rsidP="00CD59CC">
            <w:pPr>
              <w:rPr>
                <w:rFonts w:ascii="Arial" w:hAnsi="Arial" w:cs="Arial"/>
              </w:rPr>
            </w:pPr>
            <w:r w:rsidRPr="00CD59CC">
              <w:rPr>
                <w:rFonts w:ascii="Arial" w:hAnsi="Arial" w:cs="Arial"/>
              </w:rPr>
              <w:t>Denominational</w:t>
            </w:r>
          </w:p>
        </w:tc>
        <w:tc>
          <w:tcPr>
            <w:tcW w:w="2014" w:type="dxa"/>
          </w:tcPr>
          <w:p w14:paraId="6E3D69CB" w14:textId="77777777" w:rsidR="002F7897" w:rsidRPr="00CD59CC" w:rsidRDefault="002F7897" w:rsidP="00CD59CC">
            <w:pPr>
              <w:rPr>
                <w:rFonts w:ascii="Arial" w:hAnsi="Arial" w:cs="Arial"/>
              </w:rPr>
            </w:pPr>
            <w:r w:rsidRPr="00CD59CC">
              <w:rPr>
                <w:rFonts w:ascii="Arial" w:hAnsi="Arial" w:cs="Arial"/>
              </w:rPr>
              <w:t>176 747 238</w:t>
            </w:r>
          </w:p>
        </w:tc>
      </w:tr>
      <w:tr w:rsidR="002F7897" w:rsidRPr="00CD59CC" w14:paraId="5F1BE946" w14:textId="77777777" w:rsidTr="00E34CF1">
        <w:tc>
          <w:tcPr>
            <w:tcW w:w="5353" w:type="dxa"/>
          </w:tcPr>
          <w:p w14:paraId="243732D3" w14:textId="77777777" w:rsidR="002F7897" w:rsidRPr="00CD59CC" w:rsidRDefault="002F7897" w:rsidP="00CD59CC">
            <w:pPr>
              <w:rPr>
                <w:rFonts w:ascii="Arial" w:hAnsi="Arial" w:cs="Arial"/>
              </w:rPr>
            </w:pPr>
            <w:r w:rsidRPr="00CD59CC">
              <w:rPr>
                <w:rFonts w:ascii="Arial" w:hAnsi="Arial" w:cs="Arial"/>
              </w:rPr>
              <w:t>Wáli István Református Cigány Szakkollégium</w:t>
            </w:r>
          </w:p>
          <w:p w14:paraId="74A58B56" w14:textId="77777777" w:rsidR="002F7897" w:rsidRPr="00CD59CC" w:rsidRDefault="002F7897" w:rsidP="00CD59CC">
            <w:pPr>
              <w:rPr>
                <w:rFonts w:ascii="Arial" w:hAnsi="Arial" w:cs="Arial"/>
              </w:rPr>
            </w:pPr>
            <w:r w:rsidRPr="00CD59CC">
              <w:rPr>
                <w:rFonts w:ascii="Arial" w:hAnsi="Arial" w:cs="Arial"/>
              </w:rPr>
              <w:t xml:space="preserve">Egyetemes célok </w:t>
            </w:r>
            <w:r w:rsidR="00426305" w:rsidRPr="00CD59CC">
              <w:rPr>
                <w:rFonts w:ascii="Arial" w:hAnsi="Arial" w:cs="Arial"/>
              </w:rPr>
              <w:t>–</w:t>
            </w:r>
            <w:r w:rsidRPr="00CD59CC">
              <w:rPr>
                <w:rFonts w:ascii="Arial" w:hAnsi="Arial" w:cs="Arial"/>
              </w:rPr>
              <w:t xml:space="preserve"> Egyetemes összefogás A Wáli István Református Cigány Szakkollégium hosszú távú fejlesztési koncepciója  </w:t>
            </w:r>
          </w:p>
        </w:tc>
        <w:tc>
          <w:tcPr>
            <w:tcW w:w="1884" w:type="dxa"/>
          </w:tcPr>
          <w:p w14:paraId="0DDF5569" w14:textId="77777777" w:rsidR="002F7897" w:rsidRPr="00CD59CC" w:rsidRDefault="002F7897" w:rsidP="00CD59CC">
            <w:pPr>
              <w:rPr>
                <w:rFonts w:ascii="Arial" w:hAnsi="Arial" w:cs="Arial"/>
              </w:rPr>
            </w:pPr>
            <w:r w:rsidRPr="00CD59CC">
              <w:rPr>
                <w:rFonts w:ascii="Arial" w:hAnsi="Arial" w:cs="Arial"/>
              </w:rPr>
              <w:t>Denominational</w:t>
            </w:r>
          </w:p>
        </w:tc>
        <w:tc>
          <w:tcPr>
            <w:tcW w:w="2014" w:type="dxa"/>
          </w:tcPr>
          <w:p w14:paraId="4BDC57AA" w14:textId="77777777" w:rsidR="002F7897" w:rsidRPr="00CD59CC" w:rsidRDefault="002F7897" w:rsidP="00CD59CC">
            <w:pPr>
              <w:rPr>
                <w:rFonts w:ascii="Arial" w:hAnsi="Arial" w:cs="Arial"/>
              </w:rPr>
            </w:pPr>
            <w:r w:rsidRPr="00CD59CC">
              <w:rPr>
                <w:rFonts w:ascii="Arial" w:hAnsi="Arial" w:cs="Arial"/>
              </w:rPr>
              <w:t>143 608 151</w:t>
            </w:r>
          </w:p>
        </w:tc>
      </w:tr>
    </w:tbl>
    <w:p w14:paraId="4CD11E70" w14:textId="77777777" w:rsidR="002F7897" w:rsidRPr="00CD59CC" w:rsidRDefault="002F7897" w:rsidP="00CD59CC">
      <w:pPr>
        <w:rPr>
          <w:rFonts w:ascii="Arial" w:hAnsi="Arial" w:cs="Arial"/>
        </w:rPr>
      </w:pPr>
    </w:p>
    <w:p w14:paraId="0D8979C5" w14:textId="77777777" w:rsidR="002F7897" w:rsidRPr="00CD59CC" w:rsidRDefault="009106AD" w:rsidP="00CD59CC">
      <w:pPr>
        <w:rPr>
          <w:rFonts w:ascii="Arial" w:hAnsi="Arial" w:cs="Arial"/>
        </w:rPr>
      </w:pPr>
      <w:r w:rsidRPr="00CD59CC">
        <w:rPr>
          <w:rFonts w:ascii="Arial" w:hAnsi="Arial" w:cs="Arial"/>
        </w:rPr>
        <w:lastRenderedPageBreak/>
        <w:t>As it can be seen from the table above, there is indeed a dominance of special Roma educational program</w:t>
      </w:r>
      <w:r w:rsidR="00CF0BD4" w:rsidRPr="00CD59CC">
        <w:rPr>
          <w:rFonts w:ascii="Arial" w:hAnsi="Arial" w:cs="Arial"/>
        </w:rPr>
        <w:t>me</w:t>
      </w:r>
      <w:r w:rsidRPr="00CD59CC">
        <w:rPr>
          <w:rFonts w:ascii="Arial" w:hAnsi="Arial" w:cs="Arial"/>
        </w:rPr>
        <w:t>s with</w:t>
      </w:r>
      <w:r w:rsidR="00426305" w:rsidRPr="00CD59CC">
        <w:rPr>
          <w:rFonts w:ascii="Arial" w:hAnsi="Arial" w:cs="Arial"/>
        </w:rPr>
        <w:t xml:space="preserve"> a denominational affiliation: such program</w:t>
      </w:r>
      <w:r w:rsidR="00CF0BD4" w:rsidRPr="00CD59CC">
        <w:rPr>
          <w:rFonts w:ascii="Arial" w:hAnsi="Arial" w:cs="Arial"/>
        </w:rPr>
        <w:t>mes</w:t>
      </w:r>
      <w:r w:rsidR="00426305" w:rsidRPr="00CD59CC">
        <w:rPr>
          <w:rFonts w:ascii="Arial" w:hAnsi="Arial" w:cs="Arial"/>
        </w:rPr>
        <w:t xml:space="preserve"> received approximately 55% of the </w:t>
      </w:r>
      <w:r w:rsidRPr="00CD59CC">
        <w:rPr>
          <w:rFonts w:ascii="Arial" w:hAnsi="Arial" w:cs="Arial"/>
        </w:rPr>
        <w:t>HUF 1,306,323,195 (EUR 4,354,</w:t>
      </w:r>
      <w:r w:rsidR="00426305" w:rsidRPr="00CD59CC">
        <w:rPr>
          <w:rFonts w:ascii="Arial" w:hAnsi="Arial" w:cs="Arial"/>
        </w:rPr>
        <w:t xml:space="preserve">410) support distributed. </w:t>
      </w:r>
    </w:p>
    <w:p w14:paraId="6E112E31" w14:textId="77777777" w:rsidR="009C44EB" w:rsidRPr="00CD59CC" w:rsidRDefault="009C44EB" w:rsidP="00CD59CC">
      <w:pPr>
        <w:rPr>
          <w:rFonts w:ascii="Arial" w:hAnsi="Arial" w:cs="Arial"/>
        </w:rPr>
      </w:pPr>
    </w:p>
    <w:p w14:paraId="2425ED69" w14:textId="2BC6CE5C" w:rsidR="00C8100F" w:rsidRPr="00CD59CC" w:rsidRDefault="009C44EB" w:rsidP="00CD59CC">
      <w:pPr>
        <w:tabs>
          <w:tab w:val="left" w:pos="720"/>
        </w:tabs>
        <w:rPr>
          <w:rFonts w:ascii="Arial" w:hAnsi="Arial" w:cs="Arial"/>
        </w:rPr>
      </w:pPr>
      <w:r w:rsidRPr="00CD59CC">
        <w:rPr>
          <w:rFonts w:ascii="Arial" w:hAnsi="Arial" w:cs="Arial"/>
        </w:rPr>
        <w:t xml:space="preserve">In the field of employment, </w:t>
      </w:r>
      <w:r w:rsidR="00522B33" w:rsidRPr="00CD59CC">
        <w:rPr>
          <w:rFonts w:ascii="Arial" w:hAnsi="Arial" w:cs="Arial"/>
        </w:rPr>
        <w:t xml:space="preserve">an example </w:t>
      </w:r>
      <w:r w:rsidR="00CF0BD4" w:rsidRPr="00CD59CC">
        <w:rPr>
          <w:rFonts w:ascii="Arial" w:hAnsi="Arial" w:cs="Arial"/>
        </w:rPr>
        <w:t>of</w:t>
      </w:r>
      <w:r w:rsidR="00522B33" w:rsidRPr="00CD59CC">
        <w:rPr>
          <w:rFonts w:ascii="Arial" w:hAnsi="Arial" w:cs="Arial"/>
        </w:rPr>
        <w:t xml:space="preserve"> narrowly tailored measures was when</w:t>
      </w:r>
      <w:r w:rsidR="007B7640" w:rsidRPr="00CD59CC">
        <w:rPr>
          <w:rFonts w:ascii="Arial" w:hAnsi="Arial" w:cs="Arial"/>
        </w:rPr>
        <w:t xml:space="preserve"> </w:t>
      </w:r>
      <w:r w:rsidRPr="00CD59CC">
        <w:rPr>
          <w:rFonts w:ascii="Arial" w:hAnsi="Arial" w:cs="Arial"/>
        </w:rPr>
        <w:t>in October 2009, Government published a tender with the aim of employing 200 Roma persons with university degrees in the public administrative sector.</w:t>
      </w:r>
      <w:r w:rsidRPr="00CD59CC">
        <w:rPr>
          <w:rStyle w:val="FootnoteReference"/>
          <w:rFonts w:ascii="Arial" w:hAnsi="Arial" w:cs="Arial"/>
        </w:rPr>
        <w:footnoteReference w:id="91"/>
      </w:r>
      <w:r w:rsidRPr="00CD59CC">
        <w:rPr>
          <w:rFonts w:ascii="Arial" w:hAnsi="Arial" w:cs="Arial"/>
        </w:rPr>
        <w:t xml:space="preserve"> In this program</w:t>
      </w:r>
      <w:r w:rsidR="007B7640" w:rsidRPr="00CD59CC">
        <w:rPr>
          <w:rFonts w:ascii="Arial" w:hAnsi="Arial" w:cs="Arial"/>
        </w:rPr>
        <w:t>me</w:t>
      </w:r>
      <w:r w:rsidRPr="00CD59CC">
        <w:rPr>
          <w:rFonts w:ascii="Arial" w:hAnsi="Arial" w:cs="Arial"/>
        </w:rPr>
        <w:t xml:space="preserve">, ethnic affiliation was openly made a criterion, otherwise, in relation to employment, a similar shift was conducted as in the case of education: instead of “Roma” </w:t>
      </w:r>
      <w:r w:rsidR="007B7640" w:rsidRPr="00CD59CC">
        <w:rPr>
          <w:rFonts w:ascii="Arial" w:hAnsi="Arial" w:cs="Arial"/>
        </w:rPr>
        <w:t>programmes</w:t>
      </w:r>
      <w:r w:rsidRPr="00CD59CC">
        <w:rPr>
          <w:rFonts w:ascii="Arial" w:hAnsi="Arial" w:cs="Arial"/>
        </w:rPr>
        <w:t xml:space="preserve">, </w:t>
      </w:r>
      <w:r w:rsidR="007B7640" w:rsidRPr="00CD59CC">
        <w:rPr>
          <w:rFonts w:ascii="Arial" w:hAnsi="Arial" w:cs="Arial"/>
        </w:rPr>
        <w:t xml:space="preserve">programmes </w:t>
      </w:r>
      <w:r w:rsidRPr="00CD59CC">
        <w:rPr>
          <w:rFonts w:ascii="Arial" w:hAnsi="Arial" w:cs="Arial"/>
        </w:rPr>
        <w:t>focusing on disadvantaged groups, persons in long-</w:t>
      </w:r>
      <w:r w:rsidR="00F23418" w:rsidRPr="00CD59CC">
        <w:rPr>
          <w:rFonts w:ascii="Arial" w:hAnsi="Arial" w:cs="Arial"/>
        </w:rPr>
        <w:t xml:space="preserve">term unemployment were started. In September 2013, for instance, the Government Commissioner responsible for construction projects of outstanding importance in Budapest concluded an agreement with the National Roma Self-Government, stipulating that the public procurements related to such outstanding </w:t>
      </w:r>
      <w:r w:rsidR="00C8100F" w:rsidRPr="00CD59CC">
        <w:rPr>
          <w:rFonts w:ascii="Arial" w:hAnsi="Arial" w:cs="Arial"/>
        </w:rPr>
        <w:t>construction projects</w:t>
      </w:r>
      <w:r w:rsidR="00F23418" w:rsidRPr="00CD59CC">
        <w:rPr>
          <w:rFonts w:ascii="Arial" w:hAnsi="Arial" w:cs="Arial"/>
        </w:rPr>
        <w:t xml:space="preserve"> will be formulated in a way to encourage the employment of the long-term unemployed</w:t>
      </w:r>
      <w:r w:rsidR="00C8100F" w:rsidRPr="00CD59CC">
        <w:rPr>
          <w:rFonts w:ascii="Arial" w:hAnsi="Arial" w:cs="Arial"/>
        </w:rPr>
        <w:t>. They wish to make sure that this has a beneficial impact on the employment of Roma people by involving in the process not only the labour centres, but also the National Roma Self-Government.</w:t>
      </w:r>
      <w:r w:rsidR="00C8100F" w:rsidRPr="00CD59CC">
        <w:rPr>
          <w:rStyle w:val="FootnoteReference"/>
          <w:rFonts w:ascii="Arial" w:hAnsi="Arial" w:cs="Arial"/>
        </w:rPr>
        <w:footnoteReference w:id="92"/>
      </w:r>
      <w:r w:rsidR="00C8100F" w:rsidRPr="00CD59CC">
        <w:rPr>
          <w:rFonts w:ascii="Arial" w:hAnsi="Arial" w:cs="Arial"/>
        </w:rPr>
        <w:t xml:space="preserve"> At the same time, smaller-scale measures targeting only the Roma are still taken from time to time, such as the employment of 100 Roma civil servants to work in the regional centres for public administration primarily in settlements where the proportion of the Roma is relatively high within the population.</w:t>
      </w:r>
      <w:r w:rsidR="00C8100F" w:rsidRPr="00CD59CC">
        <w:rPr>
          <w:rStyle w:val="FootnoteReference"/>
          <w:rFonts w:ascii="Arial" w:hAnsi="Arial" w:cs="Arial"/>
        </w:rPr>
        <w:footnoteReference w:id="93"/>
      </w:r>
    </w:p>
    <w:p w14:paraId="5E11A64A" w14:textId="77777777" w:rsidR="00426305" w:rsidRPr="00CD59CC" w:rsidRDefault="00426305" w:rsidP="00CD59CC">
      <w:pPr>
        <w:tabs>
          <w:tab w:val="left" w:pos="720"/>
        </w:tabs>
        <w:rPr>
          <w:rFonts w:ascii="Arial" w:hAnsi="Arial" w:cs="Arial"/>
        </w:rPr>
      </w:pPr>
    </w:p>
    <w:p w14:paraId="66255A38" w14:textId="04E764CF" w:rsidR="00426305" w:rsidRPr="00CD59CC" w:rsidRDefault="00426305" w:rsidP="00CD59CC">
      <w:pPr>
        <w:tabs>
          <w:tab w:val="left" w:pos="720"/>
        </w:tabs>
        <w:rPr>
          <w:rFonts w:ascii="Arial" w:hAnsi="Arial" w:cs="Arial"/>
        </w:rPr>
      </w:pPr>
      <w:r w:rsidRPr="00CD59CC">
        <w:rPr>
          <w:rFonts w:ascii="Arial" w:hAnsi="Arial" w:cs="Arial"/>
        </w:rPr>
        <w:t xml:space="preserve">With relation </w:t>
      </w:r>
      <w:r w:rsidR="000C22F7" w:rsidRPr="00CD59CC">
        <w:rPr>
          <w:rFonts w:ascii="Arial" w:hAnsi="Arial" w:cs="Arial"/>
        </w:rPr>
        <w:t xml:space="preserve">to the distribution of the funds (including EU funds) that can be used for financing positive measures, serious criticism has been formulated by civil society in connection with the </w:t>
      </w:r>
      <w:r w:rsidR="00304490" w:rsidRPr="00CD59CC">
        <w:rPr>
          <w:rFonts w:ascii="Arial" w:hAnsi="Arial" w:cs="Arial"/>
        </w:rPr>
        <w:t xml:space="preserve">framework </w:t>
      </w:r>
      <w:r w:rsidR="000C22F7" w:rsidRPr="00CD59CC">
        <w:rPr>
          <w:rFonts w:ascii="Arial" w:hAnsi="Arial" w:cs="Arial"/>
        </w:rPr>
        <w:t>ag</w:t>
      </w:r>
      <w:r w:rsidR="00304490" w:rsidRPr="00CD59CC">
        <w:rPr>
          <w:rFonts w:ascii="Arial" w:hAnsi="Arial" w:cs="Arial"/>
        </w:rPr>
        <w:t>reement of cooperation concluded on 20 May 2011 between the Government and the National Roma Self-Government. The aim of the agreement was to guarantee the involvement of the National Roma Self-Government in the decision making process concerning development program</w:t>
      </w:r>
      <w:r w:rsidR="00CF0BD4" w:rsidRPr="00CD59CC">
        <w:rPr>
          <w:rFonts w:ascii="Arial" w:hAnsi="Arial" w:cs="Arial"/>
        </w:rPr>
        <w:t>me</w:t>
      </w:r>
      <w:r w:rsidR="00304490" w:rsidRPr="00CD59CC">
        <w:rPr>
          <w:rFonts w:ascii="Arial" w:hAnsi="Arial" w:cs="Arial"/>
        </w:rPr>
        <w:t>s aimed at the improvement of the living conditions of Roma as well as their situation in employment and education.</w:t>
      </w:r>
      <w:r w:rsidR="00304490" w:rsidRPr="00CD59CC">
        <w:rPr>
          <w:rStyle w:val="FootnoteReference"/>
          <w:rFonts w:ascii="Arial" w:hAnsi="Arial" w:cs="Arial"/>
        </w:rPr>
        <w:footnoteReference w:id="94"/>
      </w:r>
    </w:p>
    <w:p w14:paraId="4203016B" w14:textId="77777777" w:rsidR="00304490" w:rsidRPr="00CD59CC" w:rsidRDefault="00304490" w:rsidP="00CD59CC">
      <w:pPr>
        <w:tabs>
          <w:tab w:val="left" w:pos="720"/>
        </w:tabs>
        <w:rPr>
          <w:rFonts w:ascii="Arial" w:hAnsi="Arial" w:cs="Arial"/>
        </w:rPr>
      </w:pPr>
    </w:p>
    <w:p w14:paraId="06C9F7A2" w14:textId="315203F2" w:rsidR="00304490" w:rsidRPr="00CD59CC" w:rsidRDefault="00304490" w:rsidP="00CD59CC">
      <w:pPr>
        <w:tabs>
          <w:tab w:val="left" w:pos="720"/>
        </w:tabs>
        <w:rPr>
          <w:rFonts w:ascii="Arial" w:hAnsi="Arial" w:cs="Arial"/>
        </w:rPr>
      </w:pPr>
      <w:r w:rsidRPr="00CD59CC">
        <w:rPr>
          <w:rFonts w:ascii="Arial" w:hAnsi="Arial" w:cs="Arial"/>
        </w:rPr>
        <w:t xml:space="preserve">However, as the NGO shadow report pointed out, “there is a dependency relationship between the NRSG [the National Roma Self-Government] and the government, caused by the fact that the NRSG is not a civil society organization. It is not a professional body either, because its membership and composition are not permanent (the members are elected for four years, and the elections coincide with Self-Government elections). It serves as the political representation of Roma voters in Hungary, and in almost all cycles the NRSG has been led by a prominent </w:t>
      </w:r>
      <w:r w:rsidRPr="00CD59CC">
        <w:rPr>
          <w:rFonts w:ascii="Arial" w:hAnsi="Arial" w:cs="Arial"/>
        </w:rPr>
        <w:lastRenderedPageBreak/>
        <w:t>personality supported by one of the parties. In the current cycle, the president of the NRSG is also the head of the Lungo Drom National Gypsy Advocacy and Civic Association, which has been in permanent election cooperation with the governing party for 12 years. In this term we can say that the functions and authorities of a national political representation body, a policy coordination agency, and a larger project beneficiary are being merged here without the NRSG having any tangible necessary skills in the latter two functions.”</w:t>
      </w:r>
      <w:r w:rsidR="00C627E2" w:rsidRPr="00CD59CC">
        <w:rPr>
          <w:rStyle w:val="FootnoteReference"/>
          <w:rFonts w:ascii="Arial" w:hAnsi="Arial" w:cs="Arial"/>
        </w:rPr>
        <w:footnoteReference w:id="95"/>
      </w:r>
    </w:p>
    <w:p w14:paraId="0D2DB328" w14:textId="77777777" w:rsidR="00C8100F" w:rsidRPr="00CD59CC" w:rsidRDefault="00C8100F" w:rsidP="00CD59CC">
      <w:pPr>
        <w:tabs>
          <w:tab w:val="left" w:pos="720"/>
        </w:tabs>
        <w:rPr>
          <w:rFonts w:ascii="Arial" w:hAnsi="Arial" w:cs="Arial"/>
        </w:rPr>
      </w:pPr>
    </w:p>
    <w:p w14:paraId="2D3ECCF0" w14:textId="77777777" w:rsidR="00304490" w:rsidRPr="00CD59CC" w:rsidRDefault="00304490" w:rsidP="00CD59CC">
      <w:pPr>
        <w:tabs>
          <w:tab w:val="left" w:pos="720"/>
        </w:tabs>
        <w:rPr>
          <w:rFonts w:ascii="Arial" w:hAnsi="Arial" w:cs="Arial"/>
        </w:rPr>
      </w:pPr>
      <w:r w:rsidRPr="00CD59CC">
        <w:rPr>
          <w:rFonts w:ascii="Arial" w:hAnsi="Arial" w:cs="Arial"/>
        </w:rPr>
        <w:t xml:space="preserve">This dependence (which is illustrated by the fact that the President of the National Roma Self-Government) is an MP of the governing party) may </w:t>
      </w:r>
      <w:r w:rsidR="00096A8D" w:rsidRPr="00CD59CC">
        <w:rPr>
          <w:rFonts w:ascii="Arial" w:hAnsi="Arial" w:cs="Arial"/>
        </w:rPr>
        <w:t xml:space="preserve">result in a situation in which </w:t>
      </w:r>
      <w:r w:rsidR="00C627E2" w:rsidRPr="00CD59CC">
        <w:rPr>
          <w:rFonts w:ascii="Arial" w:hAnsi="Arial" w:cs="Arial"/>
        </w:rPr>
        <w:t xml:space="preserve">access to funding for positive inclusion measures </w:t>
      </w:r>
      <w:r w:rsidR="00096A8D" w:rsidRPr="00CD59CC">
        <w:rPr>
          <w:rFonts w:ascii="Arial" w:hAnsi="Arial" w:cs="Arial"/>
        </w:rPr>
        <w:t>becomes</w:t>
      </w:r>
      <w:r w:rsidR="00C627E2" w:rsidRPr="00CD59CC">
        <w:rPr>
          <w:rFonts w:ascii="Arial" w:hAnsi="Arial" w:cs="Arial"/>
        </w:rPr>
        <w:t xml:space="preserve"> dependent on</w:t>
      </w:r>
      <w:r w:rsidR="00096A8D" w:rsidRPr="00CD59CC">
        <w:rPr>
          <w:rFonts w:ascii="Arial" w:hAnsi="Arial" w:cs="Arial"/>
        </w:rPr>
        <w:t xml:space="preserve"> political views and affiliations.</w:t>
      </w:r>
      <w:r w:rsidRPr="00CD59CC">
        <w:rPr>
          <w:rFonts w:ascii="Arial" w:hAnsi="Arial" w:cs="Arial"/>
        </w:rPr>
        <w:t xml:space="preserve"> </w:t>
      </w:r>
    </w:p>
    <w:p w14:paraId="5D48F0FF" w14:textId="77777777" w:rsidR="00304490" w:rsidRPr="00CD59CC" w:rsidRDefault="00304490" w:rsidP="00CD59CC">
      <w:pPr>
        <w:tabs>
          <w:tab w:val="left" w:pos="720"/>
        </w:tabs>
        <w:rPr>
          <w:rFonts w:ascii="Arial" w:hAnsi="Arial" w:cs="Arial"/>
        </w:rPr>
      </w:pPr>
    </w:p>
    <w:p w14:paraId="5252505C" w14:textId="77777777" w:rsidR="009C44EB" w:rsidRPr="00CD59CC" w:rsidRDefault="009C44EB" w:rsidP="00CD59CC">
      <w:pPr>
        <w:tabs>
          <w:tab w:val="left" w:pos="720"/>
        </w:tabs>
        <w:rPr>
          <w:rFonts w:ascii="Arial" w:hAnsi="Arial" w:cs="Arial"/>
        </w:rPr>
      </w:pPr>
      <w:r w:rsidRPr="00CD59CC">
        <w:rPr>
          <w:rFonts w:ascii="Arial" w:hAnsi="Arial" w:cs="Arial"/>
        </w:rPr>
        <w:t>An</w:t>
      </w:r>
      <w:r w:rsidR="000C22F7" w:rsidRPr="00CD59CC">
        <w:rPr>
          <w:rFonts w:ascii="Arial" w:hAnsi="Arial" w:cs="Arial"/>
        </w:rPr>
        <w:t>other</w:t>
      </w:r>
      <w:r w:rsidRPr="00CD59CC">
        <w:rPr>
          <w:rFonts w:ascii="Arial" w:hAnsi="Arial" w:cs="Arial"/>
        </w:rPr>
        <w:t xml:space="preserve"> important issue in relation to social inclusion is whether the concept of “social catching up” (</w:t>
      </w:r>
      <w:r w:rsidRPr="00CD59CC">
        <w:rPr>
          <w:rFonts w:ascii="Arial" w:hAnsi="Arial" w:cs="Arial"/>
          <w:i/>
        </w:rPr>
        <w:t>társadalmi felzárkózás/felzárkóztatás</w:t>
      </w:r>
      <w:r w:rsidRPr="00CD59CC">
        <w:rPr>
          <w:rFonts w:ascii="Arial" w:hAnsi="Arial" w:cs="Arial"/>
        </w:rPr>
        <w:t>, which may also be translated as “closing the social gap”) will indeed be used by the legislature and the executive to justify segregation primarily in school education. As the NGO recommendations for the improvement of the social inclusion strategy pointed out in early 2012, while the “Hungarian National Strategy also states non-discriminatory access to quality education, as the way to play a primary role in the reduction of the educational failures of disadvantaged children, including Roma children, [...] the currently undergoing changes in the educational policy close the access to quality education for the children of the poorest families (especially with multiple disadvantages and Roma). Examples for such changes are: providing support to establish a parallel training system with mainstream education; instead of active desegregation of segregated schools they will be maintained by the National Roma Self- Government; radical decrease of quota of state funded students in higher education; reducing the age of compulsory school attendance [...].”</w:t>
      </w:r>
      <w:r w:rsidRPr="00CD59CC">
        <w:rPr>
          <w:rStyle w:val="FootnoteReference"/>
          <w:rFonts w:ascii="Arial" w:hAnsi="Arial" w:cs="Arial"/>
        </w:rPr>
        <w:footnoteReference w:id="96"/>
      </w:r>
      <w:r w:rsidRPr="00CD59CC">
        <w:rPr>
          <w:rFonts w:ascii="Arial" w:hAnsi="Arial" w:cs="Arial"/>
        </w:rPr>
        <w:t xml:space="preserve"> The fear and suspicion of NGO’s dealing with Roma education stems from the fact that in a number of cases the concept of catching up was mentioned in relation to events pointing into the direction of establishing/ reopening educational institutions or units hosting exclusively or almost exclusively Roma pupils.</w:t>
      </w:r>
      <w:r w:rsidRPr="00CD59CC">
        <w:rPr>
          <w:rStyle w:val="FootnoteReference"/>
          <w:rFonts w:ascii="Arial" w:hAnsi="Arial" w:cs="Arial"/>
        </w:rPr>
        <w:footnoteReference w:id="97"/>
      </w:r>
    </w:p>
    <w:p w14:paraId="3AE1BE93" w14:textId="77777777" w:rsidR="009C44EB" w:rsidRPr="00CD59CC" w:rsidRDefault="009C44EB" w:rsidP="00CD59CC">
      <w:pPr>
        <w:tabs>
          <w:tab w:val="left" w:pos="720"/>
        </w:tabs>
        <w:rPr>
          <w:rFonts w:ascii="Arial" w:hAnsi="Arial" w:cs="Arial"/>
        </w:rPr>
      </w:pPr>
    </w:p>
    <w:p w14:paraId="0158EF7D" w14:textId="77777777" w:rsidR="00096A8D" w:rsidRPr="00CD59CC" w:rsidRDefault="00096A8D" w:rsidP="00CD59CC">
      <w:pPr>
        <w:rPr>
          <w:rFonts w:ascii="Arial" w:hAnsi="Arial" w:cs="Arial"/>
        </w:rPr>
      </w:pPr>
      <w:r w:rsidRPr="00CD59CC">
        <w:rPr>
          <w:rFonts w:ascii="Arial" w:hAnsi="Arial" w:cs="Arial"/>
        </w:rPr>
        <w:t xml:space="preserve">In this relation it is worth mentioning that on 29 March 2013, Draft law no. T/10593 on the Amendment of Certain Laws related to the 4th Amendment of the Fundamental Law was submitted by the Government, proposing – among others – to amend Article 11 Paragraph (1) of the ETA text in the following manner: “The measure aimed at the elimination of an expressly identified social group’s objectively substantiated inequality of opportunities or at the promotion of the group’s social »catching up«,  the necessity of which can be objectively substantiated, is not </w:t>
      </w:r>
      <w:r w:rsidRPr="00CD59CC">
        <w:rPr>
          <w:rFonts w:ascii="Arial" w:hAnsi="Arial" w:cs="Arial"/>
        </w:rPr>
        <w:lastRenderedPageBreak/>
        <w:t>considered a breach of the principle of equal treatment if a) it is based on an Act of Parliament, on a government decree based on an Act or on a collective contract, effective for a definite term or until a specific condition is met; and/or b) the election of a party’s executive and representative organ and the setting up of a candidate at the elections defined at the Act on the Electoral Procedures is executed in line with the party’s fundamental rules”.</w:t>
      </w:r>
      <w:r w:rsidR="00271D3E" w:rsidRPr="00CD59CC">
        <w:rPr>
          <w:rStyle w:val="FootnoteReference"/>
          <w:rFonts w:ascii="Arial" w:hAnsi="Arial" w:cs="Arial"/>
        </w:rPr>
        <w:footnoteReference w:id="98"/>
      </w:r>
    </w:p>
    <w:p w14:paraId="4BE838F8" w14:textId="77777777" w:rsidR="00096A8D" w:rsidRPr="00CD59CC" w:rsidRDefault="00096A8D" w:rsidP="00CD59CC">
      <w:pPr>
        <w:rPr>
          <w:rFonts w:ascii="Arial" w:hAnsi="Arial" w:cs="Arial"/>
        </w:rPr>
      </w:pPr>
    </w:p>
    <w:p w14:paraId="26DE6288" w14:textId="77777777" w:rsidR="00096A8D" w:rsidRPr="00CD59CC" w:rsidRDefault="00096A8D" w:rsidP="00CD59CC">
      <w:pPr>
        <w:rPr>
          <w:rFonts w:ascii="Arial" w:hAnsi="Arial" w:cs="Arial"/>
        </w:rPr>
      </w:pPr>
      <w:r w:rsidRPr="00CD59CC">
        <w:rPr>
          <w:rFonts w:ascii="Arial" w:hAnsi="Arial" w:cs="Arial"/>
        </w:rPr>
        <w:t>Exactly due to the fear that the introduction of the concept of “catching up” in relation to positive measures may be a first step in the direction of justifying segregation, NGO’s commenced significant lobbying efforts as a result of which the amendment was not pursued by the Government.</w:t>
      </w:r>
    </w:p>
    <w:p w14:paraId="3C76B194" w14:textId="77777777" w:rsidR="00096A8D" w:rsidRPr="00CD59CC" w:rsidRDefault="00096A8D" w:rsidP="00CD59CC">
      <w:pPr>
        <w:rPr>
          <w:rFonts w:ascii="Arial" w:hAnsi="Arial" w:cs="Arial"/>
        </w:rPr>
      </w:pPr>
    </w:p>
    <w:p w14:paraId="3087611E" w14:textId="77777777" w:rsidR="009C44EB" w:rsidRPr="00CD59CC" w:rsidRDefault="009C44EB" w:rsidP="00CD59CC">
      <w:pPr>
        <w:rPr>
          <w:rFonts w:ascii="Arial" w:hAnsi="Arial" w:cs="Arial"/>
        </w:rPr>
      </w:pPr>
      <w:r w:rsidRPr="00CD59CC">
        <w:rPr>
          <w:rFonts w:ascii="Arial" w:hAnsi="Arial" w:cs="Arial"/>
        </w:rPr>
        <w:t>A type of quota measure in relation to the employment of disabled persons is constituted by Article 23 of Act CXCI of 2011 on the Benefits of Persons with an Altered Ability to Work and the Amendment of Certain Laws, in terms of which employers shall be obliged to pay a so called “rehabilitation contribution” if the number of their employees exceeds 25 and the proportion of persons with disabilities within the workforce is below 5 percent.</w:t>
      </w:r>
    </w:p>
    <w:p w14:paraId="54A59A62" w14:textId="77777777" w:rsidR="009C44EB" w:rsidRPr="00CD59CC" w:rsidRDefault="009C44EB" w:rsidP="00CD59CC">
      <w:pPr>
        <w:rPr>
          <w:rFonts w:ascii="Arial" w:hAnsi="Arial" w:cs="Arial"/>
        </w:rPr>
      </w:pPr>
    </w:p>
    <w:p w14:paraId="70207D50" w14:textId="77777777" w:rsidR="009C44EB" w:rsidRPr="00BB4E9F" w:rsidRDefault="009C44EB" w:rsidP="00CD59CC">
      <w:pPr>
        <w:rPr>
          <w:rFonts w:ascii="Arial" w:hAnsi="Arial"/>
        </w:rPr>
      </w:pPr>
      <w:r w:rsidRPr="00CD59CC">
        <w:rPr>
          <w:rFonts w:ascii="Arial" w:hAnsi="Arial" w:cs="Arial"/>
        </w:rPr>
        <w:t>The wide range of broader policy measures aimed at promoting the access to employment of persons with disabilities (e.g. rehabilitation allowance, budget support to employers employing workers with disabilities, etc.) are described under the relevant sections (see for instance Section 4.7.2).</w:t>
      </w:r>
    </w:p>
    <w:p w14:paraId="29744C7E" w14:textId="77777777" w:rsidR="002B5BCD" w:rsidRPr="00CD59CC" w:rsidRDefault="002B5BCD" w:rsidP="00CD59CC">
      <w:pPr>
        <w:rPr>
          <w:rFonts w:ascii="Arial" w:hAnsi="Arial" w:cs="Arial"/>
          <w:i/>
        </w:rPr>
      </w:pPr>
    </w:p>
    <w:p w14:paraId="6DA73CEF" w14:textId="77777777" w:rsidR="002B5BCD" w:rsidRPr="00CD59CC" w:rsidRDefault="002B5BCD" w:rsidP="00CD59CC">
      <w:pPr>
        <w:pStyle w:val="Heading1"/>
        <w:rPr>
          <w:rFonts w:cs="Arial"/>
        </w:rPr>
      </w:pPr>
      <w:bookmarkStart w:id="275" w:name="_Toc220221177"/>
      <w:r w:rsidRPr="00BB4E9F">
        <w:br w:type="page"/>
      </w:r>
      <w:bookmarkStart w:id="276" w:name="_Toc392758747"/>
      <w:bookmarkStart w:id="277" w:name="_Toc329163639"/>
      <w:bookmarkStart w:id="278" w:name="_Toc366846357"/>
      <w:r w:rsidRPr="00CD59CC">
        <w:rPr>
          <w:rFonts w:cs="Arial"/>
        </w:rPr>
        <w:lastRenderedPageBreak/>
        <w:t>REMEDIES AND ENFORCEMENT</w:t>
      </w:r>
      <w:bookmarkEnd w:id="275"/>
      <w:bookmarkEnd w:id="276"/>
      <w:bookmarkEnd w:id="277"/>
      <w:bookmarkEnd w:id="278"/>
      <w:r w:rsidRPr="00CD59CC">
        <w:rPr>
          <w:rFonts w:cs="Arial"/>
        </w:rPr>
        <w:t xml:space="preserve"> </w:t>
      </w:r>
    </w:p>
    <w:p w14:paraId="43D9A1BF" w14:textId="77777777" w:rsidR="002B5BCD" w:rsidRPr="00CD59CC" w:rsidRDefault="002B5BCD" w:rsidP="00CD59CC">
      <w:pPr>
        <w:rPr>
          <w:rFonts w:ascii="Arial" w:hAnsi="Arial" w:cs="Arial"/>
        </w:rPr>
      </w:pPr>
    </w:p>
    <w:p w14:paraId="0F1EFF38" w14:textId="77777777" w:rsidR="002B5BCD" w:rsidRPr="00CD59CC" w:rsidRDefault="002B5BCD" w:rsidP="00CD59CC">
      <w:pPr>
        <w:pStyle w:val="Heading2"/>
        <w:rPr>
          <w:rFonts w:cs="Arial"/>
        </w:rPr>
      </w:pPr>
      <w:bookmarkStart w:id="279" w:name="_Toc220221178"/>
      <w:bookmarkStart w:id="280" w:name="_Toc392758748"/>
      <w:bookmarkStart w:id="281" w:name="_Toc329163640"/>
      <w:bookmarkStart w:id="282" w:name="_Toc366846358"/>
      <w:r w:rsidRPr="00CD59CC">
        <w:rPr>
          <w:rFonts w:cs="Arial"/>
        </w:rPr>
        <w:t>Judicial and/or administrative procedures (Article 7 Directive 2000/43, Article 9 Directive 2000/78)</w:t>
      </w:r>
      <w:bookmarkEnd w:id="279"/>
      <w:bookmarkEnd w:id="280"/>
      <w:bookmarkEnd w:id="281"/>
      <w:bookmarkEnd w:id="282"/>
    </w:p>
    <w:p w14:paraId="3331D139" w14:textId="77777777" w:rsidR="002B5BCD" w:rsidRPr="00CD59CC" w:rsidRDefault="002B5BCD" w:rsidP="00CD59CC">
      <w:pPr>
        <w:rPr>
          <w:rFonts w:ascii="Arial" w:hAnsi="Arial" w:cs="Arial"/>
        </w:rPr>
      </w:pPr>
    </w:p>
    <w:p w14:paraId="1934554C" w14:textId="77777777" w:rsidR="002B5BCD" w:rsidRPr="00CD59CC" w:rsidRDefault="002B5BCD" w:rsidP="00CD59CC">
      <w:pPr>
        <w:rPr>
          <w:rFonts w:ascii="Arial" w:hAnsi="Arial" w:cs="Arial"/>
          <w:i/>
        </w:rPr>
      </w:pPr>
      <w:r w:rsidRPr="00CD59CC">
        <w:rPr>
          <w:rFonts w:ascii="Arial" w:hAnsi="Arial" w:cs="Arial"/>
          <w:i/>
        </w:rPr>
        <w:t>In relation to each of the following questions please note whether there are different procedures for employment in the private and public sectors.</w:t>
      </w:r>
    </w:p>
    <w:p w14:paraId="07B8F312" w14:textId="77777777" w:rsidR="002B5BCD" w:rsidRPr="00CD59CC" w:rsidRDefault="002B5BCD" w:rsidP="00CD59CC">
      <w:pPr>
        <w:rPr>
          <w:rFonts w:ascii="Arial" w:hAnsi="Arial" w:cs="Arial"/>
        </w:rPr>
      </w:pPr>
    </w:p>
    <w:p w14:paraId="5D519E54" w14:textId="77777777" w:rsidR="002B5BCD" w:rsidRPr="00CD59CC" w:rsidRDefault="002B5BCD" w:rsidP="00CD59CC">
      <w:pPr>
        <w:numPr>
          <w:ilvl w:val="0"/>
          <w:numId w:val="21"/>
        </w:numPr>
        <w:ind w:left="567" w:hanging="567"/>
        <w:rPr>
          <w:rFonts w:ascii="Arial" w:hAnsi="Arial" w:cs="Arial"/>
          <w:i/>
        </w:rPr>
      </w:pPr>
      <w:r w:rsidRPr="00CD59CC">
        <w:rPr>
          <w:rFonts w:ascii="Arial" w:hAnsi="Arial" w:cs="Arial"/>
          <w:i/>
        </w:rPr>
        <w:t xml:space="preserve">What procedures exist for enforcing the principle of equal treatment (judicial/ administrative/alternative dispute resolution such as mediation)? </w:t>
      </w:r>
    </w:p>
    <w:p w14:paraId="1F33DD7A" w14:textId="77777777" w:rsidR="002B5BCD" w:rsidRPr="00CD59CC" w:rsidRDefault="002B5BCD" w:rsidP="00CD59CC">
      <w:pPr>
        <w:ind w:left="567" w:hanging="567"/>
        <w:rPr>
          <w:rFonts w:ascii="Arial" w:hAnsi="Arial" w:cs="Arial"/>
        </w:rPr>
      </w:pPr>
    </w:p>
    <w:p w14:paraId="23C44672" w14:textId="77777777" w:rsidR="002B3126" w:rsidRPr="00CD59CC" w:rsidRDefault="002B3126" w:rsidP="00CD59CC">
      <w:pPr>
        <w:pStyle w:val="NoSpacing"/>
        <w:rPr>
          <w:rFonts w:ascii="Arial" w:hAnsi="Arial" w:cs="Arial"/>
          <w:u w:val="single"/>
        </w:rPr>
      </w:pPr>
      <w:r w:rsidRPr="00CD59CC">
        <w:rPr>
          <w:rFonts w:ascii="Arial" w:hAnsi="Arial" w:cs="Arial"/>
          <w:u w:val="single"/>
        </w:rPr>
        <w:t>Judicial procedures</w:t>
      </w:r>
    </w:p>
    <w:p w14:paraId="3BCF54F0" w14:textId="77777777" w:rsidR="002B3126" w:rsidRPr="00CD59CC" w:rsidRDefault="002B3126" w:rsidP="00CD59CC">
      <w:pPr>
        <w:rPr>
          <w:rFonts w:ascii="Arial" w:hAnsi="Arial" w:cs="Arial"/>
        </w:rPr>
      </w:pPr>
    </w:p>
    <w:p w14:paraId="1BFA46A5" w14:textId="77777777" w:rsidR="002B3126" w:rsidRPr="00CD59CC" w:rsidRDefault="002B3126" w:rsidP="00CD59CC">
      <w:pPr>
        <w:rPr>
          <w:rFonts w:ascii="Arial" w:hAnsi="Arial" w:cs="Arial"/>
          <w:i/>
        </w:rPr>
      </w:pPr>
      <w:r w:rsidRPr="00CD59CC">
        <w:rPr>
          <w:rFonts w:ascii="Arial" w:hAnsi="Arial" w:cs="Arial"/>
          <w:i/>
        </w:rPr>
        <w:t>Civil courts</w:t>
      </w:r>
    </w:p>
    <w:p w14:paraId="6B74D80B" w14:textId="77777777" w:rsidR="002B3126" w:rsidRPr="00CD59CC" w:rsidRDefault="002B3126" w:rsidP="00CD59CC">
      <w:pPr>
        <w:rPr>
          <w:rFonts w:ascii="Arial" w:hAnsi="Arial" w:cs="Arial"/>
        </w:rPr>
      </w:pPr>
    </w:p>
    <w:p w14:paraId="7C910F5C" w14:textId="77777777" w:rsidR="002B3126" w:rsidRPr="00CD59CC" w:rsidRDefault="002B3126" w:rsidP="00CD59CC">
      <w:pPr>
        <w:rPr>
          <w:rFonts w:ascii="Arial" w:hAnsi="Arial" w:cs="Arial"/>
        </w:rPr>
      </w:pPr>
      <w:r w:rsidRPr="00CD59CC">
        <w:rPr>
          <w:rFonts w:ascii="Arial" w:hAnsi="Arial" w:cs="Arial"/>
        </w:rPr>
        <w:t xml:space="preserve">Victims of discrimination may sue in civil courts based on Articles 75 and 76 of the Civil Code, claiming that inherent rights are protected by the Civil Code, and that the right to equal treatment is an inherent right. The possible remedies applicable by the court are listed under Article 84 of the Civil Code: </w:t>
      </w:r>
    </w:p>
    <w:p w14:paraId="640735E1" w14:textId="77777777" w:rsidR="002B3126" w:rsidRPr="00CD59CC" w:rsidRDefault="002B3126" w:rsidP="00CD59CC">
      <w:pPr>
        <w:rPr>
          <w:rFonts w:ascii="Arial" w:hAnsi="Arial" w:cs="Arial"/>
        </w:rPr>
      </w:pPr>
    </w:p>
    <w:p w14:paraId="03AAE384" w14:textId="77777777" w:rsidR="002B3126" w:rsidRPr="00C86D09" w:rsidRDefault="002B3126" w:rsidP="00BB4E9F">
      <w:pPr>
        <w:pStyle w:val="Quote"/>
        <w:numPr>
          <w:ilvl w:val="0"/>
          <w:numId w:val="71"/>
        </w:numPr>
        <w:ind w:left="1134" w:hanging="567"/>
      </w:pPr>
      <w:r w:rsidRPr="006F0AF2">
        <w:t xml:space="preserve">“A person whose inherent rights have been violated may have the following options under civil law, depending on the circumstances of the case: </w:t>
      </w:r>
    </w:p>
    <w:p w14:paraId="4DE6EC36" w14:textId="77777777" w:rsidR="002B3126" w:rsidRPr="00BB4E9F" w:rsidRDefault="002B3126" w:rsidP="00BB4E9F">
      <w:pPr>
        <w:pStyle w:val="Quote"/>
        <w:numPr>
          <w:ilvl w:val="0"/>
          <w:numId w:val="72"/>
        </w:numPr>
        <w:tabs>
          <w:tab w:val="left" w:pos="1701"/>
        </w:tabs>
        <w:ind w:left="1701" w:hanging="567"/>
      </w:pPr>
      <w:r w:rsidRPr="00BB4E9F">
        <w:t xml:space="preserve">demand a court declaration of the occurrence of the infringement, </w:t>
      </w:r>
    </w:p>
    <w:p w14:paraId="2F00A25E" w14:textId="77777777" w:rsidR="002B3126" w:rsidRPr="00BB4E9F" w:rsidRDefault="002B3126" w:rsidP="00BB4E9F">
      <w:pPr>
        <w:pStyle w:val="Quote"/>
        <w:numPr>
          <w:ilvl w:val="0"/>
          <w:numId w:val="72"/>
        </w:numPr>
        <w:tabs>
          <w:tab w:val="left" w:pos="1701"/>
        </w:tabs>
        <w:ind w:left="1701" w:hanging="567"/>
      </w:pPr>
      <w:r w:rsidRPr="00BB4E9F">
        <w:t xml:space="preserve">demand to have the infringement discontinued and the perpetrator restrained from further infringement; </w:t>
      </w:r>
    </w:p>
    <w:p w14:paraId="4661C651" w14:textId="77777777" w:rsidR="002B3126" w:rsidRPr="00BB4E9F" w:rsidRDefault="002B3126" w:rsidP="00BB4E9F">
      <w:pPr>
        <w:pStyle w:val="Quote"/>
        <w:numPr>
          <w:ilvl w:val="0"/>
          <w:numId w:val="72"/>
        </w:numPr>
        <w:tabs>
          <w:tab w:val="left" w:pos="1701"/>
        </w:tabs>
        <w:ind w:left="1701" w:hanging="567"/>
      </w:pPr>
      <w:r w:rsidRPr="00BB4E9F">
        <w:t xml:space="preserve">demand that the perpetrator make restitution in a statement or by some other suitable means and, if necessary, that the perpetrator, at his own expense, make an appropriate public disclosure for restitution; </w:t>
      </w:r>
    </w:p>
    <w:p w14:paraId="3001E6EC" w14:textId="77777777" w:rsidR="002B3126" w:rsidRPr="00BB4E9F" w:rsidRDefault="002B3126" w:rsidP="00BB4E9F">
      <w:pPr>
        <w:pStyle w:val="Quote"/>
        <w:numPr>
          <w:ilvl w:val="0"/>
          <w:numId w:val="72"/>
        </w:numPr>
        <w:tabs>
          <w:tab w:val="left" w:pos="1701"/>
        </w:tabs>
        <w:ind w:left="1701" w:hanging="567"/>
      </w:pPr>
      <w:r w:rsidRPr="00BB4E9F">
        <w:t xml:space="preserve">demand the termination of the injurious situation and the restoration of the previous state by and at the expense of the perpetrator and, furthermore, to have the effects of the infringement nullified or deprived of their injurious nature; </w:t>
      </w:r>
    </w:p>
    <w:p w14:paraId="5404A8E0" w14:textId="77777777" w:rsidR="002B3126" w:rsidRPr="00BB4E9F" w:rsidRDefault="002B3126" w:rsidP="00BB4E9F">
      <w:pPr>
        <w:pStyle w:val="Quote"/>
        <w:numPr>
          <w:ilvl w:val="0"/>
          <w:numId w:val="72"/>
        </w:numPr>
        <w:tabs>
          <w:tab w:val="left" w:pos="1701"/>
        </w:tabs>
        <w:ind w:left="1701" w:hanging="567"/>
      </w:pPr>
      <w:r w:rsidRPr="00BB4E9F">
        <w:t xml:space="preserve">file charges for damages in accordance with the liability regulations under civil law. </w:t>
      </w:r>
    </w:p>
    <w:p w14:paraId="51CF7B9B" w14:textId="77777777" w:rsidR="002B3126" w:rsidRPr="00BB4E9F" w:rsidRDefault="002B3126" w:rsidP="00BB4E9F">
      <w:pPr>
        <w:pStyle w:val="Quote"/>
        <w:numPr>
          <w:ilvl w:val="0"/>
          <w:numId w:val="71"/>
        </w:numPr>
        <w:ind w:left="1134" w:hanging="567"/>
      </w:pPr>
      <w:r w:rsidRPr="00BB4E9F">
        <w:t xml:space="preserve">If the amount of damages that can be imposed is insufficient to mitigate the gravity of the actionable conduct, the court shall also be entitled to penalize the perpetrator by ordering him to pay a fine to be used for public purposes.” </w:t>
      </w:r>
    </w:p>
    <w:p w14:paraId="1FC5C82C" w14:textId="77777777" w:rsidR="002B3126" w:rsidRPr="00CD59CC" w:rsidRDefault="002B3126" w:rsidP="00CD59CC">
      <w:pPr>
        <w:rPr>
          <w:rFonts w:ascii="Arial" w:hAnsi="Arial" w:cs="Arial"/>
        </w:rPr>
      </w:pPr>
    </w:p>
    <w:p w14:paraId="019CF1D1" w14:textId="77777777" w:rsidR="002B3126" w:rsidRPr="00CD59CC" w:rsidRDefault="002B3126" w:rsidP="00CD59CC">
      <w:pPr>
        <w:rPr>
          <w:rFonts w:ascii="Arial" w:hAnsi="Arial" w:cs="Arial"/>
        </w:rPr>
      </w:pPr>
      <w:r w:rsidRPr="00CD59CC">
        <w:rPr>
          <w:rFonts w:ascii="Arial" w:hAnsi="Arial" w:cs="Arial"/>
        </w:rPr>
        <w:t xml:space="preserve">These provisions provide victims of discrimination with a flexible instrument, as they apply to all types of discrimination no matter which field or ground is at issue. </w:t>
      </w:r>
    </w:p>
    <w:p w14:paraId="7CF58A61" w14:textId="57466A8D" w:rsidR="002B3126" w:rsidRPr="00CD59CC" w:rsidRDefault="002B3126" w:rsidP="00CD59CC">
      <w:pPr>
        <w:rPr>
          <w:rFonts w:ascii="Arial" w:hAnsi="Arial" w:cs="Arial"/>
        </w:rPr>
      </w:pPr>
      <w:r w:rsidRPr="00CD59CC">
        <w:rPr>
          <w:rFonts w:ascii="Arial" w:hAnsi="Arial" w:cs="Arial"/>
        </w:rPr>
        <w:t xml:space="preserve">There is no obligation to retain a lawyer, but professional legal assistance may mean a significant advantage, since the court is bound by the petitions of the plaintiff (in relation to both the claim and the evidentiary motions). State funded legal aid </w:t>
      </w:r>
      <w:r w:rsidRPr="00CD59CC">
        <w:rPr>
          <w:rFonts w:ascii="Arial" w:hAnsi="Arial" w:cs="Arial"/>
        </w:rPr>
        <w:lastRenderedPageBreak/>
        <w:t xml:space="preserve">(including representation by a patron attorney) is available, but the indigence threshold is very low: the state pays for the legal aid if the party's monthly per capita income does not exceed the minimum old age pension (HUF 28,500, or EUR 95), or – if the party lives alone – his/her monthly net income does not exceed 150% of the minimum old age pension (HUF 42,750, or EUR 143) and advances the fees and costs of the legal aid provider if the party's income does not exceed 43% of the gross average national salary of the second year preceding the year in which the legal aid is provided (HUF </w:t>
      </w:r>
      <w:r w:rsidR="00792000" w:rsidRPr="00CD59CC">
        <w:rPr>
          <w:rFonts w:ascii="Arial" w:hAnsi="Arial" w:cs="Arial"/>
        </w:rPr>
        <w:t>91,633</w:t>
      </w:r>
      <w:r w:rsidRPr="00CD59CC">
        <w:rPr>
          <w:rFonts w:ascii="Arial" w:hAnsi="Arial" w:cs="Arial"/>
        </w:rPr>
        <w:t xml:space="preserve">, or EUR </w:t>
      </w:r>
      <w:r w:rsidR="00792000" w:rsidRPr="00CD59CC">
        <w:rPr>
          <w:rFonts w:ascii="Arial" w:hAnsi="Arial" w:cs="Arial"/>
        </w:rPr>
        <w:t>305</w:t>
      </w:r>
      <w:r w:rsidRPr="00CD59CC">
        <w:rPr>
          <w:rFonts w:ascii="Arial" w:hAnsi="Arial" w:cs="Arial"/>
        </w:rPr>
        <w:t>).</w:t>
      </w:r>
      <w:r w:rsidRPr="00CD59CC">
        <w:rPr>
          <w:rStyle w:val="FootnoteReference"/>
          <w:rFonts w:ascii="Arial" w:hAnsi="Arial" w:cs="Arial"/>
        </w:rPr>
        <w:footnoteReference w:id="99"/>
      </w:r>
      <w:r w:rsidR="007B7640" w:rsidRPr="00CD59CC">
        <w:rPr>
          <w:rFonts w:ascii="Arial" w:hAnsi="Arial" w:cs="Arial"/>
        </w:rPr>
        <w:t xml:space="preserve"> </w:t>
      </w:r>
      <w:r w:rsidRPr="00CD59CC">
        <w:rPr>
          <w:rFonts w:ascii="Arial" w:hAnsi="Arial" w:cs="Arial"/>
        </w:rPr>
        <w:t xml:space="preserve">Another deterring factor may be that if the plaintiff loses the case he/she has to pay the other party's legal costs. </w:t>
      </w:r>
    </w:p>
    <w:p w14:paraId="72CAB8ED" w14:textId="77777777" w:rsidR="002B3126" w:rsidRPr="00CD59CC" w:rsidRDefault="002B3126" w:rsidP="00CD59CC">
      <w:pPr>
        <w:rPr>
          <w:rFonts w:ascii="Arial" w:hAnsi="Arial" w:cs="Arial"/>
        </w:rPr>
      </w:pPr>
    </w:p>
    <w:p w14:paraId="6625540E" w14:textId="77777777" w:rsidR="002B3126" w:rsidRPr="00CD59CC" w:rsidRDefault="002B3126" w:rsidP="00CD59CC">
      <w:pPr>
        <w:rPr>
          <w:rFonts w:ascii="Arial" w:hAnsi="Arial" w:cs="Arial"/>
        </w:rPr>
      </w:pPr>
      <w:r w:rsidRPr="00CD59CC">
        <w:rPr>
          <w:rFonts w:ascii="Arial" w:hAnsi="Arial" w:cs="Arial"/>
        </w:rPr>
        <w:t xml:space="preserve">Lawsuits launched due to the violation of inherent rights fall into the competence of county courts located in county seats, which means that if the plaintiff does not live at or around the seat, money and time has to be spent on travel whenever a hearing is held (unless a legal representative is involved, in which case the plaintiff is only obliged to appear in court if the court wishes to hear him/her in person). Furthermore, civil proceedings can be very lengthy: up to 3-4 years. </w:t>
      </w:r>
    </w:p>
    <w:p w14:paraId="411695F2" w14:textId="77777777" w:rsidR="002B3126" w:rsidRPr="00CD59CC" w:rsidRDefault="002B3126" w:rsidP="00CD59CC">
      <w:pPr>
        <w:rPr>
          <w:rFonts w:ascii="Arial" w:hAnsi="Arial" w:cs="Arial"/>
        </w:rPr>
      </w:pPr>
    </w:p>
    <w:p w14:paraId="1A833E3B" w14:textId="77777777" w:rsidR="002B3126" w:rsidRPr="00CD59CC" w:rsidRDefault="002B3126" w:rsidP="00CD59CC">
      <w:pPr>
        <w:pStyle w:val="NoSpacing"/>
        <w:rPr>
          <w:rFonts w:ascii="Arial" w:hAnsi="Arial" w:cs="Arial"/>
          <w:i/>
        </w:rPr>
      </w:pPr>
      <w:r w:rsidRPr="00CD59CC">
        <w:rPr>
          <w:rFonts w:ascii="Arial" w:hAnsi="Arial" w:cs="Arial"/>
          <w:i/>
        </w:rPr>
        <w:t>Labour courts</w:t>
      </w:r>
    </w:p>
    <w:p w14:paraId="37F724B1" w14:textId="77777777" w:rsidR="002B3126" w:rsidRPr="00CD59CC" w:rsidRDefault="002B3126" w:rsidP="00CD59CC">
      <w:pPr>
        <w:rPr>
          <w:rFonts w:ascii="Arial" w:hAnsi="Arial" w:cs="Arial"/>
        </w:rPr>
      </w:pPr>
    </w:p>
    <w:p w14:paraId="1F476A2D" w14:textId="77777777" w:rsidR="002B3126" w:rsidRPr="00CD59CC" w:rsidRDefault="002B3126" w:rsidP="00CD59CC">
      <w:pPr>
        <w:rPr>
          <w:rFonts w:ascii="Arial" w:hAnsi="Arial" w:cs="Arial"/>
        </w:rPr>
      </w:pPr>
      <w:r w:rsidRPr="00CD59CC">
        <w:rPr>
          <w:rFonts w:ascii="Arial" w:hAnsi="Arial" w:cs="Arial"/>
        </w:rPr>
        <w:t>In Hungary, so called “labour and administrative” courts apply the Labour Code. The most important remedies in labour law are the following.</w:t>
      </w:r>
    </w:p>
    <w:p w14:paraId="11C10BF4" w14:textId="77777777" w:rsidR="002B3126" w:rsidRPr="00CD59CC" w:rsidRDefault="002B3126" w:rsidP="00CD59CC">
      <w:pPr>
        <w:rPr>
          <w:rFonts w:ascii="Arial" w:hAnsi="Arial" w:cs="Arial"/>
        </w:rPr>
      </w:pPr>
    </w:p>
    <w:p w14:paraId="35F44DAF" w14:textId="77777777" w:rsidR="002B3126" w:rsidRPr="00CD59CC" w:rsidRDefault="002B3126" w:rsidP="00CD59CC">
      <w:pPr>
        <w:rPr>
          <w:rFonts w:ascii="Arial" w:hAnsi="Arial" w:cs="Arial"/>
        </w:rPr>
      </w:pPr>
      <w:r w:rsidRPr="00CD59CC">
        <w:rPr>
          <w:rFonts w:ascii="Arial" w:hAnsi="Arial" w:cs="Arial"/>
        </w:rPr>
        <w:t>The court may declare an agreement null and void under Article 27.</w:t>
      </w:r>
    </w:p>
    <w:p w14:paraId="7854F555" w14:textId="77777777" w:rsidR="002B3126" w:rsidRPr="00CD59CC" w:rsidRDefault="002B3126" w:rsidP="00CD59CC">
      <w:pPr>
        <w:rPr>
          <w:rFonts w:ascii="Arial" w:hAnsi="Arial" w:cs="Arial"/>
        </w:rPr>
      </w:pPr>
    </w:p>
    <w:p w14:paraId="6E54B802" w14:textId="77777777" w:rsidR="002B3126" w:rsidRPr="00CD59CC" w:rsidRDefault="002B3126" w:rsidP="00CD59CC">
      <w:pPr>
        <w:rPr>
          <w:rFonts w:ascii="Arial" w:hAnsi="Arial" w:cs="Arial"/>
        </w:rPr>
      </w:pPr>
      <w:r w:rsidRPr="00CD59CC">
        <w:rPr>
          <w:rFonts w:ascii="Arial" w:hAnsi="Arial" w:cs="Arial"/>
        </w:rPr>
        <w:t xml:space="preserve">If the discrimination is manifested in the unlawful termination of the employment, under Article 82, the employer shall compensate the employee for the damages suffered. Full compensation is restricted by Paragraph (2) of the provision, according to which under the heading of lost income a maximum of twelve-months’ salary may be claimed by the employee. </w:t>
      </w:r>
    </w:p>
    <w:p w14:paraId="432427ED" w14:textId="77777777" w:rsidR="002B3126" w:rsidRPr="00CD59CC" w:rsidRDefault="002B3126" w:rsidP="00CD59CC">
      <w:pPr>
        <w:rPr>
          <w:rFonts w:ascii="Arial" w:hAnsi="Arial" w:cs="Arial"/>
        </w:rPr>
      </w:pPr>
    </w:p>
    <w:p w14:paraId="5D1C8B09" w14:textId="77777777" w:rsidR="002B3126" w:rsidRPr="00CD59CC" w:rsidRDefault="002B3126" w:rsidP="00CD59CC">
      <w:pPr>
        <w:rPr>
          <w:rFonts w:ascii="Arial" w:hAnsi="Arial" w:cs="Arial"/>
        </w:rPr>
      </w:pPr>
      <w:r w:rsidRPr="00CD59CC">
        <w:rPr>
          <w:rFonts w:ascii="Arial" w:hAnsi="Arial" w:cs="Arial"/>
        </w:rPr>
        <w:t>In terms of Article 83, if the termination of the employment constitutes the violation of the requirement of equal treatment, the employee may request the court to order his/her reinstatement (in other cases of the unlawful termination of employment, this option is not available with some exceptions, such as when the dismissed employee was a trade union representative).</w:t>
      </w:r>
    </w:p>
    <w:p w14:paraId="2B0EAD3D" w14:textId="77777777" w:rsidR="002B3126" w:rsidRPr="00CD59CC" w:rsidRDefault="002B3126" w:rsidP="00CD59CC">
      <w:pPr>
        <w:rPr>
          <w:rFonts w:ascii="Arial" w:hAnsi="Arial" w:cs="Arial"/>
        </w:rPr>
      </w:pPr>
    </w:p>
    <w:p w14:paraId="6D18D63F" w14:textId="77777777" w:rsidR="002B3126" w:rsidRPr="00CD59CC" w:rsidRDefault="002B3126" w:rsidP="00CD59CC">
      <w:pPr>
        <w:rPr>
          <w:rFonts w:ascii="Arial" w:hAnsi="Arial" w:cs="Arial"/>
        </w:rPr>
      </w:pPr>
      <w:r w:rsidRPr="00CD59CC">
        <w:rPr>
          <w:rFonts w:ascii="Arial" w:hAnsi="Arial" w:cs="Arial"/>
        </w:rPr>
        <w:t>In other cases of discrimination (i.e. when it is not a dismissal that serves as the subject matter of the case), the employer is liable to pay full damages to the employee, in terms of Article 167 of the Labour Code.</w:t>
      </w:r>
    </w:p>
    <w:p w14:paraId="6CE02DF6" w14:textId="77777777" w:rsidR="002B3126" w:rsidRPr="00CD59CC" w:rsidRDefault="002B3126" w:rsidP="00CD59CC">
      <w:pPr>
        <w:rPr>
          <w:rFonts w:ascii="Arial" w:hAnsi="Arial" w:cs="Arial"/>
        </w:rPr>
      </w:pPr>
    </w:p>
    <w:p w14:paraId="6F5038F7" w14:textId="77777777" w:rsidR="002B3126" w:rsidRPr="00CD59CC" w:rsidRDefault="002B3126" w:rsidP="00CD59CC">
      <w:pPr>
        <w:rPr>
          <w:rFonts w:ascii="Arial" w:hAnsi="Arial" w:cs="Arial"/>
        </w:rPr>
      </w:pPr>
      <w:r w:rsidRPr="00CD59CC">
        <w:rPr>
          <w:rFonts w:ascii="Arial" w:hAnsi="Arial" w:cs="Arial"/>
        </w:rPr>
        <w:t xml:space="preserve">As to the barriers and deterring factors, the same can be said as in relation to civil court cases with the addition that in certain cases (such as dismissals), the deadline for initiating a lawsuit is relatively short: 30 days (Article 287). In this regard there is a </w:t>
      </w:r>
      <w:r w:rsidRPr="00CD59CC">
        <w:rPr>
          <w:rFonts w:ascii="Arial" w:hAnsi="Arial" w:cs="Arial"/>
        </w:rPr>
        <w:lastRenderedPageBreak/>
        <w:t>difference between the private and the public sector, as in some segments of the latter (e.g. the judiciary), the deadline for suing is even shorter, 15 days.</w:t>
      </w:r>
      <w:r w:rsidRPr="00CD59CC">
        <w:rPr>
          <w:rStyle w:val="FootnoteReference"/>
          <w:rFonts w:ascii="Arial" w:hAnsi="Arial" w:cs="Arial"/>
        </w:rPr>
        <w:footnoteReference w:id="100"/>
      </w:r>
      <w:r w:rsidRPr="00CD59CC">
        <w:rPr>
          <w:rFonts w:ascii="Arial" w:hAnsi="Arial" w:cs="Arial"/>
        </w:rPr>
        <w:t xml:space="preserve"> </w:t>
      </w:r>
    </w:p>
    <w:p w14:paraId="73A64CA5" w14:textId="77777777" w:rsidR="002B3126" w:rsidRPr="00CD59CC" w:rsidRDefault="002B3126" w:rsidP="00CD59CC">
      <w:pPr>
        <w:pStyle w:val="NoSpacing"/>
        <w:rPr>
          <w:rFonts w:ascii="Arial" w:hAnsi="Arial" w:cs="Arial"/>
          <w:u w:val="single"/>
        </w:rPr>
      </w:pPr>
      <w:r w:rsidRPr="00CD59CC">
        <w:rPr>
          <w:rFonts w:ascii="Arial" w:hAnsi="Arial" w:cs="Arial"/>
          <w:u w:val="single"/>
        </w:rPr>
        <w:t>Administrative procedures</w:t>
      </w:r>
    </w:p>
    <w:p w14:paraId="4DD74BF4" w14:textId="77777777" w:rsidR="002B3126" w:rsidRPr="00CD59CC" w:rsidRDefault="002B3126" w:rsidP="00CD59CC">
      <w:pPr>
        <w:rPr>
          <w:rFonts w:ascii="Arial" w:hAnsi="Arial" w:cs="Arial"/>
        </w:rPr>
      </w:pPr>
    </w:p>
    <w:p w14:paraId="5789ACC6" w14:textId="77777777" w:rsidR="002B3126" w:rsidRPr="00CD59CC" w:rsidRDefault="002B3126" w:rsidP="00CD59CC">
      <w:pPr>
        <w:rPr>
          <w:rFonts w:ascii="Arial" w:hAnsi="Arial" w:cs="Arial"/>
        </w:rPr>
      </w:pPr>
      <w:r w:rsidRPr="00CD59CC">
        <w:rPr>
          <w:rFonts w:ascii="Arial" w:hAnsi="Arial" w:cs="Arial"/>
        </w:rPr>
        <w:t xml:space="preserve">Before the ETA came into force, procedures used to be field-specific. Different administrative organs had powers to act in the different sectors. With the coming into force of the ETA, this has partly changed. The Equal Treatment Authority (hereafter: Authority) has authorisation to act against any discriminatory act irrespective of the ground of discrimination (sex, race, age, etc.) or the field concerned (employment, education, access to goods, etc.). </w:t>
      </w:r>
    </w:p>
    <w:p w14:paraId="57B61FAA" w14:textId="77777777" w:rsidR="002B3126" w:rsidRPr="00CD59CC" w:rsidRDefault="002B3126" w:rsidP="00CD59CC">
      <w:pPr>
        <w:rPr>
          <w:rFonts w:ascii="Arial" w:hAnsi="Arial" w:cs="Arial"/>
        </w:rPr>
      </w:pPr>
    </w:p>
    <w:p w14:paraId="00E9A0A4" w14:textId="77777777" w:rsidR="002B3126" w:rsidRPr="00CD59CC" w:rsidRDefault="002B3126" w:rsidP="00CD59CC">
      <w:pPr>
        <w:rPr>
          <w:rFonts w:ascii="Arial" w:hAnsi="Arial" w:cs="Arial"/>
        </w:rPr>
      </w:pPr>
      <w:r w:rsidRPr="00CD59CC">
        <w:rPr>
          <w:rFonts w:ascii="Arial" w:hAnsi="Arial" w:cs="Arial"/>
        </w:rPr>
        <w:t>Besides the authorisations required by the Racial Equality Directive, this body is vested with the right to impose severe sanctions on persons and entities violating the ban on discrimination. (Section 6.5 will deal with the sanctions that the Authority is entitled to impose, and the Authority’s organisation will be described in detail in Chapter 7.)</w:t>
      </w:r>
    </w:p>
    <w:p w14:paraId="1DC46BED" w14:textId="77777777" w:rsidR="002B3126" w:rsidRPr="00CD59CC" w:rsidRDefault="002B3126" w:rsidP="00CD59CC">
      <w:pPr>
        <w:rPr>
          <w:rFonts w:ascii="Arial" w:hAnsi="Arial" w:cs="Arial"/>
        </w:rPr>
      </w:pPr>
    </w:p>
    <w:p w14:paraId="136D2D5B" w14:textId="77777777" w:rsidR="002B3126" w:rsidRPr="00CD59CC" w:rsidRDefault="002B3126" w:rsidP="00CD59CC">
      <w:pPr>
        <w:rPr>
          <w:rFonts w:ascii="Arial" w:hAnsi="Arial" w:cs="Arial"/>
        </w:rPr>
      </w:pPr>
      <w:r w:rsidRPr="00CD59CC">
        <w:rPr>
          <w:rFonts w:ascii="Arial" w:hAnsi="Arial" w:cs="Arial"/>
        </w:rPr>
        <w:t xml:space="preserve">The establishment of the Authority did not mean that all the administrative organs that used to have authority to act in discrimination cases were deprived of their powers. This made it necessary to create a system preventing a clash of authority. Below we describe the most important administrative organs having powers in discrimination cases, and then we outline the distribution of authority between them. </w:t>
      </w:r>
    </w:p>
    <w:p w14:paraId="5E71BB42" w14:textId="77777777" w:rsidR="002B3126" w:rsidRPr="00CD59CC" w:rsidRDefault="002B3126" w:rsidP="00CD59CC">
      <w:pPr>
        <w:rPr>
          <w:rFonts w:ascii="Arial" w:hAnsi="Arial" w:cs="Arial"/>
        </w:rPr>
      </w:pPr>
    </w:p>
    <w:p w14:paraId="4C29C834" w14:textId="77777777" w:rsidR="002B3126" w:rsidRPr="00CD59CC" w:rsidRDefault="002B3126" w:rsidP="00CD59CC">
      <w:pPr>
        <w:rPr>
          <w:rFonts w:ascii="Arial" w:hAnsi="Arial" w:cs="Arial"/>
        </w:rPr>
      </w:pPr>
      <w:r w:rsidRPr="00CD59CC">
        <w:rPr>
          <w:rFonts w:ascii="Arial" w:hAnsi="Arial" w:cs="Arial"/>
        </w:rPr>
        <w:t xml:space="preserve">With regard to barriers and deterring factors, the following can be said. The administrative organs are obliged by Article 3 of the Act CXL of 2004 on the General Rules of the Proceedings and Services of Public Administrative Authorities (GPSA) to fully establish the facts of a given case, therefore, the role of legal assistance is not as crucial as in court cases, although the involvement of a lawyer is obviously an asset. Furthermore, administrative proceedings are significantly shorter than court cases. On the other hand, administrative bodies may not grant compensation to the victim and may not oblige the discriminator to apologise or provide moral remedy in any other way. </w:t>
      </w:r>
    </w:p>
    <w:p w14:paraId="79F2405D" w14:textId="77777777" w:rsidR="002B3126" w:rsidRPr="00CD59CC" w:rsidRDefault="002B3126" w:rsidP="00CD59CC">
      <w:pPr>
        <w:rPr>
          <w:rFonts w:ascii="Arial" w:hAnsi="Arial" w:cs="Arial"/>
        </w:rPr>
      </w:pPr>
    </w:p>
    <w:p w14:paraId="5D9C28F1" w14:textId="77777777" w:rsidR="002B3126" w:rsidRPr="00CD59CC" w:rsidRDefault="002B3126" w:rsidP="00CD59CC">
      <w:pPr>
        <w:rPr>
          <w:rFonts w:ascii="Arial" w:hAnsi="Arial" w:cs="Arial"/>
          <w:i/>
        </w:rPr>
      </w:pPr>
      <w:r w:rsidRPr="00CD59CC">
        <w:rPr>
          <w:rFonts w:ascii="Arial" w:hAnsi="Arial" w:cs="Arial"/>
          <w:i/>
        </w:rPr>
        <w:t>Access to goods and services</w:t>
      </w:r>
    </w:p>
    <w:p w14:paraId="4ADB9AD0" w14:textId="77777777" w:rsidR="002B3126" w:rsidRPr="00CD59CC" w:rsidRDefault="002B3126" w:rsidP="00CD59CC">
      <w:pPr>
        <w:rPr>
          <w:rFonts w:ascii="Arial" w:hAnsi="Arial" w:cs="Arial"/>
          <w:i/>
        </w:rPr>
      </w:pPr>
    </w:p>
    <w:p w14:paraId="65CF01AA" w14:textId="77777777" w:rsidR="002B3126" w:rsidRPr="00CD59CC" w:rsidRDefault="002B3126" w:rsidP="00CD59CC">
      <w:pPr>
        <w:rPr>
          <w:rFonts w:ascii="Arial" w:hAnsi="Arial" w:cs="Arial"/>
        </w:rPr>
      </w:pPr>
      <w:r w:rsidRPr="00CD59CC">
        <w:rPr>
          <w:rFonts w:ascii="Arial" w:hAnsi="Arial" w:cs="Arial"/>
        </w:rPr>
        <w:t xml:space="preserve">Under Article 45/A Paragraph (2) of Act CLV of 1997 on Consumer Protection (hereafter: Consumer Protection Act), the consumer protection authority shall monitor that provisions related to the requirement of equal treatment are respected in the course of access to goods and services, and in the event that a breach is found, the authority shall conduct proceedings. Under Article 47, if the authority establishes the breach of the provisions guaranteeing consumers’ rights (including the requirement of non-discrimination), it may apply a number of sanctions, including a fine, the maximum amount of which is determined by the annual revenue of the service provider concerned. </w:t>
      </w:r>
    </w:p>
    <w:p w14:paraId="2962718B" w14:textId="77777777" w:rsidR="002B3126" w:rsidRPr="00CD59CC" w:rsidRDefault="002B3126" w:rsidP="00CD59CC">
      <w:pPr>
        <w:rPr>
          <w:rFonts w:ascii="Arial" w:hAnsi="Arial" w:cs="Arial"/>
          <w:i/>
        </w:rPr>
      </w:pPr>
      <w:r w:rsidRPr="00CD59CC">
        <w:rPr>
          <w:rFonts w:ascii="Arial" w:hAnsi="Arial" w:cs="Arial"/>
          <w:i/>
        </w:rPr>
        <w:lastRenderedPageBreak/>
        <w:t>Education</w:t>
      </w:r>
    </w:p>
    <w:p w14:paraId="40AAB677" w14:textId="77777777" w:rsidR="002B3126" w:rsidRPr="00CD59CC" w:rsidRDefault="002B3126" w:rsidP="00CD59CC">
      <w:pPr>
        <w:rPr>
          <w:rFonts w:ascii="Arial" w:hAnsi="Arial" w:cs="Arial"/>
          <w:i/>
        </w:rPr>
      </w:pPr>
    </w:p>
    <w:p w14:paraId="7026CC51" w14:textId="77777777" w:rsidR="002B3126" w:rsidRDefault="002B3126" w:rsidP="00CD59CC">
      <w:pPr>
        <w:rPr>
          <w:rFonts w:ascii="Arial" w:hAnsi="Arial" w:cs="Arial"/>
        </w:rPr>
      </w:pPr>
      <w:r w:rsidRPr="00CD59CC">
        <w:rPr>
          <w:rFonts w:ascii="Arial" w:hAnsi="Arial" w:cs="Arial"/>
        </w:rPr>
        <w:t>In terms of Article 79 of the National Public Education Act, the lawful operation of educational institutions is supervised by the so-called Government Offices seated in each county and the capital. In the office finds a violation, it may impose the following sanctions:</w:t>
      </w:r>
    </w:p>
    <w:p w14:paraId="1B793E82" w14:textId="437297A9" w:rsidR="00791157" w:rsidRPr="00CD59CC" w:rsidRDefault="00791157" w:rsidP="00CD59CC">
      <w:pPr>
        <w:rPr>
          <w:rFonts w:ascii="Arial" w:hAnsi="Arial" w:cs="Arial"/>
        </w:rPr>
      </w:pPr>
    </w:p>
    <w:p w14:paraId="155FB71A" w14:textId="77777777" w:rsidR="002B3126" w:rsidRPr="00CD59CC" w:rsidRDefault="002B3126" w:rsidP="00BB4E9F">
      <w:pPr>
        <w:numPr>
          <w:ilvl w:val="2"/>
          <w:numId w:val="77"/>
        </w:numPr>
        <w:ind w:left="567" w:hanging="567"/>
        <w:rPr>
          <w:rFonts w:ascii="Arial" w:hAnsi="Arial" w:cs="Arial"/>
        </w:rPr>
      </w:pPr>
      <w:r w:rsidRPr="00CD59CC">
        <w:rPr>
          <w:rFonts w:ascii="Arial" w:hAnsi="Arial" w:cs="Arial"/>
        </w:rPr>
        <w:t>it calls on the head of the educational institution to terminate the violation and notifies the institution’s maintainer;</w:t>
      </w:r>
    </w:p>
    <w:p w14:paraId="14002AED" w14:textId="1E311293" w:rsidR="002B3126" w:rsidRPr="00CD59CC" w:rsidRDefault="002B3126" w:rsidP="00BB4E9F">
      <w:pPr>
        <w:numPr>
          <w:ilvl w:val="2"/>
          <w:numId w:val="77"/>
        </w:numPr>
        <w:ind w:left="567" w:hanging="567"/>
        <w:rPr>
          <w:rFonts w:ascii="Arial" w:hAnsi="Arial" w:cs="Arial"/>
        </w:rPr>
      </w:pPr>
      <w:r w:rsidRPr="00CD59CC">
        <w:rPr>
          <w:rFonts w:ascii="Arial" w:hAnsi="Arial" w:cs="Arial"/>
        </w:rPr>
        <w:t>if the educational institution is not maintained by the state or a municipality, it may initiate that the body paying financial support to the institution review or suspend the support; or even that the concerned pupils be transferred to another institution;</w:t>
      </w:r>
    </w:p>
    <w:p w14:paraId="657B8EB4" w14:textId="5BA2659F" w:rsidR="002B3126" w:rsidRPr="00CD59CC" w:rsidRDefault="002B3126" w:rsidP="00BB4E9F">
      <w:pPr>
        <w:numPr>
          <w:ilvl w:val="2"/>
          <w:numId w:val="77"/>
        </w:numPr>
        <w:ind w:left="567" w:hanging="567"/>
        <w:rPr>
          <w:rFonts w:ascii="Arial" w:hAnsi="Arial" w:cs="Arial"/>
        </w:rPr>
      </w:pPr>
      <w:r w:rsidRPr="00CD59CC">
        <w:rPr>
          <w:rFonts w:ascii="Arial" w:hAnsi="Arial" w:cs="Arial"/>
        </w:rPr>
        <w:t>it may impose a fine up to HUF 1 million (EUR 3,330);</w:t>
      </w:r>
    </w:p>
    <w:p w14:paraId="501E699B" w14:textId="002164E6" w:rsidR="002B3126" w:rsidRPr="00CD59CC" w:rsidRDefault="002B3126" w:rsidP="00BB4E9F">
      <w:pPr>
        <w:numPr>
          <w:ilvl w:val="2"/>
          <w:numId w:val="77"/>
        </w:numPr>
        <w:ind w:left="567" w:hanging="567"/>
        <w:rPr>
          <w:rFonts w:ascii="Arial" w:hAnsi="Arial" w:cs="Arial"/>
        </w:rPr>
      </w:pPr>
      <w:r w:rsidRPr="00CD59CC">
        <w:rPr>
          <w:rFonts w:ascii="Arial" w:hAnsi="Arial" w:cs="Arial"/>
        </w:rPr>
        <w:t>it may initiate that the court establish the nullity of a decision delivered by the institution.</w:t>
      </w:r>
    </w:p>
    <w:p w14:paraId="39C62D76" w14:textId="77777777" w:rsidR="002B3126" w:rsidRPr="00CD59CC" w:rsidRDefault="002B3126" w:rsidP="00CD59CC">
      <w:pPr>
        <w:rPr>
          <w:rFonts w:ascii="Arial" w:hAnsi="Arial" w:cs="Arial"/>
        </w:rPr>
      </w:pPr>
    </w:p>
    <w:p w14:paraId="02CACCA8" w14:textId="77777777" w:rsidR="002B3126" w:rsidRPr="00CD59CC" w:rsidRDefault="002B3126" w:rsidP="00CD59CC">
      <w:pPr>
        <w:rPr>
          <w:rFonts w:ascii="Arial" w:hAnsi="Arial" w:cs="Arial"/>
        </w:rPr>
      </w:pPr>
      <w:r w:rsidRPr="00CD59CC">
        <w:rPr>
          <w:rFonts w:ascii="Arial" w:hAnsi="Arial" w:cs="Arial"/>
        </w:rPr>
        <w:t xml:space="preserve">With regard to discrimination, a special sanction is also available. Under paragraph (6) of Article 79, if the Government Office establishes that the educational institution has violated the requirement of equal treatment in the course of the admission or the transfer of a pupil, upon the request of the concerned parent, it can declare that the given pupil is admitted or transferred to that particular educational institution (provided that less than 150 days have passed from the parent’s request), and launches a petty offence proceeding against the head of the educational institution. Following such a decision, the Government Office monitors as needed but at least once every academic year whether the educational institution respects the requirement of equal treatment. </w:t>
      </w:r>
    </w:p>
    <w:p w14:paraId="3919F2C4" w14:textId="77777777" w:rsidR="002B3126" w:rsidRPr="00CD59CC" w:rsidRDefault="002B3126" w:rsidP="00CD59CC">
      <w:pPr>
        <w:rPr>
          <w:rFonts w:ascii="Arial" w:hAnsi="Arial" w:cs="Arial"/>
        </w:rPr>
      </w:pPr>
    </w:p>
    <w:p w14:paraId="338329B7" w14:textId="77777777" w:rsidR="002B3126" w:rsidRPr="00CD59CC" w:rsidRDefault="002B3126" w:rsidP="00CD59CC">
      <w:pPr>
        <w:rPr>
          <w:rFonts w:ascii="Arial" w:hAnsi="Arial" w:cs="Arial"/>
          <w:i/>
        </w:rPr>
      </w:pPr>
      <w:r w:rsidRPr="00CD59CC">
        <w:rPr>
          <w:rFonts w:ascii="Arial" w:hAnsi="Arial" w:cs="Arial"/>
          <w:i/>
        </w:rPr>
        <w:t>Distribution of powers</w:t>
      </w:r>
    </w:p>
    <w:p w14:paraId="49E41A29" w14:textId="77777777" w:rsidR="002B3126" w:rsidRPr="00CD59CC" w:rsidRDefault="002B3126" w:rsidP="00CD59CC">
      <w:pPr>
        <w:rPr>
          <w:rFonts w:ascii="Arial" w:hAnsi="Arial" w:cs="Arial"/>
          <w:i/>
        </w:rPr>
      </w:pPr>
    </w:p>
    <w:p w14:paraId="4ECC7813" w14:textId="77777777" w:rsidR="002B3126" w:rsidRPr="00CD59CC" w:rsidRDefault="002B3126" w:rsidP="00CD59CC">
      <w:pPr>
        <w:widowControl w:val="0"/>
        <w:rPr>
          <w:rFonts w:ascii="Arial" w:hAnsi="Arial" w:cs="Arial"/>
        </w:rPr>
      </w:pPr>
      <w:r w:rsidRPr="00CD59CC">
        <w:rPr>
          <w:rFonts w:ascii="Arial" w:hAnsi="Arial" w:cs="Arial"/>
        </w:rPr>
        <w:t xml:space="preserve">If a service provider discriminates against a customer, both the Authority and the consumer protection authority has competence to examine the case and impose sanctions on the discriminator. It was therefore necessary to devise a system for distributing the cases. The key principle is that it is up to the victim to decide which authority he/she wishes to turn to: </w:t>
      </w:r>
    </w:p>
    <w:p w14:paraId="1527614C" w14:textId="77777777" w:rsidR="002B3126" w:rsidRPr="00CD59CC" w:rsidRDefault="002B3126" w:rsidP="00CD59CC">
      <w:pPr>
        <w:widowControl w:val="0"/>
        <w:rPr>
          <w:rFonts w:ascii="Arial" w:hAnsi="Arial" w:cs="Arial"/>
        </w:rPr>
      </w:pPr>
    </w:p>
    <w:p w14:paraId="22CC65C5" w14:textId="58E0449B" w:rsidR="002B3126" w:rsidRPr="00CD59CC" w:rsidRDefault="002B3126" w:rsidP="00CD59CC">
      <w:pPr>
        <w:widowControl w:val="0"/>
        <w:rPr>
          <w:rFonts w:ascii="Arial" w:hAnsi="Arial" w:cs="Arial"/>
        </w:rPr>
      </w:pPr>
      <w:r w:rsidRPr="00CD59CC">
        <w:rPr>
          <w:rFonts w:ascii="Arial" w:hAnsi="Arial" w:cs="Arial"/>
        </w:rPr>
        <w:t xml:space="preserve">Under Article </w:t>
      </w:r>
      <w:r w:rsidR="00792000" w:rsidRPr="00CD59CC">
        <w:rPr>
          <w:rFonts w:ascii="Arial" w:hAnsi="Arial" w:cs="Arial"/>
        </w:rPr>
        <w:t>15 of the ETA</w:t>
      </w:r>
      <w:r w:rsidRPr="00CD59CC">
        <w:rPr>
          <w:rFonts w:ascii="Arial" w:hAnsi="Arial" w:cs="Arial"/>
        </w:rPr>
        <w:t xml:space="preserve">, a violation of the principle of equal treatment within the scope of the ETA shall be investigated by a) the Authority or b) another public administrative body that has been granted authority in a separate act for assessing violations of the principle of equal treatment, as chosen by the offended party. </w:t>
      </w:r>
    </w:p>
    <w:p w14:paraId="16690325" w14:textId="77777777" w:rsidR="00792000" w:rsidRPr="00CD59CC" w:rsidRDefault="00792000" w:rsidP="00CD59CC">
      <w:pPr>
        <w:widowControl w:val="0"/>
        <w:rPr>
          <w:rFonts w:ascii="Arial" w:hAnsi="Arial" w:cs="Arial"/>
        </w:rPr>
      </w:pPr>
    </w:p>
    <w:p w14:paraId="55AA6E58" w14:textId="67D11296" w:rsidR="002B3126" w:rsidRPr="00CD59CC" w:rsidRDefault="00792000" w:rsidP="00CD59CC">
      <w:pPr>
        <w:widowControl w:val="0"/>
        <w:rPr>
          <w:rFonts w:ascii="Arial" w:hAnsi="Arial" w:cs="Arial"/>
        </w:rPr>
      </w:pPr>
      <w:r w:rsidRPr="00CD59CC">
        <w:rPr>
          <w:rFonts w:ascii="Arial" w:hAnsi="Arial" w:cs="Arial"/>
        </w:rPr>
        <w:t>Also i</w:t>
      </w:r>
      <w:r w:rsidR="002B3126" w:rsidRPr="00CD59CC">
        <w:rPr>
          <w:rFonts w:ascii="Arial" w:hAnsi="Arial" w:cs="Arial"/>
        </w:rPr>
        <w:t xml:space="preserve">n terms of </w:t>
      </w:r>
      <w:r w:rsidRPr="00CD59CC">
        <w:rPr>
          <w:rFonts w:ascii="Arial" w:hAnsi="Arial" w:cs="Arial"/>
        </w:rPr>
        <w:t>Article 15</w:t>
      </w:r>
      <w:r w:rsidR="002B3126" w:rsidRPr="00CD59CC">
        <w:rPr>
          <w:rFonts w:ascii="Arial" w:hAnsi="Arial" w:cs="Arial"/>
        </w:rPr>
        <w:t xml:space="preserve">, in order to avoid double procedures, the Authority shall inform other organs, and other organs shall inform the Authority about the initiation of a procedure into a case of discrimination, as well as the procedure’s outcome, or about the outcome of the subsequent judicial review, if there is one. Furthermore, if a procedure has been initiated before any public administrative body into a case of </w:t>
      </w:r>
      <w:r w:rsidR="002B3126" w:rsidRPr="00CD59CC">
        <w:rPr>
          <w:rFonts w:ascii="Arial" w:hAnsi="Arial" w:cs="Arial"/>
        </w:rPr>
        <w:lastRenderedPageBreak/>
        <w:t xml:space="preserve">discrimination, the other public administrative bodies a) may not proceed in the same case with regard to the same persons, and b) shall suspend their procedure initiated in the same case with regard to any other person until a binding decisions is made in the matter. If the case has been judged by any public administrative body, then other public administrative bodies a) may not proceed in the same case with regard to the same persons, and b) shall proceed with regard to other persons on the basis of the facts as established in the binding decision of the former public administrative body. </w:t>
      </w:r>
    </w:p>
    <w:p w14:paraId="0657FFE3" w14:textId="77777777" w:rsidR="002B3126" w:rsidRPr="00CD59CC" w:rsidRDefault="002B3126" w:rsidP="00CD59CC">
      <w:pPr>
        <w:widowControl w:val="0"/>
        <w:rPr>
          <w:rFonts w:ascii="Arial" w:hAnsi="Arial" w:cs="Arial"/>
        </w:rPr>
      </w:pPr>
    </w:p>
    <w:p w14:paraId="790059BD" w14:textId="77777777" w:rsidR="002B3126" w:rsidRPr="00CD59CC" w:rsidRDefault="002B3126" w:rsidP="00CD59CC">
      <w:pPr>
        <w:widowControl w:val="0"/>
        <w:rPr>
          <w:rFonts w:ascii="Arial" w:hAnsi="Arial" w:cs="Arial"/>
        </w:rPr>
      </w:pPr>
      <w:r w:rsidRPr="00CD59CC">
        <w:rPr>
          <w:rFonts w:ascii="Arial" w:hAnsi="Arial" w:cs="Arial"/>
        </w:rPr>
        <w:t xml:space="preserve">This means the following. If for example a group of Roma people are denied access to a pub, the members of the group can decide whether they turn to the Authority or the consumer protection. If one of them turns to the Authority, it shall notify the consumer protection, as the case falls into the consumer protection’s authority as well. If then another member of the group files a complaint with the consumer protection, this organ may not proceed with regard to the first complainant, and shall suspend its procedure with regard to the second one. Once the Authority has made a decision on the case, the consumer protection may continue its procedure, but it has to base its decision on the facts established by the Authority. </w:t>
      </w:r>
    </w:p>
    <w:p w14:paraId="1D7FA34B" w14:textId="77777777" w:rsidR="002B3126" w:rsidRPr="00CD59CC" w:rsidRDefault="002B3126" w:rsidP="00CD59CC">
      <w:pPr>
        <w:widowControl w:val="0"/>
        <w:rPr>
          <w:rFonts w:ascii="Arial" w:hAnsi="Arial" w:cs="Arial"/>
        </w:rPr>
      </w:pPr>
    </w:p>
    <w:p w14:paraId="44A842FF" w14:textId="5AC300B9" w:rsidR="002B3126" w:rsidRPr="00CD59CC" w:rsidRDefault="002B3126" w:rsidP="00CD59CC">
      <w:pPr>
        <w:widowControl w:val="0"/>
        <w:rPr>
          <w:rFonts w:ascii="Arial" w:hAnsi="Arial" w:cs="Arial"/>
        </w:rPr>
      </w:pPr>
      <w:r w:rsidRPr="00CD59CC">
        <w:rPr>
          <w:rFonts w:ascii="Arial" w:hAnsi="Arial" w:cs="Arial"/>
        </w:rPr>
        <w:t xml:space="preserve">The Authority has some degree of dominance though, as under Article </w:t>
      </w:r>
      <w:r w:rsidR="00792000" w:rsidRPr="00CD59CC">
        <w:rPr>
          <w:rFonts w:ascii="Arial" w:hAnsi="Arial" w:cs="Arial"/>
        </w:rPr>
        <w:t>15</w:t>
      </w:r>
      <w:r w:rsidRPr="00CD59CC">
        <w:rPr>
          <w:rFonts w:ascii="Arial" w:hAnsi="Arial" w:cs="Arial"/>
        </w:rPr>
        <w:t xml:space="preserve"> Paragraph (6), the Authority may participate as an interpleader in the judicial review of a public administrative decision brought by another public administrative body concerning the principle of equal treatment. </w:t>
      </w:r>
    </w:p>
    <w:p w14:paraId="061F06CF" w14:textId="77777777" w:rsidR="002B3126" w:rsidRPr="00CD59CC" w:rsidRDefault="002B3126" w:rsidP="00CD59CC">
      <w:pPr>
        <w:widowControl w:val="0"/>
        <w:rPr>
          <w:rFonts w:ascii="Arial" w:hAnsi="Arial" w:cs="Arial"/>
        </w:rPr>
      </w:pPr>
    </w:p>
    <w:p w14:paraId="6F54E254" w14:textId="39A4BA6D" w:rsidR="002B3126" w:rsidRPr="00CD59CC" w:rsidRDefault="002B3126" w:rsidP="00CD59CC">
      <w:pPr>
        <w:widowControl w:val="0"/>
        <w:rPr>
          <w:rFonts w:ascii="Arial" w:hAnsi="Arial" w:cs="Arial"/>
        </w:rPr>
      </w:pPr>
      <w:r w:rsidRPr="00CD59CC">
        <w:rPr>
          <w:rFonts w:ascii="Arial" w:hAnsi="Arial" w:cs="Arial"/>
        </w:rPr>
        <w:t xml:space="preserve">No parallel proceeding of the Authority and a court (civil or labour) is possible. In terms of Article </w:t>
      </w:r>
      <w:r w:rsidR="003B1309" w:rsidRPr="00CD59CC">
        <w:rPr>
          <w:rFonts w:ascii="Arial" w:hAnsi="Arial" w:cs="Arial"/>
        </w:rPr>
        <w:t>15/B of the ETA</w:t>
      </w:r>
      <w:r w:rsidRPr="00CD59CC">
        <w:rPr>
          <w:rFonts w:ascii="Arial" w:hAnsi="Arial" w:cs="Arial"/>
        </w:rPr>
        <w:t xml:space="preserve">, if the victim of discrimination also files a lawsuit with the court, the Authority shall suspend its procedure until the case is adjudicated, and notifies the court about the suspending decision. When the court case is closed, the court notifies the Authority about its decision. The Authority then can proceed but is shall do so on the basis of the facts of the case as established by the court. If the case has been judged by the court before the victim turns to the Authority, the Authority a) may not proceed in the same case with regard to the same persons, and b) shall proceed with regard to other persons on the basis of the facts as established in the binding decision of the court. </w:t>
      </w:r>
    </w:p>
    <w:p w14:paraId="267B9406" w14:textId="77777777" w:rsidR="002B3126" w:rsidRPr="00CD59CC" w:rsidRDefault="002B3126" w:rsidP="00CD59CC">
      <w:pPr>
        <w:widowControl w:val="0"/>
        <w:rPr>
          <w:rFonts w:ascii="Arial" w:hAnsi="Arial" w:cs="Arial"/>
        </w:rPr>
      </w:pPr>
    </w:p>
    <w:p w14:paraId="6DEA660B" w14:textId="77777777" w:rsidR="002B3126" w:rsidRPr="00CD59CC" w:rsidRDefault="002B3126" w:rsidP="00CD59CC">
      <w:pPr>
        <w:widowControl w:val="0"/>
        <w:rPr>
          <w:rFonts w:ascii="Arial" w:hAnsi="Arial" w:cs="Arial"/>
          <w:u w:val="single"/>
        </w:rPr>
      </w:pPr>
      <w:r w:rsidRPr="00CD59CC">
        <w:rPr>
          <w:rFonts w:ascii="Arial" w:hAnsi="Arial" w:cs="Arial"/>
          <w:u w:val="single"/>
        </w:rPr>
        <w:t>Petty offence proceedings</w:t>
      </w:r>
    </w:p>
    <w:p w14:paraId="5459B938" w14:textId="77777777" w:rsidR="002B3126" w:rsidRPr="00CD59CC" w:rsidRDefault="002B3126" w:rsidP="00CD59CC">
      <w:pPr>
        <w:widowControl w:val="0"/>
        <w:rPr>
          <w:rFonts w:ascii="Arial" w:hAnsi="Arial" w:cs="Arial"/>
        </w:rPr>
      </w:pPr>
    </w:p>
    <w:p w14:paraId="112371B0" w14:textId="77777777" w:rsidR="002B3126" w:rsidRPr="00CD59CC" w:rsidRDefault="002B3126" w:rsidP="00CD59CC">
      <w:pPr>
        <w:widowControl w:val="0"/>
        <w:rPr>
          <w:rFonts w:ascii="Arial" w:hAnsi="Arial" w:cs="Arial"/>
        </w:rPr>
      </w:pPr>
      <w:r w:rsidRPr="00CD59CC">
        <w:rPr>
          <w:rFonts w:ascii="Arial" w:hAnsi="Arial" w:cs="Arial"/>
        </w:rPr>
        <w:t xml:space="preserve">Petty offence proceedings in the Hungarian legal system are quasi criminal proceedings devised for small scale violations. Their procedural rules are set out in Act II of 2012 on Petty Offences, the Petty Offence Procedure and the Petty Offence database (Petty Offences Act). </w:t>
      </w:r>
    </w:p>
    <w:p w14:paraId="17CD2656" w14:textId="77777777" w:rsidR="002B3126" w:rsidRPr="00CD59CC" w:rsidRDefault="002B3126" w:rsidP="00CD59CC">
      <w:pPr>
        <w:widowControl w:val="0"/>
        <w:rPr>
          <w:rFonts w:ascii="Arial" w:hAnsi="Arial" w:cs="Arial"/>
        </w:rPr>
      </w:pPr>
    </w:p>
    <w:p w14:paraId="344469F7" w14:textId="77777777" w:rsidR="002B3126" w:rsidRPr="00CD59CC" w:rsidRDefault="002B3126" w:rsidP="00CD59CC">
      <w:pPr>
        <w:rPr>
          <w:rFonts w:ascii="Arial" w:hAnsi="Arial" w:cs="Arial"/>
        </w:rPr>
      </w:pPr>
      <w:r w:rsidRPr="00CD59CC">
        <w:rPr>
          <w:rFonts w:ascii="Arial" w:hAnsi="Arial" w:cs="Arial"/>
        </w:rPr>
        <w:t xml:space="preserve">Petty offences are decided upon by the general petty offence authority (the local branches of the Government Offices) or a specialised authority. The decision is subject to judicial review either on the basis of the case file or a hearing (depending .on the request of the sanctioned person). The judicial decision may not be further appealed. </w:t>
      </w:r>
    </w:p>
    <w:p w14:paraId="426C6DB0" w14:textId="77777777" w:rsidR="002B3126" w:rsidRPr="00CD59CC" w:rsidRDefault="002B3126" w:rsidP="00CD59CC">
      <w:pPr>
        <w:rPr>
          <w:rFonts w:ascii="Arial" w:hAnsi="Arial" w:cs="Arial"/>
        </w:rPr>
      </w:pPr>
      <w:r w:rsidRPr="00CD59CC">
        <w:rPr>
          <w:rFonts w:ascii="Arial" w:hAnsi="Arial" w:cs="Arial"/>
        </w:rPr>
        <w:lastRenderedPageBreak/>
        <w:t xml:space="preserve">Discrimination in education qualifies as a petty offence. Under Article 248 Paragraph (5) of the Petty Offences Act, the person who, by deliberately violating legal provisions relating to public education discriminates against a child or student is punishable with a fine up to HUF 150,000 (EUR 500). The proceeding shall be conducted by the Government Offices seated in Budapest and the counties. </w:t>
      </w:r>
    </w:p>
    <w:p w14:paraId="54B8E163" w14:textId="77777777" w:rsidR="002B3126" w:rsidRPr="00CD59CC" w:rsidRDefault="002B3126" w:rsidP="00CD59CC">
      <w:pPr>
        <w:rPr>
          <w:rFonts w:ascii="Arial" w:hAnsi="Arial" w:cs="Arial"/>
        </w:rPr>
      </w:pPr>
    </w:p>
    <w:p w14:paraId="53AB74BF" w14:textId="77777777" w:rsidR="002B3126" w:rsidRPr="00CD59CC" w:rsidRDefault="002B3126" w:rsidP="00CD59CC">
      <w:pPr>
        <w:rPr>
          <w:rFonts w:ascii="Arial" w:hAnsi="Arial" w:cs="Arial"/>
        </w:rPr>
      </w:pPr>
      <w:r w:rsidRPr="00CD59CC">
        <w:rPr>
          <w:rFonts w:ascii="Arial" w:hAnsi="Arial" w:cs="Arial"/>
        </w:rPr>
        <w:t xml:space="preserve">It has to be noted that under Article 19 Paragraph (3) of the ETA, the shifted burden of proof does not apply to these proceedings. No costs on the part of the aggrieved party emerge in such proceedings. </w:t>
      </w:r>
    </w:p>
    <w:p w14:paraId="73AA9ECC" w14:textId="77777777" w:rsidR="002B3126" w:rsidRPr="00CD59CC" w:rsidRDefault="002B3126" w:rsidP="00CD59CC">
      <w:pPr>
        <w:rPr>
          <w:rFonts w:ascii="Arial" w:hAnsi="Arial" w:cs="Arial"/>
          <w:i/>
        </w:rPr>
      </w:pPr>
    </w:p>
    <w:p w14:paraId="739AE906" w14:textId="77777777" w:rsidR="002B3126" w:rsidRPr="00CD59CC" w:rsidRDefault="002B3126" w:rsidP="00CD59CC">
      <w:pPr>
        <w:rPr>
          <w:rFonts w:ascii="Arial" w:hAnsi="Arial" w:cs="Arial"/>
          <w:u w:val="single"/>
        </w:rPr>
      </w:pPr>
      <w:r w:rsidRPr="00CD59CC">
        <w:rPr>
          <w:rFonts w:ascii="Arial" w:hAnsi="Arial" w:cs="Arial"/>
          <w:u w:val="single"/>
        </w:rPr>
        <w:t>Conciliation procedures</w:t>
      </w:r>
    </w:p>
    <w:p w14:paraId="18EA8132" w14:textId="77777777" w:rsidR="002B3126" w:rsidRPr="00CD59CC" w:rsidRDefault="002B3126" w:rsidP="00CD59CC">
      <w:pPr>
        <w:rPr>
          <w:rFonts w:ascii="Arial" w:hAnsi="Arial" w:cs="Arial"/>
        </w:rPr>
      </w:pPr>
    </w:p>
    <w:p w14:paraId="776B11EF" w14:textId="77777777" w:rsidR="002B3126" w:rsidRPr="00CD59CC" w:rsidRDefault="002B3126" w:rsidP="00CD59CC">
      <w:pPr>
        <w:rPr>
          <w:rFonts w:ascii="Arial" w:hAnsi="Arial" w:cs="Arial"/>
          <w:i/>
        </w:rPr>
      </w:pPr>
      <w:r w:rsidRPr="00CD59CC">
        <w:rPr>
          <w:rFonts w:ascii="Arial" w:hAnsi="Arial" w:cs="Arial"/>
          <w:i/>
        </w:rPr>
        <w:t>General mediation procedure</w:t>
      </w:r>
    </w:p>
    <w:p w14:paraId="619BF58F" w14:textId="77777777" w:rsidR="002B3126" w:rsidRPr="00CD59CC" w:rsidRDefault="002B3126" w:rsidP="00CD59CC">
      <w:pPr>
        <w:rPr>
          <w:rFonts w:ascii="Arial" w:hAnsi="Arial" w:cs="Arial"/>
          <w:i/>
        </w:rPr>
      </w:pPr>
    </w:p>
    <w:p w14:paraId="372852FB" w14:textId="77777777" w:rsidR="002B3126" w:rsidRPr="00CD59CC" w:rsidRDefault="002B3126" w:rsidP="00CD59CC">
      <w:pPr>
        <w:rPr>
          <w:rFonts w:ascii="Arial" w:hAnsi="Arial" w:cs="Arial"/>
        </w:rPr>
      </w:pPr>
      <w:r w:rsidRPr="00CD59CC">
        <w:rPr>
          <w:rFonts w:ascii="Arial" w:hAnsi="Arial" w:cs="Arial"/>
        </w:rPr>
        <w:t xml:space="preserve">Act LV of 2002 on Mediation (hereinafter: Mediation Act) entered into force on 17 March 2003. Under Article 1 of the Act, its aim is to facilitate the settling of civil law disputes emerging in connection with the personal and property rights of private and other persons in cases where the parties’ right of determination is not limited by law. As no such limitation exists in relation to Article 76 of the Civil Code on the ban on discrimination, victims of discriminatory acts are entitled to resort to the mediation procedure, once the statute enters into force. </w:t>
      </w:r>
    </w:p>
    <w:p w14:paraId="21042D78" w14:textId="77777777" w:rsidR="002B3126" w:rsidRPr="00CD59CC" w:rsidRDefault="002B3126" w:rsidP="00CD59CC">
      <w:pPr>
        <w:rPr>
          <w:rFonts w:ascii="Arial" w:hAnsi="Arial" w:cs="Arial"/>
        </w:rPr>
      </w:pPr>
    </w:p>
    <w:p w14:paraId="3851169B" w14:textId="77777777" w:rsidR="002B3126" w:rsidRPr="00CD59CC" w:rsidRDefault="002B3126" w:rsidP="00CD59CC">
      <w:pPr>
        <w:rPr>
          <w:rFonts w:ascii="Arial" w:hAnsi="Arial" w:cs="Arial"/>
        </w:rPr>
      </w:pPr>
      <w:r w:rsidRPr="00CD59CC">
        <w:rPr>
          <w:rFonts w:ascii="Arial" w:hAnsi="Arial" w:cs="Arial"/>
        </w:rPr>
        <w:t xml:space="preserve">Under Article 36, the agreement reached in a mediation procedure does not prevent the parties from asserting their claim in a court procedure. However, in these cases plaintiffs are liable to pay all costs. </w:t>
      </w:r>
    </w:p>
    <w:p w14:paraId="19DD1320" w14:textId="77777777" w:rsidR="002B3126" w:rsidRPr="00CD59CC" w:rsidRDefault="002B3126" w:rsidP="00CD59CC">
      <w:pPr>
        <w:rPr>
          <w:rFonts w:ascii="Arial" w:hAnsi="Arial" w:cs="Arial"/>
        </w:rPr>
      </w:pPr>
    </w:p>
    <w:p w14:paraId="51336BCB" w14:textId="77777777" w:rsidR="002B3126" w:rsidRPr="00CD59CC" w:rsidRDefault="002B3126" w:rsidP="00CD59CC">
      <w:pPr>
        <w:rPr>
          <w:rFonts w:ascii="Arial" w:hAnsi="Arial" w:cs="Arial"/>
          <w:i/>
        </w:rPr>
      </w:pPr>
      <w:r w:rsidRPr="00CD59CC">
        <w:rPr>
          <w:rFonts w:ascii="Arial" w:hAnsi="Arial" w:cs="Arial"/>
          <w:i/>
        </w:rPr>
        <w:t>Mediation by the Equal Treatment Authority</w:t>
      </w:r>
    </w:p>
    <w:p w14:paraId="3CBB3B4A" w14:textId="77777777" w:rsidR="002B3126" w:rsidRPr="00CD59CC" w:rsidRDefault="002B3126" w:rsidP="00CD59CC">
      <w:pPr>
        <w:rPr>
          <w:rFonts w:ascii="Arial" w:hAnsi="Arial" w:cs="Arial"/>
          <w:i/>
        </w:rPr>
      </w:pPr>
    </w:p>
    <w:p w14:paraId="75DE58FA" w14:textId="7F90C854" w:rsidR="002B3126" w:rsidRPr="00CD59CC" w:rsidRDefault="002B3126" w:rsidP="00CD59CC">
      <w:pPr>
        <w:rPr>
          <w:rFonts w:ascii="Arial" w:hAnsi="Arial" w:cs="Arial"/>
        </w:rPr>
      </w:pPr>
      <w:r w:rsidRPr="00CD59CC">
        <w:rPr>
          <w:rFonts w:ascii="Arial" w:hAnsi="Arial" w:cs="Arial"/>
        </w:rPr>
        <w:t>Under Article 64 of the GPSA, public administrative authorities are authorised to try to resolve the conflict through forging an agreement between the parties, if the circumstances of the case seem to allow it. Pursuant to Article 75 of the GPSA, if the parties reach an agreement in the course of the complaints procedure, the proceeding authority includes the agreement in a formal decision.</w:t>
      </w:r>
      <w:r w:rsidR="007B7640" w:rsidRPr="00CD59CC">
        <w:rPr>
          <w:rFonts w:ascii="Arial" w:hAnsi="Arial" w:cs="Arial"/>
        </w:rPr>
        <w:t xml:space="preserve"> </w:t>
      </w:r>
      <w:r w:rsidRPr="00CD59CC">
        <w:rPr>
          <w:rFonts w:ascii="Arial" w:hAnsi="Arial" w:cs="Arial"/>
        </w:rPr>
        <w:t xml:space="preserve">If the attempt to have the parties reach an agreement is not successful, the authority continues its proceeding, and – depending on the result of the investigation – decides on the case. </w:t>
      </w:r>
    </w:p>
    <w:p w14:paraId="6E085984" w14:textId="77777777" w:rsidR="002B3126" w:rsidRPr="00CD59CC" w:rsidRDefault="002B3126" w:rsidP="00CD59CC">
      <w:pPr>
        <w:rPr>
          <w:rFonts w:ascii="Arial" w:hAnsi="Arial" w:cs="Arial"/>
        </w:rPr>
      </w:pPr>
    </w:p>
    <w:p w14:paraId="515F0FF8" w14:textId="27B364BD" w:rsidR="002B3126" w:rsidRPr="00CD59CC" w:rsidRDefault="002B3126" w:rsidP="00CD59CC">
      <w:pPr>
        <w:rPr>
          <w:rFonts w:ascii="Arial" w:hAnsi="Arial" w:cs="Arial"/>
        </w:rPr>
      </w:pPr>
      <w:r w:rsidRPr="00CD59CC">
        <w:rPr>
          <w:rFonts w:ascii="Arial" w:hAnsi="Arial" w:cs="Arial"/>
        </w:rPr>
        <w:t xml:space="preserve">As a public administrative body, the Equal Treatment Authority also has the above authorisations regarding friendly settlements. </w:t>
      </w:r>
      <w:r w:rsidR="003B1309" w:rsidRPr="00CD59CC">
        <w:rPr>
          <w:rFonts w:ascii="Arial" w:hAnsi="Arial" w:cs="Arial"/>
        </w:rPr>
        <w:t>Under Article 16 of the ETA</w:t>
      </w:r>
      <w:r w:rsidRPr="00CD59CC">
        <w:rPr>
          <w:rFonts w:ascii="Arial" w:hAnsi="Arial" w:cs="Arial"/>
        </w:rPr>
        <w:t xml:space="preserve">, the Equal Treatment Authority is obliged to try to forge a friendly settlement among the parties. </w:t>
      </w:r>
    </w:p>
    <w:p w14:paraId="46F4700A" w14:textId="77777777" w:rsidR="002B3126" w:rsidRPr="00CD59CC" w:rsidRDefault="002B3126" w:rsidP="00CD59CC">
      <w:pPr>
        <w:rPr>
          <w:rFonts w:ascii="Arial" w:hAnsi="Arial" w:cs="Arial"/>
        </w:rPr>
      </w:pPr>
    </w:p>
    <w:p w14:paraId="2A7B0C65" w14:textId="77777777" w:rsidR="002B3126" w:rsidRPr="00CD59CC" w:rsidRDefault="002B3126" w:rsidP="00CD59CC">
      <w:pPr>
        <w:rPr>
          <w:rFonts w:ascii="Arial" w:hAnsi="Arial" w:cs="Arial"/>
        </w:rPr>
      </w:pPr>
      <w:r w:rsidRPr="00CD59CC">
        <w:rPr>
          <w:rFonts w:ascii="Arial" w:hAnsi="Arial" w:cs="Arial"/>
        </w:rPr>
        <w:t>Although it is not expressly forbidden by the GPSA, the Authority’s practice does not allow for friendly settlements including a financial compensation for the victim.</w:t>
      </w:r>
      <w:r w:rsidRPr="00CD59CC">
        <w:rPr>
          <w:rStyle w:val="FootnoteReference"/>
          <w:rFonts w:ascii="Arial" w:hAnsi="Arial" w:cs="Arial"/>
        </w:rPr>
        <w:footnoteReference w:id="101"/>
      </w:r>
      <w:r w:rsidRPr="00CD59CC">
        <w:rPr>
          <w:rFonts w:ascii="Arial" w:hAnsi="Arial" w:cs="Arial"/>
        </w:rPr>
        <w:t xml:space="preserve"> </w:t>
      </w:r>
    </w:p>
    <w:p w14:paraId="4D975396" w14:textId="77777777" w:rsidR="003B1309" w:rsidRPr="00CD59CC" w:rsidRDefault="003B1309" w:rsidP="00CD59CC">
      <w:pPr>
        <w:rPr>
          <w:rFonts w:ascii="Arial" w:hAnsi="Arial" w:cs="Arial"/>
          <w:i/>
        </w:rPr>
      </w:pPr>
    </w:p>
    <w:p w14:paraId="497A5B52" w14:textId="77777777" w:rsidR="00DA0744" w:rsidRDefault="00DA0744">
      <w:pPr>
        <w:rPr>
          <w:rFonts w:ascii="Arial" w:hAnsi="Arial" w:cs="Arial"/>
          <w:i/>
        </w:rPr>
      </w:pPr>
      <w:r>
        <w:rPr>
          <w:rFonts w:ascii="Arial" w:hAnsi="Arial" w:cs="Arial"/>
          <w:i/>
        </w:rPr>
        <w:br w:type="page"/>
      </w:r>
    </w:p>
    <w:p w14:paraId="416E739D" w14:textId="326E3880" w:rsidR="002B3126" w:rsidRPr="00CD59CC" w:rsidRDefault="002B3126" w:rsidP="00CD59CC">
      <w:pPr>
        <w:rPr>
          <w:rFonts w:ascii="Arial" w:hAnsi="Arial" w:cs="Arial"/>
          <w:i/>
        </w:rPr>
      </w:pPr>
      <w:r w:rsidRPr="00CD59CC">
        <w:rPr>
          <w:rFonts w:ascii="Arial" w:hAnsi="Arial" w:cs="Arial"/>
          <w:i/>
        </w:rPr>
        <w:lastRenderedPageBreak/>
        <w:t>Education</w:t>
      </w:r>
    </w:p>
    <w:p w14:paraId="45562ADF" w14:textId="77777777" w:rsidR="002B3126" w:rsidRPr="00CD59CC" w:rsidRDefault="002B3126" w:rsidP="00CD59CC">
      <w:pPr>
        <w:rPr>
          <w:rFonts w:ascii="Arial" w:hAnsi="Arial" w:cs="Arial"/>
        </w:rPr>
      </w:pPr>
    </w:p>
    <w:p w14:paraId="15B788E0" w14:textId="77777777" w:rsidR="002B3126" w:rsidRPr="00CD59CC" w:rsidRDefault="002B3126" w:rsidP="00CD59CC">
      <w:pPr>
        <w:rPr>
          <w:rFonts w:ascii="Arial" w:hAnsi="Arial" w:cs="Arial"/>
        </w:rPr>
      </w:pPr>
      <w:r w:rsidRPr="00CD59CC">
        <w:rPr>
          <w:rFonts w:ascii="Arial" w:hAnsi="Arial" w:cs="Arial"/>
        </w:rPr>
        <w:t xml:space="preserve">Decree 40/1999 of the Minister of Education established the Commissioner for Educational Rights. Under Article 1 of the Decree, the Office of the Commissioner for Educational Rights is an independent, internal organisational unit of the Ministry of Education that promotes citizens’ rights concerning education. The Decree establishes a special conciliation procedure. </w:t>
      </w:r>
    </w:p>
    <w:p w14:paraId="3D0AC760" w14:textId="77777777" w:rsidR="002B3126" w:rsidRPr="00CD59CC" w:rsidRDefault="002B3126" w:rsidP="00CD59CC">
      <w:pPr>
        <w:rPr>
          <w:rFonts w:ascii="Arial" w:hAnsi="Arial" w:cs="Arial"/>
        </w:rPr>
      </w:pPr>
    </w:p>
    <w:p w14:paraId="618F8B16" w14:textId="77777777" w:rsidR="002B3126" w:rsidRPr="00CD59CC" w:rsidRDefault="002B3126" w:rsidP="00CD59CC">
      <w:pPr>
        <w:rPr>
          <w:rFonts w:ascii="Arial" w:hAnsi="Arial" w:cs="Arial"/>
        </w:rPr>
      </w:pPr>
      <w:r w:rsidRPr="00CD59CC">
        <w:rPr>
          <w:rFonts w:ascii="Arial" w:hAnsi="Arial" w:cs="Arial"/>
        </w:rPr>
        <w:t xml:space="preserve">Parents, students, teacher etc. have the right to complain, provided that all available administrative remedies are exhausted and less than a year has elapsed since the measures complained of (Article 5). Complaints relating to Articles 70/F and 70/G of the Old Constitution (right to education, right to the freedom of teaching), public education, higher education and vocational education and training can be brought to the Commissioner (Article 3). The explicit inclusion of Article 70/A of the Constitution in the scope would be highly advisable. </w:t>
      </w:r>
    </w:p>
    <w:p w14:paraId="5AD7A355" w14:textId="77777777" w:rsidR="002B3126" w:rsidRPr="00CD59CC" w:rsidRDefault="002B3126" w:rsidP="00CD59CC">
      <w:pPr>
        <w:rPr>
          <w:rFonts w:ascii="Arial" w:hAnsi="Arial" w:cs="Arial"/>
        </w:rPr>
      </w:pPr>
    </w:p>
    <w:p w14:paraId="1DA1D3A4" w14:textId="77777777" w:rsidR="002B3126" w:rsidRPr="00CD59CC" w:rsidRDefault="002B3126" w:rsidP="00CD59CC">
      <w:pPr>
        <w:rPr>
          <w:rFonts w:ascii="Arial" w:hAnsi="Arial" w:cs="Arial"/>
        </w:rPr>
      </w:pPr>
      <w:r w:rsidRPr="00CD59CC">
        <w:rPr>
          <w:rFonts w:ascii="Arial" w:hAnsi="Arial" w:cs="Arial"/>
        </w:rPr>
        <w:t xml:space="preserve">Complaints not dismissed by the Commissioner undergo the conciliation procedure. The Commissioner sends the petition to the institution complained of for a declaration and initiates that consensus be reached with the petitioner. In case of an agreement the Commissioner prepares a report and sends it to the parties concerned. If no consensus is reached, the Commissioner prepares a report on the results of the conciliation and calls on the institution to terminate the infringement. In case of non-compliance the Commissioner sends a recommendation to both the institution and its supervisory organ. The latter have the duty to respond within 30 days. The Commissioner reports to the Minister of Education (Article 7). </w:t>
      </w:r>
    </w:p>
    <w:p w14:paraId="6440F34C" w14:textId="77777777" w:rsidR="002B3126" w:rsidRPr="00CD59CC" w:rsidRDefault="002B3126" w:rsidP="00CD59CC">
      <w:pPr>
        <w:rPr>
          <w:rFonts w:ascii="Arial" w:hAnsi="Arial" w:cs="Arial"/>
        </w:rPr>
      </w:pPr>
    </w:p>
    <w:p w14:paraId="2AC297B5" w14:textId="77777777" w:rsidR="002B3126" w:rsidRPr="00CD59CC" w:rsidRDefault="002B3126" w:rsidP="00CD59CC">
      <w:pPr>
        <w:rPr>
          <w:rFonts w:ascii="Arial" w:hAnsi="Arial" w:cs="Arial"/>
          <w:u w:val="single"/>
        </w:rPr>
      </w:pPr>
      <w:r w:rsidRPr="00CD59CC">
        <w:rPr>
          <w:rFonts w:ascii="Arial" w:hAnsi="Arial" w:cs="Arial"/>
          <w:u w:val="single"/>
        </w:rPr>
        <w:t>Other forums to be approached in cases of discrimination</w:t>
      </w:r>
    </w:p>
    <w:p w14:paraId="0642C037" w14:textId="77777777" w:rsidR="002B3126" w:rsidRPr="00CD59CC" w:rsidRDefault="002B3126" w:rsidP="00CD59CC">
      <w:pPr>
        <w:rPr>
          <w:rFonts w:ascii="Arial" w:hAnsi="Arial" w:cs="Arial"/>
        </w:rPr>
      </w:pPr>
    </w:p>
    <w:p w14:paraId="49D4C011" w14:textId="77777777" w:rsidR="002B3126" w:rsidRPr="00CD59CC" w:rsidRDefault="002B3126" w:rsidP="00CD59CC">
      <w:pPr>
        <w:rPr>
          <w:rFonts w:ascii="Arial" w:hAnsi="Arial" w:cs="Arial"/>
          <w:i/>
        </w:rPr>
      </w:pPr>
      <w:r w:rsidRPr="00CD59CC">
        <w:rPr>
          <w:rFonts w:ascii="Arial" w:hAnsi="Arial" w:cs="Arial"/>
          <w:i/>
        </w:rPr>
        <w:t>The “Ombudsman”</w:t>
      </w:r>
    </w:p>
    <w:p w14:paraId="01D92DF6" w14:textId="77777777" w:rsidR="002B3126" w:rsidRPr="00CD59CC" w:rsidRDefault="002B3126" w:rsidP="00CD59CC">
      <w:pPr>
        <w:rPr>
          <w:rFonts w:ascii="Arial" w:hAnsi="Arial" w:cs="Arial"/>
        </w:rPr>
      </w:pPr>
    </w:p>
    <w:p w14:paraId="03C4EB6C" w14:textId="77777777" w:rsidR="002B3126" w:rsidRPr="00CD59CC" w:rsidRDefault="002B3126" w:rsidP="00CD59CC">
      <w:pPr>
        <w:rPr>
          <w:rFonts w:ascii="Arial" w:hAnsi="Arial" w:cs="Arial"/>
        </w:rPr>
      </w:pPr>
      <w:r w:rsidRPr="00CD59CC">
        <w:rPr>
          <w:rFonts w:ascii="Arial" w:hAnsi="Arial" w:cs="Arial"/>
        </w:rPr>
        <w:t>Before 1 January 2012, there were four ombudspersons in Hungary: the Ombudsman for Civil Rights (General Ombudsman), the Ombudsman for Future Generations, the Ombudsman for the Rights of National and Ethnic Minorities (Minorities Ombudsman) and the Ombudsman of Data Protection. At present, there is one Ombudsman, the Commissioner for Fundamental Rights, who has two deputies responsible for the right of future generations and minorities respectively.</w:t>
      </w:r>
    </w:p>
    <w:p w14:paraId="3488326E" w14:textId="77777777" w:rsidR="002B3126" w:rsidRPr="00CD59CC" w:rsidRDefault="002B3126" w:rsidP="00CD59CC">
      <w:pPr>
        <w:rPr>
          <w:rFonts w:ascii="Arial" w:hAnsi="Arial" w:cs="Arial"/>
        </w:rPr>
      </w:pPr>
    </w:p>
    <w:p w14:paraId="6803662A" w14:textId="77777777" w:rsidR="002B3126" w:rsidRPr="00CD59CC" w:rsidRDefault="002B3126" w:rsidP="00CD59CC">
      <w:pPr>
        <w:rPr>
          <w:rFonts w:ascii="Arial" w:hAnsi="Arial" w:cs="Arial"/>
        </w:rPr>
      </w:pPr>
      <w:r w:rsidRPr="00CD59CC">
        <w:rPr>
          <w:rFonts w:ascii="Arial" w:hAnsi="Arial" w:cs="Arial"/>
        </w:rPr>
        <w:t xml:space="preserve">Under Article 30 of the Fundamental Law, the Ombudsman (who is appointed by two-thirds parliamentary majority vote for six years) investigates violations of fundamental rights and initiates general or individual measures to remedy such violations. </w:t>
      </w:r>
    </w:p>
    <w:p w14:paraId="11075603" w14:textId="77777777" w:rsidR="002B3126" w:rsidRPr="00CD59CC" w:rsidRDefault="002B3126" w:rsidP="00CD59CC">
      <w:pPr>
        <w:rPr>
          <w:rFonts w:ascii="Arial" w:hAnsi="Arial" w:cs="Arial"/>
        </w:rPr>
      </w:pPr>
      <w:r w:rsidRPr="00CD59CC">
        <w:rPr>
          <w:rFonts w:ascii="Arial" w:hAnsi="Arial" w:cs="Arial"/>
        </w:rPr>
        <w:t xml:space="preserve">The status and proceedings of the Ombudsman is regulated by Act CXI of 2011. Any victim of acts or omissions of public authorities or public service providers can complain to the Ombudsman’s office, provided that all administrative remedies are exhausted or none exist. The Ombudsman can also proceed </w:t>
      </w:r>
      <w:r w:rsidRPr="00CD59CC">
        <w:rPr>
          <w:rFonts w:ascii="Arial" w:hAnsi="Arial" w:cs="Arial"/>
          <w:i/>
        </w:rPr>
        <w:t>ex officio</w:t>
      </w:r>
      <w:r w:rsidRPr="00CD59CC">
        <w:rPr>
          <w:rFonts w:ascii="Arial" w:hAnsi="Arial" w:cs="Arial"/>
        </w:rPr>
        <w:t xml:space="preserve">. </w:t>
      </w:r>
    </w:p>
    <w:p w14:paraId="617B7067" w14:textId="77777777" w:rsidR="002B3126" w:rsidRPr="00CD59CC" w:rsidRDefault="002B3126" w:rsidP="00CD59CC">
      <w:pPr>
        <w:rPr>
          <w:rFonts w:ascii="Arial" w:hAnsi="Arial" w:cs="Arial"/>
        </w:rPr>
      </w:pPr>
    </w:p>
    <w:p w14:paraId="57940BEA" w14:textId="77777777" w:rsidR="002B3126" w:rsidRPr="00CD59CC" w:rsidRDefault="002B3126" w:rsidP="00CD59CC">
      <w:pPr>
        <w:rPr>
          <w:rFonts w:ascii="Arial" w:hAnsi="Arial" w:cs="Arial"/>
        </w:rPr>
      </w:pPr>
      <w:r w:rsidRPr="00CD59CC">
        <w:rPr>
          <w:rFonts w:ascii="Arial" w:hAnsi="Arial" w:cs="Arial"/>
        </w:rPr>
        <w:lastRenderedPageBreak/>
        <w:t xml:space="preserve">The Ombudsman can investigate into any authority, including the armed forces, national security services, and policing organisations. He/she may request information, look into files, visit premises and can hear any employee of the examined authority. When finding a violation, the Ombudsman issues recommendations, to which the supervisory body of the authority found to be in breach of fundamental rights shall respond within 30 days. Further, the Ombudsman may (i) petition the Constitutional Court; (ii) initiate criminal or disciplinary proceedings; and (iii) propose that a legal provision be amended, repealed or issued. </w:t>
      </w:r>
    </w:p>
    <w:p w14:paraId="6599EA72" w14:textId="77777777" w:rsidR="002B3126" w:rsidRPr="00CD59CC" w:rsidRDefault="002B3126" w:rsidP="00CD59CC">
      <w:pPr>
        <w:rPr>
          <w:rFonts w:ascii="Arial" w:hAnsi="Arial" w:cs="Arial"/>
        </w:rPr>
      </w:pPr>
    </w:p>
    <w:p w14:paraId="5CC3FA78" w14:textId="77777777" w:rsidR="002B3126" w:rsidRPr="00CD59CC" w:rsidRDefault="002B3126" w:rsidP="00CD59CC">
      <w:pPr>
        <w:rPr>
          <w:rFonts w:ascii="Arial" w:hAnsi="Arial" w:cs="Arial"/>
        </w:rPr>
      </w:pPr>
      <w:r w:rsidRPr="00CD59CC">
        <w:rPr>
          <w:rFonts w:ascii="Arial" w:hAnsi="Arial" w:cs="Arial"/>
        </w:rPr>
        <w:t xml:space="preserve">The Ombudsman’s main publicity weapon is the annual report submitted to Parliament. Further, he/she can request parliamentary investigations and debates. </w:t>
      </w:r>
    </w:p>
    <w:p w14:paraId="656CAC60" w14:textId="77777777" w:rsidR="002B3126" w:rsidRPr="00CD59CC" w:rsidRDefault="002B3126" w:rsidP="00CD59CC">
      <w:pPr>
        <w:rPr>
          <w:rFonts w:ascii="Arial" w:hAnsi="Arial" w:cs="Arial"/>
        </w:rPr>
      </w:pPr>
    </w:p>
    <w:p w14:paraId="151DD677" w14:textId="282C6AD9" w:rsidR="002B3126" w:rsidRPr="00CD59CC" w:rsidRDefault="002B3126" w:rsidP="00CD59CC">
      <w:pPr>
        <w:rPr>
          <w:rFonts w:ascii="Arial" w:hAnsi="Arial" w:cs="Arial"/>
        </w:rPr>
      </w:pPr>
      <w:r w:rsidRPr="00CD59CC">
        <w:rPr>
          <w:rFonts w:ascii="Arial" w:hAnsi="Arial" w:cs="Arial"/>
        </w:rPr>
        <w:t xml:space="preserve">The </w:t>
      </w:r>
      <w:r w:rsidR="00C62D22" w:rsidRPr="00CD59CC">
        <w:rPr>
          <w:rFonts w:ascii="Arial" w:hAnsi="Arial" w:cs="Arial"/>
        </w:rPr>
        <w:t>ETA</w:t>
      </w:r>
      <w:r w:rsidRPr="00CD59CC">
        <w:rPr>
          <w:rFonts w:ascii="Arial" w:hAnsi="Arial" w:cs="Arial"/>
        </w:rPr>
        <w:t xml:space="preserve"> fails to settle potential clashes of authority between the Authority and the Ombudsman who also has the authority to conduct individual and comprehensive investigations into cases of discrimination. The ETA contains no solution for cases in which the conclusion of and the sanction imposed by the Authority is not in line with the opinion of the Ombudsman. It only restricts itself to exempting the decisions and measures of the Ombudsman from the Authority’s investigation.</w:t>
      </w:r>
      <w:r w:rsidRPr="00CD59CC">
        <w:rPr>
          <w:rStyle w:val="Lbjegyzet-karakterek"/>
          <w:rFonts w:ascii="Arial" w:hAnsi="Arial" w:cs="Arial"/>
        </w:rPr>
        <w:footnoteReference w:id="102"/>
      </w:r>
      <w:r w:rsidRPr="00CD59CC">
        <w:rPr>
          <w:rFonts w:ascii="Arial" w:hAnsi="Arial" w:cs="Arial"/>
        </w:rPr>
        <w:t xml:space="preserve"> </w:t>
      </w:r>
    </w:p>
    <w:p w14:paraId="34B942D0" w14:textId="77777777" w:rsidR="002B3126" w:rsidRPr="00CD59CC" w:rsidRDefault="002B3126" w:rsidP="00CD59CC">
      <w:pPr>
        <w:ind w:left="567" w:hanging="567"/>
        <w:rPr>
          <w:rFonts w:ascii="Arial" w:hAnsi="Arial" w:cs="Arial"/>
        </w:rPr>
      </w:pPr>
    </w:p>
    <w:p w14:paraId="4244E627" w14:textId="77777777" w:rsidR="002B5BCD" w:rsidRPr="00CD59CC" w:rsidRDefault="002B5BCD" w:rsidP="00CD59CC">
      <w:pPr>
        <w:numPr>
          <w:ilvl w:val="0"/>
          <w:numId w:val="21"/>
        </w:numPr>
        <w:ind w:left="567" w:hanging="567"/>
        <w:rPr>
          <w:rFonts w:ascii="Arial" w:hAnsi="Arial" w:cs="Arial"/>
          <w:i/>
        </w:rPr>
      </w:pPr>
      <w:r w:rsidRPr="00CD59CC">
        <w:rPr>
          <w:rFonts w:ascii="Arial" w:hAnsi="Arial" w:cs="Arial"/>
          <w:i/>
        </w:rPr>
        <w:t xml:space="preserve">Are these binding or non-binding? </w:t>
      </w:r>
    </w:p>
    <w:p w14:paraId="683E2FAC" w14:textId="77777777" w:rsidR="002B5BCD" w:rsidRPr="00CD59CC" w:rsidRDefault="002B5BCD" w:rsidP="00CD59CC">
      <w:pPr>
        <w:ind w:left="567" w:hanging="567"/>
        <w:rPr>
          <w:rFonts w:ascii="Arial" w:hAnsi="Arial" w:cs="Arial"/>
        </w:rPr>
      </w:pPr>
    </w:p>
    <w:p w14:paraId="34B7BA98" w14:textId="77777777" w:rsidR="00C62D22" w:rsidRPr="00CD59CC" w:rsidRDefault="00C62D22" w:rsidP="00CD59CC">
      <w:pPr>
        <w:rPr>
          <w:rFonts w:ascii="Arial" w:hAnsi="Arial" w:cs="Arial"/>
        </w:rPr>
      </w:pPr>
      <w:r w:rsidRPr="00CD59CC">
        <w:rPr>
          <w:rFonts w:ascii="Arial" w:hAnsi="Arial" w:cs="Arial"/>
        </w:rPr>
        <w:t>The binding or non-binding nature of the decisions by the above listed bodies are also set out above.</w:t>
      </w:r>
    </w:p>
    <w:p w14:paraId="077E1C49" w14:textId="77777777" w:rsidR="00C62D22" w:rsidRPr="00CD59CC" w:rsidRDefault="00C62D22" w:rsidP="00CD59CC">
      <w:pPr>
        <w:ind w:left="567" w:hanging="567"/>
        <w:rPr>
          <w:rFonts w:ascii="Arial" w:hAnsi="Arial" w:cs="Arial"/>
        </w:rPr>
      </w:pPr>
    </w:p>
    <w:p w14:paraId="0C0FBF71" w14:textId="77777777" w:rsidR="002B5BCD" w:rsidRPr="00CD59CC" w:rsidRDefault="002B5BCD" w:rsidP="00CD59CC">
      <w:pPr>
        <w:numPr>
          <w:ilvl w:val="0"/>
          <w:numId w:val="21"/>
        </w:numPr>
        <w:ind w:left="567" w:hanging="567"/>
        <w:rPr>
          <w:rFonts w:ascii="Arial" w:hAnsi="Arial" w:cs="Arial"/>
          <w:i/>
          <w:iCs/>
        </w:rPr>
      </w:pPr>
      <w:r w:rsidRPr="00CD59CC">
        <w:rPr>
          <w:rFonts w:ascii="Arial" w:hAnsi="Arial" w:cs="Arial"/>
          <w:i/>
          <w:iCs/>
        </w:rPr>
        <w:t xml:space="preserve">What is the time limit within which a procedure must be initiated? </w:t>
      </w:r>
    </w:p>
    <w:p w14:paraId="532FF7E4" w14:textId="77777777" w:rsidR="002B5BCD" w:rsidRPr="00CD59CC" w:rsidRDefault="002B5BCD" w:rsidP="00CD59CC">
      <w:pPr>
        <w:ind w:left="567" w:hanging="567"/>
        <w:rPr>
          <w:rFonts w:ascii="Arial" w:hAnsi="Arial" w:cs="Arial"/>
          <w:i/>
        </w:rPr>
      </w:pPr>
    </w:p>
    <w:p w14:paraId="7245B540" w14:textId="77777777" w:rsidR="00C62D22" w:rsidRPr="00CD59CC" w:rsidRDefault="00C62D22" w:rsidP="00CD59CC">
      <w:pPr>
        <w:rPr>
          <w:rFonts w:ascii="Arial" w:hAnsi="Arial" w:cs="Arial"/>
        </w:rPr>
      </w:pPr>
      <w:r w:rsidRPr="00CD59CC">
        <w:rPr>
          <w:rFonts w:ascii="Arial" w:hAnsi="Arial" w:cs="Arial"/>
        </w:rPr>
        <w:t>The different</w:t>
      </w:r>
      <w:r w:rsidRPr="00CD59CC">
        <w:rPr>
          <w:rFonts w:ascii="Arial" w:hAnsi="Arial" w:cs="Arial"/>
          <w:i/>
        </w:rPr>
        <w:t xml:space="preserve"> </w:t>
      </w:r>
      <w:r w:rsidRPr="00CD59CC">
        <w:rPr>
          <w:rFonts w:ascii="Arial" w:hAnsi="Arial" w:cs="Arial"/>
        </w:rPr>
        <w:t>proceedings have different time limits. The most important ones are the following:</w:t>
      </w:r>
    </w:p>
    <w:p w14:paraId="774746C4" w14:textId="77777777" w:rsidR="00C62D22" w:rsidRPr="00CD59CC" w:rsidRDefault="00C62D22" w:rsidP="00CD59CC">
      <w:pPr>
        <w:ind w:left="567" w:hanging="567"/>
        <w:rPr>
          <w:rFonts w:ascii="Arial" w:hAnsi="Arial" w:cs="Arial"/>
        </w:rPr>
      </w:pPr>
    </w:p>
    <w:p w14:paraId="0472CA6A" w14:textId="77777777" w:rsidR="00C62D22" w:rsidRPr="00CD59CC" w:rsidRDefault="00C62D22" w:rsidP="007B4138">
      <w:pPr>
        <w:numPr>
          <w:ilvl w:val="0"/>
          <w:numId w:val="65"/>
        </w:numPr>
        <w:ind w:left="567" w:hanging="567"/>
        <w:rPr>
          <w:rFonts w:ascii="Arial" w:hAnsi="Arial" w:cs="Arial"/>
        </w:rPr>
      </w:pPr>
      <w:r w:rsidRPr="00CD59CC">
        <w:rPr>
          <w:rFonts w:ascii="Arial" w:hAnsi="Arial" w:cs="Arial"/>
        </w:rPr>
        <w:t xml:space="preserve">A civil lawsuit based on the violation of inherent personal rights can be launched without any limitation, however, damages may be requested only if the lawsuit is launched within five years from the violation. After five years only so-called “objective” sanctions (e.g. an apology) can be asked for. </w:t>
      </w:r>
    </w:p>
    <w:p w14:paraId="42CBE5B4" w14:textId="77777777" w:rsidR="00C62D22" w:rsidRPr="00CD59CC" w:rsidRDefault="00C62D22" w:rsidP="007B4138">
      <w:pPr>
        <w:numPr>
          <w:ilvl w:val="0"/>
          <w:numId w:val="65"/>
        </w:numPr>
        <w:ind w:left="567" w:hanging="567"/>
        <w:rPr>
          <w:rFonts w:ascii="Arial" w:hAnsi="Arial" w:cs="Arial"/>
        </w:rPr>
      </w:pPr>
      <w:r w:rsidRPr="00CD59CC">
        <w:rPr>
          <w:rFonts w:ascii="Arial" w:hAnsi="Arial" w:cs="Arial"/>
        </w:rPr>
        <w:t>The statute of limitation for labour lawsuits is three years, however, in certain cases (e.g. dismissals), a lawsuit may only be launched within 30 days from being informed about the employer’s decision. In certain segments of the public sector (e.g. the judiciary), this deadline can be as short as 15 days.</w:t>
      </w:r>
    </w:p>
    <w:p w14:paraId="2337EFC7" w14:textId="13C93381" w:rsidR="00C62D22" w:rsidRPr="00CD59CC" w:rsidRDefault="00C62D22" w:rsidP="007B4138">
      <w:pPr>
        <w:numPr>
          <w:ilvl w:val="0"/>
          <w:numId w:val="65"/>
        </w:numPr>
        <w:ind w:left="567" w:hanging="567"/>
        <w:rPr>
          <w:rFonts w:ascii="Arial" w:hAnsi="Arial" w:cs="Arial"/>
        </w:rPr>
      </w:pPr>
      <w:r w:rsidRPr="00CD59CC">
        <w:rPr>
          <w:rFonts w:ascii="Arial" w:hAnsi="Arial" w:cs="Arial"/>
        </w:rPr>
        <w:t xml:space="preserve">Under Article 17 of the ETA, the Equal Treatment Authority’s procedure may only be initiated within 1 year after the concerned person became aware of the violation, and within 3 years after the violation took place. Under Article 17/A of the ETA, the Authority may only impose a fine in proceedings that are launched within one year from the discriminatory behaviour. In ex officio proceedings, a fine may be imposed only if the Authority launches its proceeding within three </w:t>
      </w:r>
      <w:r w:rsidRPr="00CD59CC">
        <w:rPr>
          <w:rFonts w:ascii="Arial" w:hAnsi="Arial" w:cs="Arial"/>
        </w:rPr>
        <w:lastRenderedPageBreak/>
        <w:t xml:space="preserve">months from being informed about the violation. Other sanctions may be applied without time limitations. </w:t>
      </w:r>
    </w:p>
    <w:p w14:paraId="33F6606A" w14:textId="77777777" w:rsidR="00C62D22" w:rsidRPr="00CD59CC" w:rsidRDefault="00C62D22" w:rsidP="007B4138">
      <w:pPr>
        <w:numPr>
          <w:ilvl w:val="0"/>
          <w:numId w:val="65"/>
        </w:numPr>
        <w:ind w:left="567" w:hanging="567"/>
        <w:rPr>
          <w:rFonts w:ascii="Arial" w:hAnsi="Arial" w:cs="Arial"/>
        </w:rPr>
      </w:pPr>
      <w:r w:rsidRPr="00CD59CC">
        <w:rPr>
          <w:rFonts w:ascii="Arial" w:hAnsi="Arial" w:cs="Arial"/>
        </w:rPr>
        <w:t>In petty offence procedures, the statute of limitations is six months, however, measures taken by the petty offence authority interrupt the lapse of this period, and it starts again. Even in such cases, no sanction may be imposed after two years from the violation.</w:t>
      </w:r>
    </w:p>
    <w:p w14:paraId="0DDD820D" w14:textId="77777777" w:rsidR="00C62D22" w:rsidRPr="00CD59CC" w:rsidRDefault="00C62D22" w:rsidP="00CD59CC">
      <w:pPr>
        <w:ind w:left="567" w:hanging="567"/>
        <w:rPr>
          <w:rFonts w:ascii="Arial" w:hAnsi="Arial" w:cs="Arial"/>
          <w:i/>
        </w:rPr>
      </w:pPr>
    </w:p>
    <w:p w14:paraId="05D2E167" w14:textId="77777777" w:rsidR="002B5BCD" w:rsidRPr="00CD59CC" w:rsidRDefault="002B5BCD" w:rsidP="00CD59CC">
      <w:pPr>
        <w:numPr>
          <w:ilvl w:val="0"/>
          <w:numId w:val="21"/>
        </w:numPr>
        <w:ind w:left="567" w:hanging="567"/>
        <w:rPr>
          <w:rFonts w:ascii="Arial" w:hAnsi="Arial" w:cs="Arial"/>
          <w:i/>
        </w:rPr>
      </w:pPr>
      <w:r w:rsidRPr="00CD59CC">
        <w:rPr>
          <w:rFonts w:ascii="Arial" w:hAnsi="Arial" w:cs="Arial"/>
          <w:i/>
        </w:rPr>
        <w:t>Can a person bring a case after the employment relationship has ended?</w:t>
      </w:r>
    </w:p>
    <w:p w14:paraId="061DD422" w14:textId="77777777" w:rsidR="002B5BCD" w:rsidRPr="00CD59CC" w:rsidRDefault="002B5BCD" w:rsidP="00CD59CC">
      <w:pPr>
        <w:rPr>
          <w:rFonts w:ascii="Arial" w:hAnsi="Arial" w:cs="Arial"/>
          <w:i/>
        </w:rPr>
      </w:pPr>
    </w:p>
    <w:p w14:paraId="415FDA2B" w14:textId="28C9958F" w:rsidR="00C62D22" w:rsidRPr="00CD59CC" w:rsidRDefault="00C62D22" w:rsidP="00CD59CC">
      <w:pPr>
        <w:rPr>
          <w:rFonts w:ascii="Arial" w:hAnsi="Arial" w:cs="Arial"/>
        </w:rPr>
      </w:pPr>
      <w:r w:rsidRPr="00CD59CC">
        <w:rPr>
          <w:rFonts w:ascii="Arial" w:hAnsi="Arial" w:cs="Arial"/>
        </w:rPr>
        <w:t>Yes, this is possible. Under Article 349 (1) (a) of the Code of Civil Procedure, labour lawsuits also include those lawsuits that are related to the employment even if the lawsuit is launched after the employment relationship has ended. As outlined above, the statute of limitations for claims arising from an employment relationship is three years (Article 286 of the Labour Code). However, with regard to certain types of legal disputes the Labour Code (Article 287) limits the period open for initiating a lawsuit to 30 days after the injurious measure.</w:t>
      </w:r>
    </w:p>
    <w:p w14:paraId="154177D8" w14:textId="77777777" w:rsidR="00C62D22" w:rsidRPr="00CD59CC" w:rsidRDefault="00C62D22" w:rsidP="00CD59CC">
      <w:pPr>
        <w:rPr>
          <w:rFonts w:ascii="Arial" w:hAnsi="Arial" w:cs="Arial"/>
          <w:i/>
        </w:rPr>
      </w:pPr>
    </w:p>
    <w:p w14:paraId="0B9F533E" w14:textId="77777777" w:rsidR="002B5BCD" w:rsidRPr="00CD59CC" w:rsidRDefault="002B5BCD" w:rsidP="00CD59CC">
      <w:pPr>
        <w:pStyle w:val="BodyText"/>
        <w:numPr>
          <w:ilvl w:val="0"/>
          <w:numId w:val="21"/>
        </w:numPr>
        <w:ind w:left="567" w:hanging="567"/>
        <w:rPr>
          <w:rFonts w:ascii="Arial" w:hAnsi="Arial" w:cs="Arial"/>
          <w:iCs w:val="0"/>
          <w:lang w:val="en-GB"/>
        </w:rPr>
      </w:pPr>
      <w:r w:rsidRPr="00CD59CC">
        <w:rPr>
          <w:rFonts w:ascii="Arial" w:hAnsi="Arial" w:cs="Arial"/>
          <w:iCs w:val="0"/>
          <w:lang w:val="en-GB"/>
        </w:rPr>
        <w:t>In relation to the procedures described, please indicate any costs or other barriers litigants will face (e.g. necessity to instruct a lawyer?) and any other factors that may act as deterrents to seeking redress (e.g. strict time limits, complex procedures, location of court or other relevant body).</w:t>
      </w:r>
    </w:p>
    <w:p w14:paraId="7A4926B8" w14:textId="77777777" w:rsidR="002B5BCD" w:rsidRPr="00CD59CC" w:rsidRDefault="002B5BCD" w:rsidP="00CD59CC">
      <w:pPr>
        <w:pStyle w:val="BodyText"/>
        <w:ind w:left="567"/>
        <w:rPr>
          <w:rFonts w:ascii="Arial" w:hAnsi="Arial" w:cs="Arial"/>
          <w:iCs w:val="0"/>
          <w:lang w:val="en-GB"/>
        </w:rPr>
      </w:pPr>
    </w:p>
    <w:p w14:paraId="635F5FB2" w14:textId="77777777" w:rsidR="00D76848" w:rsidRPr="00CD59CC" w:rsidRDefault="00D76848" w:rsidP="00CD59CC">
      <w:pPr>
        <w:pStyle w:val="BodyText"/>
        <w:rPr>
          <w:rFonts w:ascii="Arial" w:hAnsi="Arial" w:cs="Arial"/>
          <w:i w:val="0"/>
          <w:iCs w:val="0"/>
          <w:lang w:val="en-GB"/>
        </w:rPr>
      </w:pPr>
      <w:r w:rsidRPr="00CD59CC">
        <w:rPr>
          <w:rFonts w:ascii="Arial" w:hAnsi="Arial" w:cs="Arial"/>
          <w:i w:val="0"/>
          <w:iCs w:val="0"/>
          <w:lang w:val="en-GB"/>
        </w:rPr>
        <w:t>The special costs and barriers are outlined above, under point a) with regard to each specific remedy.</w:t>
      </w:r>
    </w:p>
    <w:p w14:paraId="5CE71D6F" w14:textId="77777777" w:rsidR="00D76848" w:rsidRPr="00CD59CC" w:rsidRDefault="00D76848" w:rsidP="00CD59CC">
      <w:pPr>
        <w:pStyle w:val="BodyText"/>
        <w:ind w:left="567"/>
        <w:rPr>
          <w:rFonts w:ascii="Arial" w:hAnsi="Arial" w:cs="Arial"/>
          <w:iCs w:val="0"/>
          <w:lang w:val="en-GB"/>
        </w:rPr>
      </w:pPr>
    </w:p>
    <w:p w14:paraId="29610923" w14:textId="77777777" w:rsidR="002B5BCD" w:rsidRPr="00CD59CC" w:rsidRDefault="002B5BCD" w:rsidP="00CD59CC">
      <w:pPr>
        <w:pStyle w:val="BodyText"/>
        <w:numPr>
          <w:ilvl w:val="0"/>
          <w:numId w:val="21"/>
        </w:numPr>
        <w:ind w:left="567" w:hanging="567"/>
        <w:rPr>
          <w:rFonts w:ascii="Arial" w:hAnsi="Arial" w:cs="Arial"/>
          <w:iCs w:val="0"/>
          <w:lang w:val="en-GB"/>
        </w:rPr>
      </w:pPr>
      <w:r w:rsidRPr="00CD59CC">
        <w:rPr>
          <w:rFonts w:ascii="Arial" w:hAnsi="Arial" w:cs="Arial"/>
          <w:iCs w:val="0"/>
          <w:lang w:val="en-GB"/>
        </w:rPr>
        <w:t>Are there available statistics on the number of cases related to discrimination brought to justice? If so, please provide recent data.</w:t>
      </w:r>
    </w:p>
    <w:p w14:paraId="0AA84714" w14:textId="77777777" w:rsidR="00322465" w:rsidRPr="00CD59CC" w:rsidRDefault="00322465" w:rsidP="00BB4E9F">
      <w:pPr>
        <w:pStyle w:val="ListParagraph"/>
        <w:rPr>
          <w:rFonts w:ascii="Arial" w:hAnsi="Arial" w:cs="Arial"/>
          <w:iCs/>
        </w:rPr>
      </w:pPr>
    </w:p>
    <w:p w14:paraId="74BB890D" w14:textId="5649D929" w:rsidR="00D76848" w:rsidRPr="00CD59CC" w:rsidRDefault="00D76848" w:rsidP="00CD59CC">
      <w:pPr>
        <w:rPr>
          <w:rFonts w:ascii="Arial" w:hAnsi="Arial" w:cs="Arial"/>
        </w:rPr>
      </w:pPr>
      <w:r w:rsidRPr="00CD59CC">
        <w:rPr>
          <w:rFonts w:ascii="Arial" w:hAnsi="Arial" w:cs="Arial"/>
        </w:rPr>
        <w:t>The Equal Treatment Authority’s workload</w:t>
      </w:r>
      <w:r w:rsidRPr="00CD59CC">
        <w:rPr>
          <w:rStyle w:val="FootnoteReference"/>
          <w:rFonts w:ascii="Arial" w:hAnsi="Arial" w:cs="Arial"/>
        </w:rPr>
        <w:footnoteReference w:id="103"/>
      </w:r>
      <w:r w:rsidRPr="00CD59CC">
        <w:rPr>
          <w:rFonts w:ascii="Arial" w:hAnsi="Arial" w:cs="Arial"/>
        </w:rPr>
        <w:t xml:space="preserve"> had been increasing steadily until 2010, while there was some decrease in 2011. The data provided by the Authority show a significant rise in 2012</w:t>
      </w:r>
      <w:r w:rsidR="00C53D29" w:rsidRPr="00CD59CC">
        <w:rPr>
          <w:rFonts w:ascii="Arial" w:hAnsi="Arial" w:cs="Arial"/>
        </w:rPr>
        <w:t xml:space="preserve">, </w:t>
      </w:r>
      <w:r w:rsidRPr="00CD59CC">
        <w:rPr>
          <w:rFonts w:ascii="Arial" w:hAnsi="Arial" w:cs="Arial"/>
        </w:rPr>
        <w:t>however</w:t>
      </w:r>
      <w:r w:rsidR="00C53D29" w:rsidRPr="00CD59CC">
        <w:rPr>
          <w:rFonts w:ascii="Arial" w:hAnsi="Arial" w:cs="Arial"/>
        </w:rPr>
        <w:t xml:space="preserve">, </w:t>
      </w:r>
      <w:r w:rsidR="003B3827" w:rsidRPr="00CD59CC">
        <w:rPr>
          <w:rFonts w:ascii="Arial" w:hAnsi="Arial" w:cs="Arial"/>
        </w:rPr>
        <w:t xml:space="preserve">the reason for the rise is that </w:t>
      </w:r>
      <w:r w:rsidR="00C53D29" w:rsidRPr="00CD59CC">
        <w:rPr>
          <w:rFonts w:ascii="Arial" w:hAnsi="Arial" w:cs="Arial"/>
        </w:rPr>
        <w:t>in</w:t>
      </w:r>
      <w:r w:rsidR="003B3827" w:rsidRPr="00CD59CC">
        <w:rPr>
          <w:rFonts w:ascii="Arial" w:hAnsi="Arial" w:cs="Arial"/>
        </w:rPr>
        <w:t xml:space="preserve"> </w:t>
      </w:r>
      <w:r w:rsidR="00C53D29" w:rsidRPr="00CD59CC">
        <w:rPr>
          <w:rFonts w:ascii="Arial" w:hAnsi="Arial" w:cs="Arial"/>
        </w:rPr>
        <w:t xml:space="preserve">its report of </w:t>
      </w:r>
      <w:r w:rsidR="003B3827" w:rsidRPr="00CD59CC">
        <w:rPr>
          <w:rFonts w:ascii="Arial" w:hAnsi="Arial" w:cs="Arial"/>
        </w:rPr>
        <w:t xml:space="preserve">2012, the Authority </w:t>
      </w:r>
      <w:r w:rsidR="00C53D29" w:rsidRPr="00CD59CC">
        <w:rPr>
          <w:rFonts w:ascii="Arial" w:hAnsi="Arial" w:cs="Arial"/>
        </w:rPr>
        <w:t xml:space="preserve">also </w:t>
      </w:r>
      <w:r w:rsidR="003B3827" w:rsidRPr="00CD59CC">
        <w:rPr>
          <w:rFonts w:ascii="Arial" w:hAnsi="Arial" w:cs="Arial"/>
        </w:rPr>
        <w:t>include</w:t>
      </w:r>
      <w:r w:rsidR="00C53D29" w:rsidRPr="00CD59CC">
        <w:rPr>
          <w:rFonts w:ascii="Arial" w:hAnsi="Arial" w:cs="Arial"/>
        </w:rPr>
        <w:t>d</w:t>
      </w:r>
      <w:r w:rsidR="003B3827" w:rsidRPr="00CD59CC">
        <w:rPr>
          <w:rFonts w:ascii="Arial" w:hAnsi="Arial" w:cs="Arial"/>
        </w:rPr>
        <w:t xml:space="preserve"> in this number those complaints that d</w:t>
      </w:r>
      <w:r w:rsidR="00C53D29" w:rsidRPr="00CD59CC">
        <w:rPr>
          <w:rFonts w:ascii="Arial" w:hAnsi="Arial" w:cs="Arial"/>
        </w:rPr>
        <w:t>id</w:t>
      </w:r>
      <w:r w:rsidR="003B3827" w:rsidRPr="00CD59CC">
        <w:rPr>
          <w:rFonts w:ascii="Arial" w:hAnsi="Arial" w:cs="Arial"/>
        </w:rPr>
        <w:t xml:space="preserve"> not in fact fall into its scope of competence</w:t>
      </w:r>
      <w:r w:rsidR="00C53D29" w:rsidRPr="00CD59CC">
        <w:rPr>
          <w:rFonts w:ascii="Arial" w:hAnsi="Arial" w:cs="Arial"/>
        </w:rPr>
        <w:t xml:space="preserve"> and had to be forwarded to other authorities</w:t>
      </w:r>
      <w:r w:rsidR="003B3827" w:rsidRPr="00CD59CC">
        <w:rPr>
          <w:rFonts w:ascii="Arial" w:hAnsi="Arial" w:cs="Arial"/>
        </w:rPr>
        <w:t xml:space="preserve">. </w:t>
      </w:r>
      <w:r w:rsidR="00C53D29" w:rsidRPr="00CD59CC">
        <w:rPr>
          <w:rFonts w:ascii="Arial" w:hAnsi="Arial" w:cs="Arial"/>
        </w:rPr>
        <w:t xml:space="preserve">For 2013, again the “net” number of complaints is available. It needs to be noted that the </w:t>
      </w:r>
      <w:r w:rsidR="003B3827" w:rsidRPr="00CD59CC">
        <w:rPr>
          <w:rFonts w:ascii="Arial" w:hAnsi="Arial" w:cs="Arial"/>
        </w:rPr>
        <w:t xml:space="preserve">increase </w:t>
      </w:r>
      <w:r w:rsidR="00C53D29" w:rsidRPr="00CD59CC">
        <w:rPr>
          <w:rFonts w:ascii="Arial" w:hAnsi="Arial" w:cs="Arial"/>
        </w:rPr>
        <w:t xml:space="preserve">in the number of complaints </w:t>
      </w:r>
      <w:r w:rsidR="003B3827" w:rsidRPr="00CD59CC">
        <w:rPr>
          <w:rFonts w:ascii="Arial" w:hAnsi="Arial" w:cs="Arial"/>
        </w:rPr>
        <w:t xml:space="preserve">is not </w:t>
      </w:r>
      <w:r w:rsidRPr="00CD59CC">
        <w:rPr>
          <w:rFonts w:ascii="Arial" w:hAnsi="Arial" w:cs="Arial"/>
        </w:rPr>
        <w:t>accompanied</w:t>
      </w:r>
      <w:r w:rsidR="003B3827" w:rsidRPr="00CD59CC">
        <w:rPr>
          <w:rFonts w:ascii="Arial" w:hAnsi="Arial" w:cs="Arial"/>
        </w:rPr>
        <w:t xml:space="preserve"> by</w:t>
      </w:r>
      <w:r w:rsidRPr="00CD59CC">
        <w:rPr>
          <w:rFonts w:ascii="Arial" w:hAnsi="Arial" w:cs="Arial"/>
        </w:rPr>
        <w:t xml:space="preserve"> an increase in the number of decisions establishing discrimination.</w:t>
      </w:r>
    </w:p>
    <w:p w14:paraId="1785B583" w14:textId="77777777" w:rsidR="00DA0744" w:rsidRDefault="00DA0744">
      <w:pPr>
        <w:rPr>
          <w:rFonts w:ascii="Arial" w:hAnsi="Arial" w:cs="Arial"/>
          <w:b/>
          <w:iCs/>
          <w:lang w:eastAsia="ar-SA"/>
        </w:rPr>
      </w:pPr>
      <w:r>
        <w:rPr>
          <w:rFonts w:ascii="Arial" w:hAnsi="Arial" w:cs="Arial"/>
          <w:b/>
          <w:i/>
        </w:rPr>
        <w:br w:type="page"/>
      </w:r>
    </w:p>
    <w:p w14:paraId="7B2A029E" w14:textId="760E23F0"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lastRenderedPageBreak/>
        <w:t xml:space="preserve">Caseload of the Equal Treatment Authority, 2005 – 2013 </w:t>
      </w:r>
    </w:p>
    <w:p w14:paraId="15B34ECD" w14:textId="77777777" w:rsidR="00D76848" w:rsidRPr="00CD59CC" w:rsidRDefault="00D76848" w:rsidP="00CD59CC">
      <w:pPr>
        <w:pStyle w:val="Szvegtrzs32"/>
        <w:spacing w:after="0"/>
        <w:jc w:val="left"/>
        <w:rPr>
          <w:rFonts w:ascii="Arial" w:hAnsi="Arial" w:cs="Arial"/>
          <w:b/>
          <w:i w:val="0"/>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2795"/>
        <w:gridCol w:w="5172"/>
      </w:tblGrid>
      <w:tr w:rsidR="00D76848" w:rsidRPr="00CD59CC" w14:paraId="24C4624A" w14:textId="77777777" w:rsidTr="00E34CF1">
        <w:tc>
          <w:tcPr>
            <w:tcW w:w="993" w:type="dxa"/>
          </w:tcPr>
          <w:p w14:paraId="1AE2DB6D"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Year</w:t>
            </w:r>
          </w:p>
        </w:tc>
        <w:tc>
          <w:tcPr>
            <w:tcW w:w="2835" w:type="dxa"/>
          </w:tcPr>
          <w:p w14:paraId="0C08ACFB"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Number of complaints</w:t>
            </w:r>
          </w:p>
        </w:tc>
        <w:tc>
          <w:tcPr>
            <w:tcW w:w="5274" w:type="dxa"/>
          </w:tcPr>
          <w:p w14:paraId="43E0DE7E"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Number of decisions establishing discrimination</w:t>
            </w:r>
          </w:p>
        </w:tc>
      </w:tr>
      <w:tr w:rsidR="00D76848" w:rsidRPr="00CD59CC" w14:paraId="1DB5BD46" w14:textId="77777777" w:rsidTr="00E34CF1">
        <w:tc>
          <w:tcPr>
            <w:tcW w:w="993" w:type="dxa"/>
          </w:tcPr>
          <w:p w14:paraId="1CFB748C"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2005</w:t>
            </w:r>
          </w:p>
        </w:tc>
        <w:tc>
          <w:tcPr>
            <w:tcW w:w="2835" w:type="dxa"/>
          </w:tcPr>
          <w:p w14:paraId="75B2D328"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491</w:t>
            </w:r>
          </w:p>
        </w:tc>
        <w:tc>
          <w:tcPr>
            <w:tcW w:w="5274" w:type="dxa"/>
          </w:tcPr>
          <w:p w14:paraId="685B9D7D"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9</w:t>
            </w:r>
          </w:p>
        </w:tc>
      </w:tr>
      <w:tr w:rsidR="00D76848" w:rsidRPr="00CD59CC" w14:paraId="14628BB7" w14:textId="77777777" w:rsidTr="00E34CF1">
        <w:tc>
          <w:tcPr>
            <w:tcW w:w="993" w:type="dxa"/>
          </w:tcPr>
          <w:p w14:paraId="602AD961"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2006</w:t>
            </w:r>
          </w:p>
        </w:tc>
        <w:tc>
          <w:tcPr>
            <w:tcW w:w="2835" w:type="dxa"/>
          </w:tcPr>
          <w:p w14:paraId="66E24BDB"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592</w:t>
            </w:r>
          </w:p>
        </w:tc>
        <w:tc>
          <w:tcPr>
            <w:tcW w:w="5274" w:type="dxa"/>
          </w:tcPr>
          <w:p w14:paraId="128506CC"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27</w:t>
            </w:r>
          </w:p>
        </w:tc>
      </w:tr>
      <w:tr w:rsidR="00D76848" w:rsidRPr="00CD59CC" w14:paraId="0544EAFB" w14:textId="77777777" w:rsidTr="00E34CF1">
        <w:tc>
          <w:tcPr>
            <w:tcW w:w="993" w:type="dxa"/>
          </w:tcPr>
          <w:p w14:paraId="2396A986"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2007</w:t>
            </w:r>
          </w:p>
        </w:tc>
        <w:tc>
          <w:tcPr>
            <w:tcW w:w="2835" w:type="dxa"/>
          </w:tcPr>
          <w:p w14:paraId="65F23C70"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756</w:t>
            </w:r>
          </w:p>
        </w:tc>
        <w:tc>
          <w:tcPr>
            <w:tcW w:w="5274" w:type="dxa"/>
          </w:tcPr>
          <w:p w14:paraId="19058ED3"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29</w:t>
            </w:r>
          </w:p>
        </w:tc>
      </w:tr>
      <w:tr w:rsidR="00D76848" w:rsidRPr="00CD59CC" w14:paraId="4F7B10A9" w14:textId="77777777" w:rsidTr="00E34CF1">
        <w:tc>
          <w:tcPr>
            <w:tcW w:w="993" w:type="dxa"/>
          </w:tcPr>
          <w:p w14:paraId="3FF746BF"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2008</w:t>
            </w:r>
          </w:p>
        </w:tc>
        <w:tc>
          <w:tcPr>
            <w:tcW w:w="2835" w:type="dxa"/>
          </w:tcPr>
          <w:p w14:paraId="0C61E3A2"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1153</w:t>
            </w:r>
          </w:p>
        </w:tc>
        <w:tc>
          <w:tcPr>
            <w:tcW w:w="5274" w:type="dxa"/>
          </w:tcPr>
          <w:p w14:paraId="226673F4"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37</w:t>
            </w:r>
          </w:p>
        </w:tc>
      </w:tr>
      <w:tr w:rsidR="00D76848" w:rsidRPr="00CD59CC" w14:paraId="327FB57F" w14:textId="77777777" w:rsidTr="00E34CF1">
        <w:tc>
          <w:tcPr>
            <w:tcW w:w="993" w:type="dxa"/>
          </w:tcPr>
          <w:p w14:paraId="3F3B0600"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2009</w:t>
            </w:r>
          </w:p>
        </w:tc>
        <w:tc>
          <w:tcPr>
            <w:tcW w:w="2835" w:type="dxa"/>
          </w:tcPr>
          <w:p w14:paraId="56620956"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1087</w:t>
            </w:r>
          </w:p>
        </w:tc>
        <w:tc>
          <w:tcPr>
            <w:tcW w:w="5274" w:type="dxa"/>
          </w:tcPr>
          <w:p w14:paraId="0A0D1232"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48</w:t>
            </w:r>
          </w:p>
        </w:tc>
      </w:tr>
      <w:tr w:rsidR="00D76848" w:rsidRPr="00CD59CC" w14:paraId="46167F55" w14:textId="77777777" w:rsidTr="00E34CF1">
        <w:tc>
          <w:tcPr>
            <w:tcW w:w="993" w:type="dxa"/>
          </w:tcPr>
          <w:p w14:paraId="68629EDA"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2010</w:t>
            </w:r>
          </w:p>
        </w:tc>
        <w:tc>
          <w:tcPr>
            <w:tcW w:w="2835" w:type="dxa"/>
          </w:tcPr>
          <w:p w14:paraId="2A75099B"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1373</w:t>
            </w:r>
          </w:p>
        </w:tc>
        <w:tc>
          <w:tcPr>
            <w:tcW w:w="5274" w:type="dxa"/>
          </w:tcPr>
          <w:p w14:paraId="66FE552D"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40</w:t>
            </w:r>
          </w:p>
        </w:tc>
      </w:tr>
      <w:tr w:rsidR="00D76848" w:rsidRPr="00CD59CC" w14:paraId="40F48B25" w14:textId="77777777" w:rsidTr="00E34CF1">
        <w:tc>
          <w:tcPr>
            <w:tcW w:w="993" w:type="dxa"/>
          </w:tcPr>
          <w:p w14:paraId="681FAD81"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2011</w:t>
            </w:r>
          </w:p>
        </w:tc>
        <w:tc>
          <w:tcPr>
            <w:tcW w:w="2835" w:type="dxa"/>
          </w:tcPr>
          <w:p w14:paraId="22500E99"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1014</w:t>
            </w:r>
          </w:p>
        </w:tc>
        <w:tc>
          <w:tcPr>
            <w:tcW w:w="5274" w:type="dxa"/>
          </w:tcPr>
          <w:p w14:paraId="744CCA29"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42</w:t>
            </w:r>
          </w:p>
        </w:tc>
      </w:tr>
      <w:tr w:rsidR="00D76848" w:rsidRPr="00CD59CC" w14:paraId="3B2B72B3" w14:textId="77777777" w:rsidTr="00E34CF1">
        <w:tc>
          <w:tcPr>
            <w:tcW w:w="993" w:type="dxa"/>
          </w:tcPr>
          <w:p w14:paraId="008AD4D9"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2012</w:t>
            </w:r>
          </w:p>
        </w:tc>
        <w:tc>
          <w:tcPr>
            <w:tcW w:w="2835" w:type="dxa"/>
          </w:tcPr>
          <w:p w14:paraId="69144A78"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2772</w:t>
            </w:r>
          </w:p>
        </w:tc>
        <w:tc>
          <w:tcPr>
            <w:tcW w:w="5274" w:type="dxa"/>
          </w:tcPr>
          <w:p w14:paraId="4A79BBEE" w14:textId="77777777" w:rsidR="00D76848" w:rsidRPr="00CD59CC" w:rsidRDefault="00D76848" w:rsidP="00CD59CC">
            <w:pPr>
              <w:pStyle w:val="Szvegtrzs32"/>
              <w:spacing w:after="0"/>
              <w:jc w:val="left"/>
              <w:rPr>
                <w:rFonts w:ascii="Arial" w:hAnsi="Arial" w:cs="Arial"/>
                <w:i w:val="0"/>
                <w:lang w:val="en-GB"/>
              </w:rPr>
            </w:pPr>
            <w:r w:rsidRPr="00CD59CC">
              <w:rPr>
                <w:rFonts w:ascii="Arial" w:hAnsi="Arial" w:cs="Arial"/>
                <w:i w:val="0"/>
                <w:lang w:val="en-GB"/>
              </w:rPr>
              <w:t>31</w:t>
            </w:r>
          </w:p>
        </w:tc>
      </w:tr>
      <w:tr w:rsidR="00D76848" w:rsidRPr="00CD59CC" w14:paraId="7D4AB09B" w14:textId="77777777" w:rsidTr="00E34CF1">
        <w:tc>
          <w:tcPr>
            <w:tcW w:w="993" w:type="dxa"/>
          </w:tcPr>
          <w:p w14:paraId="0CDC23AF" w14:textId="77777777" w:rsidR="00D76848" w:rsidRPr="00CD59CC" w:rsidRDefault="00D76848" w:rsidP="00CD59CC">
            <w:pPr>
              <w:pStyle w:val="Szvegtrzs32"/>
              <w:spacing w:after="0"/>
              <w:jc w:val="left"/>
              <w:rPr>
                <w:rFonts w:ascii="Arial" w:hAnsi="Arial" w:cs="Arial"/>
                <w:b/>
                <w:i w:val="0"/>
                <w:lang w:val="en-GB"/>
              </w:rPr>
            </w:pPr>
            <w:r w:rsidRPr="00CD59CC">
              <w:rPr>
                <w:rFonts w:ascii="Arial" w:hAnsi="Arial" w:cs="Arial"/>
                <w:b/>
                <w:i w:val="0"/>
                <w:lang w:val="en-GB"/>
              </w:rPr>
              <w:t>2013</w:t>
            </w:r>
          </w:p>
        </w:tc>
        <w:tc>
          <w:tcPr>
            <w:tcW w:w="2835" w:type="dxa"/>
          </w:tcPr>
          <w:p w14:paraId="74519E34" w14:textId="77777777" w:rsidR="00D76848" w:rsidRPr="00CD59CC" w:rsidRDefault="00C53D29" w:rsidP="00CD59CC">
            <w:pPr>
              <w:pStyle w:val="Szvegtrzs32"/>
              <w:spacing w:after="0"/>
              <w:jc w:val="left"/>
              <w:rPr>
                <w:rFonts w:ascii="Arial" w:hAnsi="Arial" w:cs="Arial"/>
                <w:i w:val="0"/>
                <w:lang w:val="en-GB"/>
              </w:rPr>
            </w:pPr>
            <w:r w:rsidRPr="00CD59CC">
              <w:rPr>
                <w:rFonts w:ascii="Arial" w:hAnsi="Arial" w:cs="Arial"/>
                <w:i w:val="0"/>
                <w:lang w:val="en-GB"/>
              </w:rPr>
              <w:t>1496</w:t>
            </w:r>
          </w:p>
        </w:tc>
        <w:tc>
          <w:tcPr>
            <w:tcW w:w="5274" w:type="dxa"/>
          </w:tcPr>
          <w:p w14:paraId="7A2F227B" w14:textId="77777777" w:rsidR="00D76848" w:rsidRPr="00CD59CC" w:rsidRDefault="00C53D29" w:rsidP="00CD59CC">
            <w:pPr>
              <w:pStyle w:val="Szvegtrzs32"/>
              <w:spacing w:after="0"/>
              <w:jc w:val="left"/>
              <w:rPr>
                <w:rFonts w:ascii="Arial" w:hAnsi="Arial" w:cs="Arial"/>
                <w:i w:val="0"/>
                <w:lang w:val="en-GB"/>
              </w:rPr>
            </w:pPr>
            <w:r w:rsidRPr="00CD59CC">
              <w:rPr>
                <w:rFonts w:ascii="Arial" w:hAnsi="Arial" w:cs="Arial"/>
                <w:i w:val="0"/>
                <w:lang w:val="en-GB"/>
              </w:rPr>
              <w:t>21</w:t>
            </w:r>
          </w:p>
        </w:tc>
      </w:tr>
    </w:tbl>
    <w:p w14:paraId="3566281D" w14:textId="77777777" w:rsidR="00D76848" w:rsidRPr="00CD59CC" w:rsidRDefault="00D76848" w:rsidP="00CD59CC">
      <w:pPr>
        <w:rPr>
          <w:rFonts w:ascii="Arial" w:hAnsi="Arial" w:cs="Arial"/>
        </w:rPr>
      </w:pPr>
    </w:p>
    <w:p w14:paraId="2E61481A" w14:textId="6EE5459D" w:rsidR="00322465" w:rsidRPr="00CD59CC" w:rsidRDefault="00322465" w:rsidP="00CD59CC">
      <w:pPr>
        <w:pStyle w:val="BodyText"/>
        <w:numPr>
          <w:ilvl w:val="0"/>
          <w:numId w:val="21"/>
        </w:numPr>
        <w:ind w:left="567" w:hanging="567"/>
        <w:rPr>
          <w:rFonts w:ascii="Arial" w:hAnsi="Arial" w:cs="Arial"/>
          <w:iCs w:val="0"/>
          <w:lang w:val="en-GB"/>
        </w:rPr>
      </w:pPr>
      <w:r w:rsidRPr="00E34CF1">
        <w:rPr>
          <w:rFonts w:ascii="Arial" w:hAnsi="Arial"/>
        </w:rPr>
        <w:t>Are discrimination cases registered as such by national courts? (by ground? Field?)</w:t>
      </w:r>
      <w:r w:rsidR="002D5344" w:rsidRPr="00E34CF1">
        <w:rPr>
          <w:rFonts w:ascii="Arial" w:hAnsi="Arial"/>
        </w:rPr>
        <w:t xml:space="preserve"> Are these data</w:t>
      </w:r>
      <w:r w:rsidR="002D5344" w:rsidRPr="00BB4E9F">
        <w:rPr>
          <w:rFonts w:ascii="Arial" w:hAnsi="Arial"/>
          <w:lang w:val="en-GB"/>
        </w:rPr>
        <w:t xml:space="preserve"> available </w:t>
      </w:r>
      <w:r w:rsidR="002D5344" w:rsidRPr="00CD59CC">
        <w:rPr>
          <w:rFonts w:ascii="Arial" w:hAnsi="Arial" w:cs="Arial"/>
          <w:iCs w:val="0"/>
          <w:lang w:val="en-GB"/>
        </w:rPr>
        <w:t>to the public?</w:t>
      </w:r>
    </w:p>
    <w:p w14:paraId="6517CB8F" w14:textId="77777777" w:rsidR="002B5BCD" w:rsidRPr="00CD59CC" w:rsidRDefault="002B5BCD" w:rsidP="00CD59CC">
      <w:pPr>
        <w:ind w:left="567" w:hanging="567"/>
        <w:rPr>
          <w:rFonts w:ascii="Arial" w:hAnsi="Arial" w:cs="Arial"/>
        </w:rPr>
      </w:pPr>
    </w:p>
    <w:p w14:paraId="5CE91D0A" w14:textId="77777777" w:rsidR="00C53D29" w:rsidRPr="00CD59CC" w:rsidRDefault="00F62AC4" w:rsidP="00CD59CC">
      <w:pPr>
        <w:rPr>
          <w:rFonts w:ascii="Arial" w:hAnsi="Arial" w:cs="Arial"/>
        </w:rPr>
      </w:pPr>
      <w:r w:rsidRPr="00CD59CC">
        <w:rPr>
          <w:rFonts w:ascii="Arial" w:hAnsi="Arial" w:cs="Arial"/>
        </w:rPr>
        <w:t xml:space="preserve">Discrimination cases are not registered as such, and no </w:t>
      </w:r>
      <w:r w:rsidR="00C53D29" w:rsidRPr="00CD59CC">
        <w:rPr>
          <w:rFonts w:ascii="Arial" w:hAnsi="Arial" w:cs="Arial"/>
        </w:rPr>
        <w:t>statistics on court cases brought in relation to discrimination complaints</w:t>
      </w:r>
      <w:r w:rsidRPr="00CD59CC">
        <w:rPr>
          <w:rFonts w:ascii="Arial" w:hAnsi="Arial" w:cs="Arial"/>
        </w:rPr>
        <w:t xml:space="preserve"> ara available to the public</w:t>
      </w:r>
      <w:r w:rsidR="00C53D29" w:rsidRPr="00CD59CC">
        <w:rPr>
          <w:rFonts w:ascii="Arial" w:hAnsi="Arial" w:cs="Arial"/>
        </w:rPr>
        <w:t xml:space="preserve">. </w:t>
      </w:r>
    </w:p>
    <w:p w14:paraId="760BFEA4" w14:textId="77777777" w:rsidR="00C53D29" w:rsidRPr="00CD59CC" w:rsidRDefault="00C53D29" w:rsidP="00CD59CC">
      <w:pPr>
        <w:ind w:left="567" w:hanging="567"/>
        <w:rPr>
          <w:rFonts w:ascii="Arial" w:hAnsi="Arial" w:cs="Arial"/>
        </w:rPr>
      </w:pPr>
    </w:p>
    <w:p w14:paraId="4534DD01" w14:textId="77777777" w:rsidR="002B5BCD" w:rsidRPr="00CD59CC" w:rsidRDefault="002B5BCD" w:rsidP="00CD59CC">
      <w:pPr>
        <w:pStyle w:val="Heading2"/>
        <w:rPr>
          <w:rFonts w:cs="Arial"/>
          <w:i/>
        </w:rPr>
      </w:pPr>
      <w:bookmarkStart w:id="283" w:name="_Toc220221179"/>
      <w:r w:rsidRPr="00CD59CC">
        <w:rPr>
          <w:rFonts w:cs="Arial"/>
        </w:rPr>
        <w:tab/>
      </w:r>
      <w:bookmarkStart w:id="284" w:name="_Toc392758749"/>
      <w:bookmarkStart w:id="285" w:name="_Toc329163641"/>
      <w:bookmarkStart w:id="286" w:name="_Toc366846359"/>
      <w:r w:rsidRPr="00CD59CC">
        <w:rPr>
          <w:rFonts w:cs="Arial"/>
        </w:rPr>
        <w:t>Legal standing and associations (Article 7(2) Directive 2000/43, Article 9(2) Directive 2000/78)</w:t>
      </w:r>
      <w:bookmarkEnd w:id="283"/>
      <w:bookmarkEnd w:id="284"/>
      <w:bookmarkEnd w:id="285"/>
      <w:bookmarkEnd w:id="286"/>
    </w:p>
    <w:p w14:paraId="180F39EB" w14:textId="77777777" w:rsidR="002B5BCD" w:rsidRPr="00CD59CC" w:rsidRDefault="002B5BCD" w:rsidP="00CD59CC">
      <w:pPr>
        <w:rPr>
          <w:rFonts w:ascii="Arial" w:hAnsi="Arial" w:cs="Arial"/>
          <w:i/>
        </w:rPr>
      </w:pPr>
    </w:p>
    <w:p w14:paraId="1B2DBBF3" w14:textId="77777777" w:rsidR="002B5BCD" w:rsidRPr="00CD59CC" w:rsidRDefault="002B5BCD" w:rsidP="00CD59CC">
      <w:pPr>
        <w:rPr>
          <w:rFonts w:ascii="Arial" w:hAnsi="Arial" w:cs="Arial"/>
          <w:i/>
        </w:rPr>
      </w:pPr>
      <w:r w:rsidRPr="00CD59CC">
        <w:rPr>
          <w:rFonts w:ascii="Arial" w:hAnsi="Arial" w:cs="Arial"/>
          <w:i/>
        </w:rPr>
        <w:t>Please list the ways in which associations may engage in judicial or other procedures</w:t>
      </w:r>
    </w:p>
    <w:p w14:paraId="44900902" w14:textId="77777777" w:rsidR="002B5BCD" w:rsidRPr="00CD59CC" w:rsidRDefault="002B5BCD" w:rsidP="00CD59CC">
      <w:pPr>
        <w:rPr>
          <w:rFonts w:ascii="Arial" w:hAnsi="Arial" w:cs="Arial"/>
          <w:i/>
        </w:rPr>
      </w:pPr>
    </w:p>
    <w:p w14:paraId="64B66040" w14:textId="77777777" w:rsidR="00CC1B81" w:rsidRPr="00CD59CC" w:rsidRDefault="00CC1B81" w:rsidP="00CD59CC">
      <w:pPr>
        <w:numPr>
          <w:ilvl w:val="0"/>
          <w:numId w:val="22"/>
        </w:numPr>
        <w:ind w:left="567" w:hanging="567"/>
        <w:rPr>
          <w:rFonts w:ascii="Arial" w:hAnsi="Arial" w:cs="Arial"/>
          <w:i/>
        </w:rPr>
      </w:pPr>
      <w:r w:rsidRPr="00CD59CC">
        <w:rPr>
          <w:rFonts w:ascii="Arial" w:hAnsi="Arial" w:cs="Arial"/>
          <w:i/>
        </w:rPr>
        <w:t xml:space="preserve">Are associations entitled to </w:t>
      </w:r>
      <w:r w:rsidR="00FB2B39" w:rsidRPr="00CD59CC">
        <w:rPr>
          <w:rFonts w:ascii="Arial" w:hAnsi="Arial" w:cs="Arial"/>
          <w:i/>
        </w:rPr>
        <w:t>act</w:t>
      </w:r>
      <w:r w:rsidRPr="00CD59CC">
        <w:rPr>
          <w:rFonts w:ascii="Arial" w:hAnsi="Arial" w:cs="Arial"/>
          <w:i/>
        </w:rPr>
        <w:t xml:space="preserve"> on behalf of victim</w:t>
      </w:r>
      <w:r w:rsidR="00FB2B39" w:rsidRPr="00CD59CC">
        <w:rPr>
          <w:rFonts w:ascii="Arial" w:hAnsi="Arial" w:cs="Arial"/>
          <w:i/>
        </w:rPr>
        <w:t>s of discrimination</w:t>
      </w:r>
      <w:r w:rsidRPr="00CD59CC">
        <w:rPr>
          <w:rFonts w:ascii="Arial" w:hAnsi="Arial" w:cs="Arial"/>
          <w:i/>
        </w:rPr>
        <w:t>? (</w:t>
      </w:r>
      <w:r w:rsidR="00FB2B39" w:rsidRPr="00CD59CC">
        <w:rPr>
          <w:rFonts w:ascii="Arial" w:hAnsi="Arial" w:cs="Arial"/>
          <w:i/>
        </w:rPr>
        <w:t>to represent a person, company, organisation in court)</w:t>
      </w:r>
    </w:p>
    <w:p w14:paraId="43975EE0" w14:textId="77777777" w:rsidR="00FB2B39" w:rsidRPr="00CD59CC" w:rsidRDefault="00FB2B39" w:rsidP="00CD59CC">
      <w:pPr>
        <w:ind w:left="567" w:hanging="567"/>
        <w:rPr>
          <w:rFonts w:ascii="Arial" w:hAnsi="Arial" w:cs="Arial"/>
          <w:i/>
        </w:rPr>
      </w:pPr>
    </w:p>
    <w:p w14:paraId="211F993C" w14:textId="77777777" w:rsidR="00F62AC4" w:rsidRPr="00CD59CC" w:rsidRDefault="003E35B0" w:rsidP="00CD59CC">
      <w:pPr>
        <w:rPr>
          <w:rFonts w:ascii="Arial" w:hAnsi="Arial" w:cs="Arial"/>
        </w:rPr>
      </w:pPr>
      <w:r w:rsidRPr="00CD59CC">
        <w:rPr>
          <w:rFonts w:ascii="Arial" w:hAnsi="Arial" w:cs="Arial"/>
        </w:rPr>
        <w:t>Yes they are. Under</w:t>
      </w:r>
      <w:r w:rsidR="00635D9F" w:rsidRPr="00CD59CC">
        <w:rPr>
          <w:rFonts w:ascii="Arial" w:hAnsi="Arial" w:cs="Arial"/>
        </w:rPr>
        <w:t xml:space="preserve"> Article 18 Paragraph (1) of the ETA, </w:t>
      </w:r>
      <w:r w:rsidRPr="00CD59CC">
        <w:rPr>
          <w:rFonts w:ascii="Arial" w:hAnsi="Arial" w:cs="Arial"/>
        </w:rPr>
        <w:t>“</w:t>
      </w:r>
      <w:r w:rsidR="00635D9F" w:rsidRPr="00CD59CC">
        <w:rPr>
          <w:rFonts w:ascii="Arial" w:hAnsi="Arial" w:cs="Arial"/>
        </w:rPr>
        <w:t>non-governmental and interest representation organisations</w:t>
      </w:r>
      <w:r w:rsidRPr="00CD59CC">
        <w:rPr>
          <w:rFonts w:ascii="Arial" w:hAnsi="Arial" w:cs="Arial"/>
        </w:rPr>
        <w:t>”</w:t>
      </w:r>
      <w:r w:rsidR="00635D9F" w:rsidRPr="00CD59CC">
        <w:rPr>
          <w:rFonts w:ascii="Arial" w:hAnsi="Arial" w:cs="Arial"/>
        </w:rPr>
        <w:t xml:space="preserve"> </w:t>
      </w:r>
      <w:r w:rsidRPr="00CD59CC">
        <w:rPr>
          <w:rFonts w:ascii="Arial" w:hAnsi="Arial" w:cs="Arial"/>
        </w:rPr>
        <w:t xml:space="preserve">(see the definition of the term below) </w:t>
      </w:r>
      <w:r w:rsidR="00635D9F" w:rsidRPr="00CD59CC">
        <w:rPr>
          <w:rFonts w:ascii="Arial" w:hAnsi="Arial" w:cs="Arial"/>
        </w:rPr>
        <w:t>and also the Equal Treatment Authority</w:t>
      </w:r>
      <w:r w:rsidRPr="00CD59CC">
        <w:rPr>
          <w:rFonts w:ascii="Arial" w:hAnsi="Arial" w:cs="Arial"/>
        </w:rPr>
        <w:t xml:space="preserve"> </w:t>
      </w:r>
      <w:r w:rsidR="00635D9F" w:rsidRPr="00CD59CC">
        <w:rPr>
          <w:rFonts w:ascii="Arial" w:hAnsi="Arial" w:cs="Arial"/>
        </w:rPr>
        <w:t>may act on behalf of the victim in proceedings launched due to the violation of the requirement of equal treatment (</w:t>
      </w:r>
      <w:r w:rsidR="00993342" w:rsidRPr="00CD59CC">
        <w:rPr>
          <w:rFonts w:ascii="Arial" w:hAnsi="Arial" w:cs="Arial"/>
        </w:rPr>
        <w:t>for instance</w:t>
      </w:r>
      <w:r w:rsidR="00635D9F" w:rsidRPr="00CD59CC">
        <w:rPr>
          <w:rFonts w:ascii="Arial" w:hAnsi="Arial" w:cs="Arial"/>
        </w:rPr>
        <w:t xml:space="preserve"> in civil lawsuits initiated due to a violation of inherent personal rights </w:t>
      </w:r>
      <w:r w:rsidR="00993342" w:rsidRPr="00CD59CC">
        <w:rPr>
          <w:rFonts w:ascii="Arial" w:hAnsi="Arial" w:cs="Arial"/>
        </w:rPr>
        <w:t>or</w:t>
      </w:r>
      <w:r w:rsidR="00635D9F" w:rsidRPr="00CD59CC">
        <w:rPr>
          <w:rFonts w:ascii="Arial" w:hAnsi="Arial" w:cs="Arial"/>
        </w:rPr>
        <w:t xml:space="preserve"> labour lawsuits). To prove its legal standing the</w:t>
      </w:r>
      <w:r w:rsidR="00993342" w:rsidRPr="00CD59CC">
        <w:rPr>
          <w:rFonts w:ascii="Arial" w:hAnsi="Arial" w:cs="Arial"/>
        </w:rPr>
        <w:t xml:space="preserve"> non-governmental and interest representation organisation shall submit its statutes and the </w:t>
      </w:r>
      <w:r w:rsidRPr="00CD59CC">
        <w:rPr>
          <w:rFonts w:ascii="Arial" w:hAnsi="Arial" w:cs="Arial"/>
        </w:rPr>
        <w:t>authorisation</w:t>
      </w:r>
      <w:r w:rsidR="00993342" w:rsidRPr="00CD59CC">
        <w:rPr>
          <w:rFonts w:ascii="Arial" w:hAnsi="Arial" w:cs="Arial"/>
        </w:rPr>
        <w:t xml:space="preserve"> signed by the individual victim.</w:t>
      </w:r>
    </w:p>
    <w:p w14:paraId="54464ED0" w14:textId="77777777" w:rsidR="00993342" w:rsidRPr="00CD59CC" w:rsidRDefault="00993342" w:rsidP="00CD59CC">
      <w:pPr>
        <w:rPr>
          <w:rFonts w:ascii="Arial" w:hAnsi="Arial" w:cs="Arial"/>
          <w:i/>
        </w:rPr>
      </w:pPr>
    </w:p>
    <w:p w14:paraId="284A6E5C" w14:textId="77777777" w:rsidR="00FB2B39" w:rsidRPr="00CD59CC" w:rsidRDefault="00FB2B39" w:rsidP="00CD59CC">
      <w:pPr>
        <w:numPr>
          <w:ilvl w:val="0"/>
          <w:numId w:val="22"/>
        </w:numPr>
        <w:ind w:left="567" w:hanging="567"/>
        <w:rPr>
          <w:rFonts w:ascii="Arial" w:hAnsi="Arial" w:cs="Arial"/>
          <w:i/>
        </w:rPr>
      </w:pPr>
      <w:r w:rsidRPr="00CD59CC">
        <w:rPr>
          <w:rFonts w:ascii="Arial" w:hAnsi="Arial" w:cs="Arial"/>
          <w:i/>
        </w:rPr>
        <w:t>Are associations entitled to act in support of victims of discrimination? (to join already existing proceedings)</w:t>
      </w:r>
    </w:p>
    <w:p w14:paraId="4A788F5F" w14:textId="77777777" w:rsidR="00FB2B39" w:rsidRPr="00CD59CC" w:rsidRDefault="00FB2B39" w:rsidP="00CD59CC">
      <w:pPr>
        <w:ind w:left="567" w:hanging="567"/>
        <w:rPr>
          <w:rFonts w:ascii="Arial" w:hAnsi="Arial" w:cs="Arial"/>
          <w:i/>
        </w:rPr>
      </w:pPr>
    </w:p>
    <w:p w14:paraId="0E210216" w14:textId="77777777" w:rsidR="00F62AC4" w:rsidRPr="00CD59CC" w:rsidRDefault="003E35B0" w:rsidP="00CD59CC">
      <w:pPr>
        <w:rPr>
          <w:rFonts w:ascii="Arial" w:hAnsi="Arial" w:cs="Arial"/>
        </w:rPr>
      </w:pPr>
      <w:r w:rsidRPr="00CD59CC">
        <w:rPr>
          <w:rFonts w:ascii="Arial" w:hAnsi="Arial" w:cs="Arial"/>
        </w:rPr>
        <w:t xml:space="preserve">Yes, they are. </w:t>
      </w:r>
      <w:r w:rsidR="00F62AC4" w:rsidRPr="00CD59CC">
        <w:rPr>
          <w:rFonts w:ascii="Arial" w:hAnsi="Arial" w:cs="Arial"/>
        </w:rPr>
        <w:t xml:space="preserve">In terms of </w:t>
      </w:r>
      <w:r w:rsidR="00993342" w:rsidRPr="00CD59CC">
        <w:rPr>
          <w:rFonts w:ascii="Arial" w:hAnsi="Arial" w:cs="Arial"/>
        </w:rPr>
        <w:t xml:space="preserve">Article 18 </w:t>
      </w:r>
      <w:r w:rsidR="00635D9F" w:rsidRPr="00CD59CC">
        <w:rPr>
          <w:rFonts w:ascii="Arial" w:hAnsi="Arial" w:cs="Arial"/>
        </w:rPr>
        <w:t xml:space="preserve">Paragraph (2) of the </w:t>
      </w:r>
      <w:r w:rsidR="00993342" w:rsidRPr="00CD59CC">
        <w:rPr>
          <w:rFonts w:ascii="Arial" w:hAnsi="Arial" w:cs="Arial"/>
        </w:rPr>
        <w:t>ETA</w:t>
      </w:r>
      <w:r w:rsidR="00F62AC4" w:rsidRPr="00CD59CC">
        <w:rPr>
          <w:rFonts w:ascii="Arial" w:hAnsi="Arial" w:cs="Arial"/>
        </w:rPr>
        <w:t>, non-governmental and interest representation organisations are entitled to the rights of the concerned party in administrative proceedings initiated due to the infringement of the requirement of equal treatment, which means they can enter already running proceedings to support the complainant, but cannot initiate the proceeding if the victim has not done that.</w:t>
      </w:r>
    </w:p>
    <w:p w14:paraId="2359BFEA" w14:textId="77777777" w:rsidR="00F62AC4" w:rsidRPr="00CD59CC" w:rsidRDefault="00F62AC4" w:rsidP="00CD59CC">
      <w:pPr>
        <w:ind w:left="567" w:hanging="567"/>
        <w:rPr>
          <w:rFonts w:ascii="Arial" w:hAnsi="Arial" w:cs="Arial"/>
          <w:i/>
        </w:rPr>
      </w:pPr>
    </w:p>
    <w:p w14:paraId="45243725" w14:textId="77777777" w:rsidR="002B5BCD" w:rsidRPr="00CD59CC" w:rsidRDefault="002B5BCD" w:rsidP="00CD59CC">
      <w:pPr>
        <w:numPr>
          <w:ilvl w:val="0"/>
          <w:numId w:val="22"/>
        </w:numPr>
        <w:ind w:left="567" w:hanging="567"/>
        <w:rPr>
          <w:rFonts w:ascii="Arial" w:hAnsi="Arial" w:cs="Arial"/>
          <w:i/>
        </w:rPr>
      </w:pPr>
      <w:r w:rsidRPr="00CD59CC">
        <w:rPr>
          <w:rFonts w:ascii="Arial" w:hAnsi="Arial" w:cs="Arial"/>
          <w:i/>
        </w:rPr>
        <w:lastRenderedPageBreak/>
        <w:t xml:space="preserve">What types of entities are entitled under national law to act on behalf or in support of victims of discrimination? (please note that these may be any association, organisation, trade union, etc.). </w:t>
      </w:r>
    </w:p>
    <w:p w14:paraId="196456B1" w14:textId="77777777" w:rsidR="002B5BCD" w:rsidRPr="00CD59CC" w:rsidRDefault="002B5BCD" w:rsidP="00CD59CC">
      <w:pPr>
        <w:rPr>
          <w:rFonts w:ascii="Arial" w:hAnsi="Arial" w:cs="Arial"/>
          <w:b/>
        </w:rPr>
      </w:pPr>
    </w:p>
    <w:p w14:paraId="558B430D" w14:textId="6CAC8607" w:rsidR="003E35B0" w:rsidRPr="00CD59CC" w:rsidRDefault="003E35B0" w:rsidP="00CD59CC">
      <w:pPr>
        <w:rPr>
          <w:rFonts w:ascii="Arial" w:hAnsi="Arial" w:cs="Arial"/>
        </w:rPr>
      </w:pPr>
      <w:r w:rsidRPr="00CD59CC">
        <w:rPr>
          <w:rFonts w:ascii="Arial" w:hAnsi="Arial" w:cs="Arial"/>
        </w:rPr>
        <w:t>Under Article 3 of the ETA, a “</w:t>
      </w:r>
      <w:r w:rsidRPr="00CD59CC">
        <w:rPr>
          <w:rFonts w:ascii="Arial" w:hAnsi="Arial" w:cs="Arial"/>
          <w:b/>
        </w:rPr>
        <w:t>non-governmental and interest representation organisation</w:t>
      </w:r>
      <w:r w:rsidRPr="00CD59CC">
        <w:rPr>
          <w:rFonts w:ascii="Arial" w:hAnsi="Arial" w:cs="Arial"/>
        </w:rPr>
        <w:t>” means:</w:t>
      </w:r>
    </w:p>
    <w:p w14:paraId="5A98323F" w14:textId="77777777" w:rsidR="003E35B0" w:rsidRPr="00CD59CC" w:rsidRDefault="003E35B0" w:rsidP="00CD59CC">
      <w:pPr>
        <w:rPr>
          <w:rFonts w:ascii="Arial" w:hAnsi="Arial" w:cs="Arial"/>
        </w:rPr>
      </w:pPr>
    </w:p>
    <w:p w14:paraId="1BCC83A4" w14:textId="2F699A6A" w:rsidR="003E35B0" w:rsidRPr="00CD59CC" w:rsidRDefault="003E35B0" w:rsidP="007B4138">
      <w:pPr>
        <w:numPr>
          <w:ilvl w:val="0"/>
          <w:numId w:val="66"/>
        </w:numPr>
        <w:ind w:left="567" w:hanging="567"/>
        <w:rPr>
          <w:rFonts w:ascii="Arial" w:hAnsi="Arial" w:cs="Arial"/>
        </w:rPr>
      </w:pPr>
      <w:r w:rsidRPr="00CD59CC">
        <w:rPr>
          <w:rFonts w:ascii="Arial" w:hAnsi="Arial" w:cs="Arial"/>
          <w:b/>
        </w:rPr>
        <w:t>Any non-governmental organisation or foundation</w:t>
      </w:r>
      <w:r w:rsidRPr="00CD59CC">
        <w:rPr>
          <w:rFonts w:ascii="Arial" w:hAnsi="Arial" w:cs="Arial"/>
        </w:rPr>
        <w:t xml:space="preserve"> whose objectives set out in its articles of association or statutes include the promotion of equal social opportunities of disadvantageous groups or the protection of human rights. As from 1 February 2012 it has been added to the definition that the protected ground shall be explicitly mentioned in the statutes, which means that for instance an LGBT organisation will not be authorised to launch </w:t>
      </w:r>
      <w:r w:rsidRPr="00CD59CC">
        <w:rPr>
          <w:rFonts w:ascii="Arial" w:hAnsi="Arial" w:cs="Arial"/>
          <w:i/>
        </w:rPr>
        <w:t>actio popularis</w:t>
      </w:r>
      <w:r w:rsidRPr="00CD59CC">
        <w:rPr>
          <w:rFonts w:ascii="Arial" w:hAnsi="Arial" w:cs="Arial"/>
        </w:rPr>
        <w:t xml:space="preserve"> procedures against discrimination concerning persons with disabilities, unless its statutes contain reference to disability. Based on the text of the law, the amendment should not prevent organisations aimed to protect the rights of a particular group from taking action against intersectional discrimination if the protected ground that is relevant for them is among those that are concerned in the given case, but – in the absence of case law – it still needs to be seen whether a flexible or restrictive interpretation will be adopted. </w:t>
      </w:r>
    </w:p>
    <w:p w14:paraId="0FE2DB82" w14:textId="77777777" w:rsidR="003E35B0" w:rsidRPr="00CD59CC" w:rsidRDefault="003E35B0" w:rsidP="007B4138">
      <w:pPr>
        <w:numPr>
          <w:ilvl w:val="0"/>
          <w:numId w:val="66"/>
        </w:numPr>
        <w:ind w:left="567" w:hanging="567"/>
        <w:rPr>
          <w:rFonts w:ascii="Arial" w:hAnsi="Arial" w:cs="Arial"/>
        </w:rPr>
      </w:pPr>
      <w:r w:rsidRPr="00CD59CC">
        <w:rPr>
          <w:rFonts w:ascii="Arial" w:hAnsi="Arial" w:cs="Arial"/>
        </w:rPr>
        <w:t xml:space="preserve">The </w:t>
      </w:r>
      <w:r w:rsidRPr="00CD59CC">
        <w:rPr>
          <w:rFonts w:ascii="Arial" w:hAnsi="Arial" w:cs="Arial"/>
          <w:b/>
        </w:rPr>
        <w:t>minority (nationality) self-government</w:t>
      </w:r>
      <w:r w:rsidRPr="00CD59CC">
        <w:rPr>
          <w:rFonts w:ascii="Arial" w:hAnsi="Arial" w:cs="Arial"/>
        </w:rPr>
        <w:t xml:space="preserve"> in respect of a particular national and ethnic minority.</w:t>
      </w:r>
    </w:p>
    <w:p w14:paraId="0D0BD529" w14:textId="77777777" w:rsidR="003E35B0" w:rsidRPr="00CD59CC" w:rsidRDefault="003E35B0" w:rsidP="007B4138">
      <w:pPr>
        <w:numPr>
          <w:ilvl w:val="0"/>
          <w:numId w:val="66"/>
        </w:numPr>
        <w:ind w:left="567" w:hanging="567"/>
        <w:rPr>
          <w:rFonts w:ascii="Arial" w:hAnsi="Arial" w:cs="Arial"/>
        </w:rPr>
      </w:pPr>
      <w:r w:rsidRPr="00CD59CC">
        <w:rPr>
          <w:rFonts w:ascii="Arial" w:hAnsi="Arial" w:cs="Arial"/>
        </w:rPr>
        <w:t xml:space="preserve">The </w:t>
      </w:r>
      <w:r w:rsidRPr="00CD59CC">
        <w:rPr>
          <w:rFonts w:ascii="Arial" w:hAnsi="Arial" w:cs="Arial"/>
          <w:b/>
        </w:rPr>
        <w:t>trade union</w:t>
      </w:r>
      <w:r w:rsidRPr="00CD59CC">
        <w:rPr>
          <w:rFonts w:ascii="Arial" w:hAnsi="Arial" w:cs="Arial"/>
        </w:rPr>
        <w:t xml:space="preserve"> in respect of matters related to employees’ material, social and cultural situation and living and working conditions. </w:t>
      </w:r>
    </w:p>
    <w:p w14:paraId="19FD2B96" w14:textId="77777777" w:rsidR="002B5BCD" w:rsidRPr="00BB4E9F" w:rsidRDefault="002B5BCD" w:rsidP="00BB4E9F">
      <w:pPr>
        <w:ind w:left="567" w:hanging="567"/>
        <w:rPr>
          <w:rFonts w:ascii="Arial" w:hAnsi="Arial"/>
          <w:i/>
        </w:rPr>
      </w:pPr>
    </w:p>
    <w:p w14:paraId="0B64ED26" w14:textId="77777777" w:rsidR="002B5BCD" w:rsidRPr="00BB4E9F" w:rsidRDefault="002B5BCD" w:rsidP="00CD59CC">
      <w:pPr>
        <w:numPr>
          <w:ilvl w:val="0"/>
          <w:numId w:val="22"/>
        </w:numPr>
        <w:ind w:left="567" w:hanging="567"/>
        <w:rPr>
          <w:rFonts w:ascii="Arial" w:hAnsi="Arial"/>
          <w:i/>
          <w:lang w:val="en-US"/>
        </w:rPr>
      </w:pPr>
      <w:r w:rsidRPr="00CD59CC">
        <w:rPr>
          <w:rFonts w:ascii="Arial" w:hAnsi="Arial" w:cs="Arial"/>
          <w:i/>
        </w:rPr>
        <w:t xml:space="preserve">What are the respective terms and conditions under national law for associations to engage in proceedings on behalf and in support of complainants? Please explain any difference in the way those two types of standing (on behalf/in support) are governed. In particular, is it </w:t>
      </w:r>
      <w:r w:rsidRPr="00BB4E9F">
        <w:rPr>
          <w:rFonts w:ascii="Arial" w:hAnsi="Arial"/>
          <w:i/>
          <w:lang w:val="en-US"/>
        </w:rPr>
        <w:t>necessary for these associations to be incorporated/registered? Are there any specific chartered aims an entity needs to have; are there any membership or permanency requirements (a set number of members or years of existence), or any other requirement (please specify)? If the law requires entities to prove “legitimate interest”, what types of proof are needed? Are there legal presumptions of “legitimate interest”?</w:t>
      </w:r>
    </w:p>
    <w:p w14:paraId="39EA925D" w14:textId="77777777" w:rsidR="002B5BCD" w:rsidRPr="00BB4E9F" w:rsidRDefault="002B5BCD" w:rsidP="00CD59CC">
      <w:pPr>
        <w:ind w:left="567" w:hanging="567"/>
        <w:rPr>
          <w:rFonts w:ascii="Arial" w:hAnsi="Arial"/>
          <w:i/>
          <w:lang w:val="en-US"/>
        </w:rPr>
      </w:pPr>
    </w:p>
    <w:p w14:paraId="13A5E96D" w14:textId="77777777" w:rsidR="003E35B0" w:rsidRPr="00CD59CC" w:rsidRDefault="003E35B0" w:rsidP="00CD59CC">
      <w:pPr>
        <w:pStyle w:val="ListParagraph"/>
        <w:ind w:left="0"/>
        <w:rPr>
          <w:rFonts w:ascii="Arial" w:hAnsi="Arial" w:cs="Arial"/>
        </w:rPr>
      </w:pPr>
      <w:r w:rsidRPr="00CD59CC">
        <w:rPr>
          <w:rFonts w:ascii="Arial" w:hAnsi="Arial" w:cs="Arial"/>
        </w:rPr>
        <w:t xml:space="preserve">As it is outlined above, only those </w:t>
      </w:r>
      <w:r w:rsidRPr="00CD59CC">
        <w:rPr>
          <w:rFonts w:ascii="Arial" w:hAnsi="Arial" w:cs="Arial"/>
          <w:b/>
        </w:rPr>
        <w:t>non-governmental organisations and foundations</w:t>
      </w:r>
      <w:r w:rsidRPr="00CD59CC">
        <w:rPr>
          <w:rFonts w:ascii="Arial" w:hAnsi="Arial" w:cs="Arial"/>
        </w:rPr>
        <w:t xml:space="preserve"> are authorised to act on behalf or in support of the victims, whose objectives set out in the articles of association or statutes include the promotion of equal social opportunities of disadvantageous groups or the protection of human rights, and they may only act to promote the right of those protected groups that are expressly mentioned in their articles of association. There are no further conditions for the legal standing.</w:t>
      </w:r>
    </w:p>
    <w:p w14:paraId="5EF8B650" w14:textId="77777777" w:rsidR="003E35B0" w:rsidRPr="00CD59CC" w:rsidRDefault="003E35B0" w:rsidP="00CD59CC">
      <w:pPr>
        <w:pStyle w:val="ListParagraph"/>
        <w:ind w:left="0"/>
        <w:rPr>
          <w:rFonts w:ascii="Arial" w:hAnsi="Arial" w:cs="Arial"/>
        </w:rPr>
      </w:pPr>
    </w:p>
    <w:p w14:paraId="0677125A" w14:textId="41C43F33" w:rsidR="003E35B0" w:rsidRPr="00CD59CC" w:rsidRDefault="003E35B0" w:rsidP="00CD59CC">
      <w:pPr>
        <w:pStyle w:val="ListParagraph"/>
        <w:ind w:left="0"/>
        <w:rPr>
          <w:rFonts w:ascii="Arial" w:hAnsi="Arial" w:cs="Arial"/>
        </w:rPr>
      </w:pPr>
      <w:r w:rsidRPr="00CD59CC">
        <w:rPr>
          <w:rFonts w:ascii="Arial" w:hAnsi="Arial" w:cs="Arial"/>
        </w:rPr>
        <w:t xml:space="preserve">As to the registration of such entities, the following needs to be pointed out. Under Article 3 of Act CLXXV of 2011 on the Right to Association (Act on Association), </w:t>
      </w:r>
      <w:r w:rsidRPr="00CD59CC">
        <w:rPr>
          <w:rFonts w:ascii="Arial" w:hAnsi="Arial" w:cs="Arial"/>
        </w:rPr>
        <w:lastRenderedPageBreak/>
        <w:t>everyone has the right to form associations, provided that (i) the organisation is not aimed at or engaged in the violent seizure or exercise, or the exclusive possession of power; (ii) it is not aimed at or engaged in criminal activities; (iii) it is not aimed at or engaged in the violation of the rights and freedoms of others.</w:t>
      </w:r>
      <w:r w:rsidR="007B7640" w:rsidRPr="00CD59CC">
        <w:rPr>
          <w:rFonts w:ascii="Arial" w:hAnsi="Arial" w:cs="Arial"/>
        </w:rPr>
        <w:t xml:space="preserve"> </w:t>
      </w:r>
    </w:p>
    <w:p w14:paraId="2107C0C4" w14:textId="77777777" w:rsidR="003E35B0" w:rsidRPr="00CD59CC" w:rsidRDefault="003E35B0" w:rsidP="00CD59CC">
      <w:pPr>
        <w:pStyle w:val="ListParagraph"/>
        <w:ind w:left="0"/>
        <w:rPr>
          <w:rFonts w:ascii="Arial" w:hAnsi="Arial" w:cs="Arial"/>
        </w:rPr>
      </w:pPr>
    </w:p>
    <w:p w14:paraId="417AF047" w14:textId="77777777" w:rsidR="003E35B0" w:rsidRPr="00CD59CC" w:rsidRDefault="003E35B0" w:rsidP="00CD59CC">
      <w:pPr>
        <w:pStyle w:val="ListParagraph"/>
        <w:ind w:left="0"/>
        <w:rPr>
          <w:rFonts w:ascii="Arial" w:hAnsi="Arial" w:cs="Arial"/>
        </w:rPr>
      </w:pPr>
      <w:r w:rsidRPr="00CD59CC">
        <w:rPr>
          <w:rFonts w:ascii="Arial" w:hAnsi="Arial" w:cs="Arial"/>
        </w:rPr>
        <w:t>In terms of Article 4, an association shall be registered by the competent county court and is to be regarded as existing only if the court has registered it. In terms of Article 30 of Act CLXXXI of 2011 on the Court Registration of NGOs and the Procedural Rules Pertaining Thereto, the court shall not refuse to register a social organisation if it meets the legally required conditions.</w:t>
      </w:r>
    </w:p>
    <w:p w14:paraId="24609BCD" w14:textId="77777777" w:rsidR="003E35B0" w:rsidRPr="00CD59CC" w:rsidRDefault="003E35B0" w:rsidP="00CD59CC">
      <w:pPr>
        <w:pStyle w:val="ListParagraph"/>
        <w:ind w:left="0"/>
        <w:rPr>
          <w:rFonts w:ascii="Arial" w:hAnsi="Arial" w:cs="Arial"/>
        </w:rPr>
      </w:pPr>
    </w:p>
    <w:p w14:paraId="2945D04E" w14:textId="77777777" w:rsidR="003E35B0" w:rsidRPr="00CD59CC" w:rsidRDefault="003E35B0" w:rsidP="00CD59CC">
      <w:pPr>
        <w:pStyle w:val="ListParagraph"/>
        <w:ind w:left="0"/>
        <w:rPr>
          <w:rFonts w:ascii="Arial" w:hAnsi="Arial" w:cs="Arial"/>
        </w:rPr>
      </w:pPr>
      <w:r w:rsidRPr="00CD59CC">
        <w:rPr>
          <w:rFonts w:ascii="Arial" w:hAnsi="Arial" w:cs="Arial"/>
        </w:rPr>
        <w:t>Minority self-governments and trade unions have a legal standing only in a limited circle of cases (also outlined above).</w:t>
      </w:r>
    </w:p>
    <w:p w14:paraId="76550917" w14:textId="77777777" w:rsidR="003E35B0" w:rsidRPr="00CD59CC" w:rsidRDefault="003E35B0" w:rsidP="00CD59CC">
      <w:pPr>
        <w:pStyle w:val="ListParagraph"/>
        <w:ind w:left="0"/>
        <w:rPr>
          <w:rFonts w:ascii="Arial" w:hAnsi="Arial" w:cs="Arial"/>
        </w:rPr>
      </w:pPr>
    </w:p>
    <w:p w14:paraId="374A9F82" w14:textId="20B95288" w:rsidR="003E35B0" w:rsidRPr="00CD59CC" w:rsidRDefault="003E35B0" w:rsidP="00CD59CC">
      <w:pPr>
        <w:pStyle w:val="ListParagraph"/>
        <w:ind w:left="0"/>
        <w:rPr>
          <w:rFonts w:ascii="Arial" w:hAnsi="Arial" w:cs="Arial"/>
        </w:rPr>
      </w:pPr>
      <w:r w:rsidRPr="00CD59CC">
        <w:rPr>
          <w:rFonts w:ascii="Arial" w:hAnsi="Arial" w:cs="Arial"/>
          <w:b/>
        </w:rPr>
        <w:t>Nationality self-governments</w:t>
      </w:r>
      <w:r w:rsidRPr="00CD59CC">
        <w:rPr>
          <w:rFonts w:ascii="Arial" w:hAnsi="Arial" w:cs="Arial"/>
        </w:rPr>
        <w:t xml:space="preserve"> exist by the power of law. Article 10 of the Act on Nationalities authorises the minority communities to establish their self-governments.</w:t>
      </w:r>
    </w:p>
    <w:p w14:paraId="44D60449" w14:textId="77777777" w:rsidR="003E35B0" w:rsidRPr="00CD59CC" w:rsidRDefault="003E35B0" w:rsidP="00CD59CC">
      <w:pPr>
        <w:pStyle w:val="ListParagraph"/>
        <w:ind w:left="0"/>
        <w:rPr>
          <w:rFonts w:ascii="Arial" w:hAnsi="Arial" w:cs="Arial"/>
        </w:rPr>
      </w:pPr>
    </w:p>
    <w:p w14:paraId="616F37FD" w14:textId="77777777" w:rsidR="003E35B0" w:rsidRPr="00CD59CC" w:rsidRDefault="003E35B0" w:rsidP="00CD59CC">
      <w:pPr>
        <w:pStyle w:val="ListParagraph"/>
        <w:ind w:left="0"/>
        <w:rPr>
          <w:rFonts w:ascii="Arial" w:hAnsi="Arial" w:cs="Arial"/>
        </w:rPr>
      </w:pPr>
      <w:r w:rsidRPr="00CD59CC">
        <w:rPr>
          <w:rFonts w:ascii="Arial" w:hAnsi="Arial" w:cs="Arial"/>
          <w:b/>
        </w:rPr>
        <w:t>Trade unions</w:t>
      </w:r>
      <w:r w:rsidRPr="00CD59CC">
        <w:rPr>
          <w:rFonts w:ascii="Arial" w:hAnsi="Arial" w:cs="Arial"/>
        </w:rPr>
        <w:t xml:space="preserve"> are social organisations organised for the protection of the interest of the employees. They are established along the same lines as other social organisations in accordance with the provisions of the Act on Association. </w:t>
      </w:r>
    </w:p>
    <w:p w14:paraId="02C3CC17" w14:textId="77777777" w:rsidR="00D04BD9" w:rsidRPr="00E34CF1" w:rsidRDefault="00D04BD9" w:rsidP="00BB4E9F">
      <w:pPr>
        <w:pStyle w:val="BodyText"/>
        <w:rPr>
          <w:rFonts w:ascii="Arial" w:hAnsi="Arial"/>
        </w:rPr>
      </w:pPr>
    </w:p>
    <w:p w14:paraId="4F3764AB" w14:textId="77777777" w:rsidR="002B5BCD" w:rsidRPr="00BB4E9F" w:rsidRDefault="002B5BCD" w:rsidP="00CD59CC">
      <w:pPr>
        <w:pStyle w:val="a"/>
        <w:numPr>
          <w:ilvl w:val="0"/>
          <w:numId w:val="22"/>
        </w:numPr>
        <w:spacing w:after="0" w:line="240" w:lineRule="auto"/>
        <w:ind w:left="567" w:hanging="567"/>
        <w:rPr>
          <w:rFonts w:ascii="Arial" w:hAnsi="Arial"/>
          <w:i/>
          <w:lang w:val="en-US"/>
        </w:rPr>
      </w:pPr>
      <w:r w:rsidRPr="00BB4E9F">
        <w:rPr>
          <w:rFonts w:ascii="Arial" w:hAnsi="Arial"/>
          <w:i/>
          <w:lang w:val="en-US"/>
        </w:rPr>
        <w:t>Where entities act on behalf or in support of victims, what form of authorization by a victim do they need? Are there any special provisions on victim consent in cases, where obtaining formal authorization is problematic, e.g. of minors or of persons under guardianship?</w:t>
      </w:r>
    </w:p>
    <w:p w14:paraId="1B1DE172" w14:textId="77777777" w:rsidR="002B5BCD" w:rsidRPr="00BB4E9F" w:rsidRDefault="002B5BCD" w:rsidP="00CD59CC">
      <w:pPr>
        <w:ind w:left="567" w:hanging="567"/>
        <w:rPr>
          <w:rFonts w:ascii="Arial" w:hAnsi="Arial"/>
          <w:i/>
          <w:lang w:val="en-US"/>
        </w:rPr>
      </w:pPr>
    </w:p>
    <w:p w14:paraId="645E866A" w14:textId="77777777" w:rsidR="003E35B0" w:rsidRPr="00CD59CC" w:rsidRDefault="003E35B0" w:rsidP="00CD59CC">
      <w:pPr>
        <w:pStyle w:val="BodyText"/>
        <w:rPr>
          <w:rFonts w:ascii="Arial" w:hAnsi="Arial" w:cs="Arial"/>
          <w:i w:val="0"/>
          <w:iCs w:val="0"/>
          <w:lang w:val="en-GB"/>
        </w:rPr>
      </w:pPr>
      <w:r w:rsidRPr="00CD59CC">
        <w:rPr>
          <w:rFonts w:ascii="Arial" w:hAnsi="Arial" w:cs="Arial"/>
          <w:i w:val="0"/>
          <w:iCs w:val="0"/>
          <w:lang w:val="en-GB"/>
        </w:rPr>
        <w:t xml:space="preserve">When such organisations act in support of the victim by entering the proceeding, they do not need an authorisation. </w:t>
      </w:r>
    </w:p>
    <w:p w14:paraId="19576C99" w14:textId="77777777" w:rsidR="003E35B0" w:rsidRPr="00CD59CC" w:rsidRDefault="003E35B0" w:rsidP="00CD59CC">
      <w:pPr>
        <w:pStyle w:val="BodyText"/>
        <w:rPr>
          <w:rFonts w:ascii="Arial" w:hAnsi="Arial" w:cs="Arial"/>
          <w:i w:val="0"/>
          <w:iCs w:val="0"/>
          <w:lang w:val="en-GB"/>
        </w:rPr>
      </w:pPr>
    </w:p>
    <w:p w14:paraId="49EDE620" w14:textId="52C345CB" w:rsidR="003E35B0" w:rsidRPr="00CD59CC" w:rsidRDefault="003E35B0" w:rsidP="00CD59CC">
      <w:pPr>
        <w:pStyle w:val="BodyText"/>
        <w:rPr>
          <w:rFonts w:ascii="Arial" w:hAnsi="Arial" w:cs="Arial"/>
          <w:i w:val="0"/>
          <w:iCs w:val="0"/>
          <w:lang w:val="en-GB"/>
        </w:rPr>
      </w:pPr>
      <w:r w:rsidRPr="00CD59CC">
        <w:rPr>
          <w:rFonts w:ascii="Arial" w:hAnsi="Arial" w:cs="Arial"/>
          <w:i w:val="0"/>
          <w:iCs w:val="0"/>
          <w:lang w:val="en-GB"/>
        </w:rPr>
        <w:t xml:space="preserve">In order for them to act on behalf of the victim, they need an authorisation in line with the general rules pertaining to authorisations (as prescribed by Article 196 of the Code of Civil Procedure). The usual practice is that they either give an authorisation to an attorney at law who is commissioned by the </w:t>
      </w:r>
      <w:r w:rsidRPr="00CD59CC">
        <w:rPr>
          <w:rFonts w:ascii="Arial" w:hAnsi="Arial" w:cs="Arial"/>
          <w:i w:val="0"/>
          <w:lang w:val="en-GB"/>
        </w:rPr>
        <w:t xml:space="preserve">non-governmental and interest representation </w:t>
      </w:r>
      <w:r w:rsidRPr="00CD59CC">
        <w:rPr>
          <w:rFonts w:ascii="Arial" w:hAnsi="Arial" w:cs="Arial"/>
          <w:i w:val="0"/>
          <w:iCs w:val="0"/>
          <w:lang w:val="en-GB"/>
        </w:rPr>
        <w:t>organisation, or they authorise an employee of the organisation in a way that in the authorisation it is indicated that that person is representing the victim on behalf of the organisation.</w:t>
      </w:r>
    </w:p>
    <w:p w14:paraId="46A22A79" w14:textId="77777777" w:rsidR="003E35B0" w:rsidRPr="00CD59CC" w:rsidRDefault="003E35B0" w:rsidP="00CD59CC">
      <w:pPr>
        <w:pStyle w:val="BodyText"/>
        <w:rPr>
          <w:rFonts w:ascii="Arial" w:hAnsi="Arial" w:cs="Arial"/>
          <w:i w:val="0"/>
          <w:iCs w:val="0"/>
          <w:lang w:val="en-GB"/>
        </w:rPr>
      </w:pPr>
    </w:p>
    <w:p w14:paraId="56443D6C" w14:textId="77777777" w:rsidR="003E35B0" w:rsidRPr="00CD59CC" w:rsidRDefault="003E35B0" w:rsidP="00CD59CC">
      <w:pPr>
        <w:rPr>
          <w:rFonts w:ascii="Arial" w:hAnsi="Arial" w:cs="Arial"/>
        </w:rPr>
      </w:pPr>
      <w:r w:rsidRPr="00CD59CC">
        <w:rPr>
          <w:rFonts w:ascii="Arial" w:hAnsi="Arial" w:cs="Arial"/>
        </w:rPr>
        <w:t>Unfortunately there no special provisions on victim consent in cases, where obtaining formal authorisation is problematic, e.g. of minors or of persons under guardianship. In practice, this has caused problems when people under guardianship wished to take action against the Guardianship Office, but the guardians employed by the office obviously refused to sign the powers of attorney.</w:t>
      </w:r>
    </w:p>
    <w:p w14:paraId="12F52D6E" w14:textId="77777777" w:rsidR="003E35B0" w:rsidRPr="00BB4E9F" w:rsidRDefault="003E35B0" w:rsidP="00CD59CC">
      <w:pPr>
        <w:ind w:left="567" w:hanging="567"/>
        <w:rPr>
          <w:rFonts w:ascii="Arial" w:hAnsi="Arial"/>
          <w:i/>
          <w:lang w:val="en-US"/>
        </w:rPr>
      </w:pPr>
    </w:p>
    <w:p w14:paraId="62DC9C97" w14:textId="77777777" w:rsidR="002B5BCD" w:rsidRPr="00CD59CC" w:rsidRDefault="002B5BCD" w:rsidP="00CD59CC">
      <w:pPr>
        <w:numPr>
          <w:ilvl w:val="0"/>
          <w:numId w:val="22"/>
        </w:numPr>
        <w:ind w:left="567" w:hanging="567"/>
        <w:rPr>
          <w:rFonts w:ascii="Arial" w:hAnsi="Arial" w:cs="Arial"/>
          <w:i/>
        </w:rPr>
      </w:pPr>
      <w:r w:rsidRPr="00BB4E9F">
        <w:rPr>
          <w:rFonts w:ascii="Arial" w:hAnsi="Arial"/>
          <w:i/>
          <w:lang w:val="en-US"/>
        </w:rPr>
        <w:t xml:space="preserve">Is action by all associations discretionary or </w:t>
      </w:r>
      <w:r w:rsidR="00761DB0" w:rsidRPr="00CD59CC">
        <w:rPr>
          <w:rFonts w:ascii="Arial" w:hAnsi="Arial" w:cs="Arial"/>
          <w:i/>
          <w:lang w:val="en-US"/>
        </w:rPr>
        <w:t>do</w:t>
      </w:r>
      <w:r w:rsidR="00A419F8" w:rsidRPr="00CD59CC">
        <w:rPr>
          <w:rFonts w:ascii="Arial" w:hAnsi="Arial" w:cs="Arial"/>
          <w:i/>
          <w:lang w:val="en-US"/>
        </w:rPr>
        <w:t xml:space="preserve"> </w:t>
      </w:r>
      <w:r w:rsidRPr="00BB4E9F">
        <w:rPr>
          <w:rFonts w:ascii="Arial" w:hAnsi="Arial"/>
          <w:i/>
          <w:lang w:val="en-US"/>
        </w:rPr>
        <w:t xml:space="preserve">some </w:t>
      </w:r>
      <w:r w:rsidR="00D919BE" w:rsidRPr="00CD59CC">
        <w:rPr>
          <w:rFonts w:ascii="Arial" w:hAnsi="Arial" w:cs="Arial"/>
          <w:i/>
          <w:lang w:val="en-US"/>
        </w:rPr>
        <w:t xml:space="preserve">associations </w:t>
      </w:r>
      <w:r w:rsidRPr="00BB4E9F">
        <w:rPr>
          <w:rFonts w:ascii="Arial" w:hAnsi="Arial"/>
          <w:i/>
          <w:lang w:val="en-US"/>
        </w:rPr>
        <w:t xml:space="preserve">have </w:t>
      </w:r>
      <w:r w:rsidR="00761DB0" w:rsidRPr="00CD59CC">
        <w:rPr>
          <w:rFonts w:ascii="Arial" w:hAnsi="Arial" w:cs="Arial"/>
          <w:i/>
          <w:lang w:val="en-US"/>
        </w:rPr>
        <w:t>a</w:t>
      </w:r>
      <w:r w:rsidR="00A419F8" w:rsidRPr="00CD59CC">
        <w:rPr>
          <w:rFonts w:ascii="Arial" w:hAnsi="Arial" w:cs="Arial"/>
          <w:i/>
          <w:lang w:val="en-US"/>
        </w:rPr>
        <w:t xml:space="preserve"> </w:t>
      </w:r>
      <w:r w:rsidRPr="00BB4E9F">
        <w:rPr>
          <w:rFonts w:ascii="Arial" w:hAnsi="Arial"/>
          <w:i/>
          <w:lang w:val="en-US"/>
        </w:rPr>
        <w:t>legal duty to act under certain circumstances? Please describe.</w:t>
      </w:r>
    </w:p>
    <w:p w14:paraId="44703F92" w14:textId="77777777" w:rsidR="002B5BCD" w:rsidRPr="00CD59CC" w:rsidRDefault="002B5BCD" w:rsidP="00CD59CC">
      <w:pPr>
        <w:ind w:left="567" w:hanging="567"/>
        <w:rPr>
          <w:rFonts w:ascii="Arial" w:hAnsi="Arial" w:cs="Arial"/>
          <w:i/>
        </w:rPr>
      </w:pPr>
    </w:p>
    <w:p w14:paraId="2143A167" w14:textId="77777777" w:rsidR="00D04BD9" w:rsidRPr="00CD59CC" w:rsidRDefault="00D04BD9" w:rsidP="00CD59CC">
      <w:pPr>
        <w:pStyle w:val="BodyText"/>
        <w:rPr>
          <w:rFonts w:ascii="Arial" w:hAnsi="Arial" w:cs="Arial"/>
          <w:i w:val="0"/>
          <w:iCs w:val="0"/>
          <w:lang w:val="en-GB"/>
        </w:rPr>
      </w:pPr>
      <w:r w:rsidRPr="00CD59CC">
        <w:rPr>
          <w:rFonts w:ascii="Arial" w:hAnsi="Arial" w:cs="Arial"/>
          <w:i w:val="0"/>
          <w:iCs w:val="0"/>
          <w:lang w:val="en-GB"/>
        </w:rPr>
        <w:lastRenderedPageBreak/>
        <w:t>Action by all associations is discretionary.</w:t>
      </w:r>
    </w:p>
    <w:p w14:paraId="3A93AC55" w14:textId="77777777" w:rsidR="00D04BD9" w:rsidRPr="00CD59CC" w:rsidRDefault="00D04BD9" w:rsidP="00CD59CC">
      <w:pPr>
        <w:ind w:left="567" w:hanging="567"/>
        <w:rPr>
          <w:rFonts w:ascii="Arial" w:hAnsi="Arial" w:cs="Arial"/>
          <w:i/>
        </w:rPr>
      </w:pPr>
    </w:p>
    <w:p w14:paraId="4E471065" w14:textId="77777777" w:rsidR="002B5BCD" w:rsidRPr="00CD59CC" w:rsidRDefault="002B5BCD" w:rsidP="00CD59CC">
      <w:pPr>
        <w:numPr>
          <w:ilvl w:val="0"/>
          <w:numId w:val="22"/>
        </w:numPr>
        <w:ind w:left="567" w:hanging="567"/>
        <w:rPr>
          <w:rFonts w:ascii="Arial" w:hAnsi="Arial" w:cs="Arial"/>
          <w:i/>
        </w:rPr>
      </w:pPr>
      <w:r w:rsidRPr="00CD59CC">
        <w:rPr>
          <w:rFonts w:ascii="Arial" w:hAnsi="Arial" w:cs="Arial"/>
          <w:i/>
        </w:rPr>
        <w:t>What types of proceedings (civil, administrative, criminal, etc.) may associations engage in? If there are any differences in associations’ standing in different types of proceedings, please specify.</w:t>
      </w:r>
    </w:p>
    <w:p w14:paraId="174CD287" w14:textId="77777777" w:rsidR="002B5BCD" w:rsidRPr="00CD59CC" w:rsidRDefault="002B5BCD" w:rsidP="00CD59CC">
      <w:pPr>
        <w:ind w:left="567" w:hanging="567"/>
        <w:rPr>
          <w:rFonts w:ascii="Arial" w:hAnsi="Arial" w:cs="Arial"/>
          <w:i/>
        </w:rPr>
      </w:pPr>
    </w:p>
    <w:p w14:paraId="793544BB" w14:textId="77777777" w:rsidR="003E35B0" w:rsidRPr="00CD59CC" w:rsidRDefault="003E35B0" w:rsidP="00CD59CC">
      <w:pPr>
        <w:pStyle w:val="ListParagraph"/>
        <w:ind w:left="567" w:hanging="567"/>
        <w:rPr>
          <w:rFonts w:ascii="Arial" w:hAnsi="Arial" w:cs="Arial"/>
          <w:iCs/>
        </w:rPr>
      </w:pPr>
      <w:r w:rsidRPr="00CD59CC">
        <w:rPr>
          <w:rFonts w:ascii="Arial" w:hAnsi="Arial" w:cs="Arial"/>
          <w:iCs/>
        </w:rPr>
        <w:t>The associations may not engage in criminal proceedings.</w:t>
      </w:r>
    </w:p>
    <w:p w14:paraId="0B9AA2E9" w14:textId="77777777" w:rsidR="003E35B0" w:rsidRPr="00CD59CC" w:rsidRDefault="003E35B0" w:rsidP="00CD59CC">
      <w:pPr>
        <w:pStyle w:val="ListParagraph"/>
        <w:ind w:left="567" w:hanging="567"/>
        <w:rPr>
          <w:rFonts w:ascii="Arial" w:hAnsi="Arial" w:cs="Arial"/>
          <w:iCs/>
        </w:rPr>
      </w:pPr>
    </w:p>
    <w:p w14:paraId="46688A8D" w14:textId="0E7167E8" w:rsidR="003E35B0" w:rsidRPr="00CD59CC" w:rsidRDefault="003E35B0" w:rsidP="00CD59CC">
      <w:pPr>
        <w:pStyle w:val="ListParagraph"/>
        <w:ind w:left="0"/>
        <w:rPr>
          <w:rFonts w:ascii="Arial" w:hAnsi="Arial" w:cs="Arial"/>
          <w:iCs/>
        </w:rPr>
      </w:pPr>
      <w:r w:rsidRPr="00CD59CC">
        <w:rPr>
          <w:rFonts w:ascii="Arial" w:hAnsi="Arial" w:cs="Arial"/>
          <w:iCs/>
        </w:rPr>
        <w:t>In administrative</w:t>
      </w:r>
      <w:r w:rsidR="007B7640" w:rsidRPr="00CD59CC">
        <w:rPr>
          <w:rFonts w:ascii="Arial" w:hAnsi="Arial" w:cs="Arial"/>
          <w:iCs/>
        </w:rPr>
        <w:t xml:space="preserve"> </w:t>
      </w:r>
      <w:r w:rsidRPr="00CD59CC">
        <w:rPr>
          <w:rFonts w:ascii="Arial" w:hAnsi="Arial" w:cs="Arial"/>
          <w:iCs/>
        </w:rPr>
        <w:t>proceedings initiated due to the infringement of the requirement the above quoted Article 18 Paragraph (2) of the ETA expressly authorises “non-governmental and interest representation organisations” to engage in the proceedings and exercise the rights of the concerned party.</w:t>
      </w:r>
    </w:p>
    <w:p w14:paraId="33982F1F" w14:textId="77777777" w:rsidR="003E35B0" w:rsidRPr="00CD59CC" w:rsidRDefault="003E35B0" w:rsidP="00CD59CC">
      <w:pPr>
        <w:pStyle w:val="ListParagraph"/>
        <w:ind w:left="0"/>
        <w:rPr>
          <w:rFonts w:ascii="Arial" w:hAnsi="Arial" w:cs="Arial"/>
          <w:iCs/>
        </w:rPr>
      </w:pPr>
    </w:p>
    <w:p w14:paraId="70548150" w14:textId="77777777" w:rsidR="003E35B0" w:rsidRPr="00CD59CC" w:rsidRDefault="003E35B0" w:rsidP="00CD59CC">
      <w:pPr>
        <w:pStyle w:val="ListParagraph"/>
        <w:ind w:left="0"/>
        <w:rPr>
          <w:rFonts w:ascii="Arial" w:hAnsi="Arial" w:cs="Arial"/>
          <w:iCs/>
        </w:rPr>
      </w:pPr>
      <w:r w:rsidRPr="00CD59CC">
        <w:rPr>
          <w:rFonts w:ascii="Arial" w:hAnsi="Arial" w:cs="Arial"/>
          <w:iCs/>
        </w:rPr>
        <w:t xml:space="preserve">In civil lawsuits associations may act on the basis of an authorisation from the victim [based on Article 67 Paragraph (1) Point (j) of the Code of Civil Procedure and Article 18 Paragraph (1) of the ETA], but do not have an express right to act in support of the victim. Under Article 54 of the Code of Civil Procedure, anyone who has a legal interest in the outcome of the procedure may enter a lawsuit as an interpleader with the aim of assisting the party with whom their interests coincide. For an association to be able to enter the proceeding on this basis, a </w:t>
      </w:r>
      <w:r w:rsidRPr="00CD59CC">
        <w:rPr>
          <w:rFonts w:ascii="Arial" w:hAnsi="Arial" w:cs="Arial"/>
          <w:b/>
          <w:iCs/>
        </w:rPr>
        <w:t>legal</w:t>
      </w:r>
      <w:r w:rsidRPr="00CD59CC">
        <w:rPr>
          <w:rFonts w:ascii="Arial" w:hAnsi="Arial" w:cs="Arial"/>
          <w:iCs/>
        </w:rPr>
        <w:t xml:space="preserve"> interest shall be substantiated, which – if interpreted narrowly – will be difficult in most cases. </w:t>
      </w:r>
    </w:p>
    <w:p w14:paraId="74F1DE15" w14:textId="77777777" w:rsidR="003E35B0" w:rsidRPr="00CD59CC" w:rsidRDefault="003E35B0" w:rsidP="00CD59CC">
      <w:pPr>
        <w:pStyle w:val="ListParagraph"/>
        <w:ind w:left="0"/>
        <w:rPr>
          <w:rFonts w:ascii="Arial" w:hAnsi="Arial" w:cs="Arial"/>
          <w:iCs/>
        </w:rPr>
      </w:pPr>
    </w:p>
    <w:p w14:paraId="7DE1CDED" w14:textId="77777777" w:rsidR="003E35B0" w:rsidRPr="00CD59CC" w:rsidRDefault="003E35B0" w:rsidP="00CD59CC">
      <w:pPr>
        <w:pStyle w:val="ListParagraph"/>
        <w:ind w:left="0"/>
        <w:rPr>
          <w:rFonts w:ascii="Arial" w:hAnsi="Arial" w:cs="Arial"/>
          <w:iCs/>
        </w:rPr>
      </w:pPr>
      <w:r w:rsidRPr="00CD59CC">
        <w:rPr>
          <w:rFonts w:ascii="Arial" w:hAnsi="Arial" w:cs="Arial"/>
          <w:iCs/>
        </w:rPr>
        <w:t>We do not have knowledge of related case law.</w:t>
      </w:r>
    </w:p>
    <w:p w14:paraId="5AA5F881" w14:textId="77777777" w:rsidR="003E35B0" w:rsidRPr="00CD59CC" w:rsidRDefault="003E35B0" w:rsidP="00CD59CC">
      <w:pPr>
        <w:ind w:left="567" w:hanging="567"/>
        <w:rPr>
          <w:rFonts w:ascii="Arial" w:hAnsi="Arial" w:cs="Arial"/>
          <w:i/>
        </w:rPr>
      </w:pPr>
    </w:p>
    <w:p w14:paraId="2C3B4CFF" w14:textId="77777777" w:rsidR="002B5BCD" w:rsidRPr="00CD59CC" w:rsidRDefault="002B5BCD" w:rsidP="00CD59CC">
      <w:pPr>
        <w:numPr>
          <w:ilvl w:val="0"/>
          <w:numId w:val="22"/>
        </w:numPr>
        <w:ind w:left="567" w:hanging="567"/>
        <w:rPr>
          <w:rFonts w:ascii="Arial" w:hAnsi="Arial" w:cs="Arial"/>
          <w:i/>
        </w:rPr>
      </w:pPr>
      <w:r w:rsidRPr="00CD59CC">
        <w:rPr>
          <w:rFonts w:ascii="Arial" w:hAnsi="Arial" w:cs="Arial"/>
          <w:i/>
        </w:rPr>
        <w:t>What type of remedies may associations seek and obtain? If there are any differences in associations’ standing in terms of remedies compared to actual victims, please specify.</w:t>
      </w:r>
    </w:p>
    <w:p w14:paraId="7A05AE32" w14:textId="77777777" w:rsidR="002B5BCD" w:rsidRPr="00BB4E9F" w:rsidRDefault="002B5BCD" w:rsidP="00CD59CC">
      <w:pPr>
        <w:pStyle w:val="a"/>
        <w:spacing w:after="0" w:line="240" w:lineRule="auto"/>
        <w:ind w:left="567" w:hanging="567"/>
        <w:rPr>
          <w:rFonts w:ascii="Arial" w:hAnsi="Arial"/>
          <w:i/>
          <w:lang w:val="en-US"/>
        </w:rPr>
      </w:pPr>
    </w:p>
    <w:p w14:paraId="46F8B304" w14:textId="77777777" w:rsidR="003E35B0" w:rsidRPr="00CD59CC" w:rsidRDefault="003E35B0" w:rsidP="00CD59CC">
      <w:pPr>
        <w:pStyle w:val="ListParagraph"/>
        <w:ind w:left="0"/>
        <w:rPr>
          <w:rFonts w:ascii="Arial" w:hAnsi="Arial" w:cs="Arial"/>
          <w:iCs/>
        </w:rPr>
      </w:pPr>
      <w:r w:rsidRPr="00CD59CC">
        <w:rPr>
          <w:rFonts w:ascii="Arial" w:hAnsi="Arial" w:cs="Arial"/>
          <w:iCs/>
        </w:rPr>
        <w:t xml:space="preserve">Associations may not seek and obtain remedies independently from the victim. </w:t>
      </w:r>
    </w:p>
    <w:p w14:paraId="4DF88E39" w14:textId="77777777" w:rsidR="003E35B0" w:rsidRPr="00BB4E9F" w:rsidRDefault="003E35B0" w:rsidP="00CD59CC">
      <w:pPr>
        <w:pStyle w:val="a"/>
        <w:spacing w:after="0" w:line="240" w:lineRule="auto"/>
        <w:ind w:left="567" w:hanging="567"/>
        <w:rPr>
          <w:rFonts w:ascii="Arial" w:hAnsi="Arial"/>
          <w:i/>
          <w:lang w:val="en-US"/>
        </w:rPr>
      </w:pPr>
    </w:p>
    <w:p w14:paraId="5374FE84" w14:textId="77777777" w:rsidR="002B5BCD" w:rsidRPr="00BB4E9F" w:rsidRDefault="002B5BCD" w:rsidP="00CD59CC">
      <w:pPr>
        <w:pStyle w:val="a"/>
        <w:numPr>
          <w:ilvl w:val="0"/>
          <w:numId w:val="22"/>
        </w:numPr>
        <w:spacing w:after="0" w:line="240" w:lineRule="auto"/>
        <w:ind w:left="567" w:hanging="567"/>
        <w:rPr>
          <w:rFonts w:ascii="Arial" w:hAnsi="Arial"/>
          <w:i/>
          <w:lang w:val="en-US"/>
        </w:rPr>
      </w:pPr>
      <w:r w:rsidRPr="00BB4E9F">
        <w:rPr>
          <w:rFonts w:ascii="Arial" w:hAnsi="Arial"/>
          <w:i/>
          <w:lang w:val="en-US"/>
        </w:rPr>
        <w:t>Are there any special rules on the shifting burden of proof where associations are engaged in proceedings?</w:t>
      </w:r>
    </w:p>
    <w:p w14:paraId="4A54F7AD" w14:textId="77777777" w:rsidR="003E35B0" w:rsidRPr="00BB4E9F" w:rsidRDefault="003E35B0" w:rsidP="00BB4E9F">
      <w:pPr>
        <w:pStyle w:val="a"/>
        <w:spacing w:after="0" w:line="240" w:lineRule="auto"/>
        <w:rPr>
          <w:rFonts w:ascii="Arial" w:hAnsi="Arial"/>
          <w:i/>
          <w:lang w:val="en-US"/>
        </w:rPr>
      </w:pPr>
    </w:p>
    <w:p w14:paraId="38AE8D00" w14:textId="77777777" w:rsidR="003E35B0" w:rsidRPr="00CD59CC" w:rsidRDefault="003E35B0" w:rsidP="00CD59CC">
      <w:pPr>
        <w:pStyle w:val="ListParagraph"/>
        <w:ind w:left="0"/>
        <w:rPr>
          <w:rFonts w:ascii="Arial" w:hAnsi="Arial" w:cs="Arial"/>
          <w:iCs/>
        </w:rPr>
      </w:pPr>
      <w:r w:rsidRPr="00CD59CC">
        <w:rPr>
          <w:rFonts w:ascii="Arial" w:hAnsi="Arial" w:cs="Arial"/>
          <w:iCs/>
        </w:rPr>
        <w:t xml:space="preserve">There are no special rules on the shifting burden of proof where associations are engaged in proceedings. </w:t>
      </w:r>
    </w:p>
    <w:p w14:paraId="1B641B15" w14:textId="77777777" w:rsidR="003E35B0" w:rsidRPr="00BB4E9F" w:rsidRDefault="003E35B0" w:rsidP="00CD59CC">
      <w:pPr>
        <w:pStyle w:val="a"/>
        <w:spacing w:after="0" w:line="240" w:lineRule="auto"/>
        <w:ind w:left="0"/>
        <w:rPr>
          <w:rFonts w:ascii="Arial" w:hAnsi="Arial"/>
          <w:i/>
          <w:lang w:val="en-US"/>
        </w:rPr>
      </w:pPr>
    </w:p>
    <w:p w14:paraId="6A6FC58D" w14:textId="77777777" w:rsidR="002B5BCD" w:rsidRPr="00BB4E9F" w:rsidRDefault="002B5BCD" w:rsidP="00CD59CC">
      <w:pPr>
        <w:pStyle w:val="a"/>
        <w:numPr>
          <w:ilvl w:val="0"/>
          <w:numId w:val="22"/>
        </w:numPr>
        <w:spacing w:after="0" w:line="240" w:lineRule="auto"/>
        <w:ind w:left="567" w:hanging="567"/>
        <w:rPr>
          <w:rFonts w:ascii="Arial" w:hAnsi="Arial"/>
          <w:i/>
          <w:lang w:val="en-US"/>
        </w:rPr>
      </w:pPr>
      <w:r w:rsidRPr="00BB4E9F">
        <w:rPr>
          <w:rFonts w:ascii="Arial" w:hAnsi="Arial"/>
          <w:i/>
          <w:lang w:val="en-US"/>
        </w:rPr>
        <w:t>Does national law allow associations to act in the public interest on their own behalf, without a specific victim to support or represent (</w:t>
      </w:r>
      <w:r w:rsidRPr="00BB4E9F">
        <w:rPr>
          <w:rFonts w:ascii="Arial" w:hAnsi="Arial"/>
          <w:b/>
          <w:i/>
          <w:lang w:val="en-US"/>
        </w:rPr>
        <w:t>actio popularis</w:t>
      </w:r>
      <w:r w:rsidRPr="00BB4E9F">
        <w:rPr>
          <w:rFonts w:ascii="Arial" w:hAnsi="Arial"/>
          <w:i/>
          <w:lang w:val="en-US"/>
        </w:rPr>
        <w:t>)? Please describe in detail the applicable rules, including the types of associations having such standing, the conditions for them to meet, the types of proceedings they may use, the types of remedies they may seek, and any special rules concerning the shifting burden of proof.</w:t>
      </w:r>
    </w:p>
    <w:p w14:paraId="5CFA92A7" w14:textId="77777777" w:rsidR="002B5BCD" w:rsidRPr="00CD59CC" w:rsidRDefault="002B5BCD" w:rsidP="00CD59CC">
      <w:pPr>
        <w:rPr>
          <w:rFonts w:ascii="Arial" w:hAnsi="Arial" w:cs="Arial"/>
        </w:rPr>
      </w:pPr>
    </w:p>
    <w:p w14:paraId="13D9081B" w14:textId="1EC5B1C0" w:rsidR="003E35B0" w:rsidRPr="00CD59CC" w:rsidRDefault="003E35B0" w:rsidP="00CD59CC">
      <w:pPr>
        <w:pStyle w:val="BodyText"/>
        <w:rPr>
          <w:rFonts w:ascii="Arial" w:hAnsi="Arial" w:cs="Arial"/>
          <w:i w:val="0"/>
          <w:lang w:val="en-GB"/>
        </w:rPr>
      </w:pPr>
      <w:r w:rsidRPr="00CD59CC">
        <w:rPr>
          <w:rFonts w:ascii="Arial" w:hAnsi="Arial" w:cs="Arial"/>
          <w:i w:val="0"/>
          <w:iCs w:val="0"/>
          <w:lang w:val="en-GB"/>
        </w:rPr>
        <w:t xml:space="preserve">The possibility of bringing an </w:t>
      </w:r>
      <w:r w:rsidRPr="00CD59CC">
        <w:rPr>
          <w:rFonts w:ascii="Arial" w:hAnsi="Arial" w:cs="Arial"/>
          <w:iCs w:val="0"/>
          <w:lang w:val="en-GB"/>
        </w:rPr>
        <w:t>actio popularis</w:t>
      </w:r>
      <w:r w:rsidRPr="00CD59CC">
        <w:rPr>
          <w:rFonts w:ascii="Arial" w:hAnsi="Arial" w:cs="Arial"/>
          <w:i w:val="0"/>
          <w:iCs w:val="0"/>
          <w:lang w:val="en-GB"/>
        </w:rPr>
        <w:t xml:space="preserve"> claim was introduced into the Hungarian system by Article 20 of the ETA. If the principle of equal treatment is violated or there is a direct danger thereof, a lawsuit for the infringement of inherent rights or a labour </w:t>
      </w:r>
      <w:r w:rsidRPr="00CD59CC">
        <w:rPr>
          <w:rFonts w:ascii="Arial" w:hAnsi="Arial" w:cs="Arial"/>
          <w:i w:val="0"/>
          <w:iCs w:val="0"/>
          <w:lang w:val="en-GB"/>
        </w:rPr>
        <w:lastRenderedPageBreak/>
        <w:t>lawsuit may be brought by a) the Public Prosecutor; b) the Authority, or c) any non-governmental and interest representation organisation, provided that the violation of the principle of equal treatment or the direct danger thereof was based on a characteristic that is an essential feature of the individual, and the violation affects a larger group of persons that cannot be determined accurately. A non-governmental and interest representation organization may – if the above conditions prevail – also choose to launch a proceeding before the Authority.</w:t>
      </w:r>
      <w:r w:rsidR="007B7640" w:rsidRPr="00CD59CC">
        <w:rPr>
          <w:rFonts w:ascii="Arial" w:hAnsi="Arial" w:cs="Arial"/>
          <w:i w:val="0"/>
          <w:iCs w:val="0"/>
          <w:lang w:val="en-GB"/>
        </w:rPr>
        <w:t xml:space="preserve"> </w:t>
      </w:r>
      <w:r w:rsidRPr="00CD59CC">
        <w:rPr>
          <w:rFonts w:ascii="Arial" w:hAnsi="Arial" w:cs="Arial"/>
          <w:i w:val="0"/>
          <w:lang w:val="en-GB"/>
        </w:rPr>
        <w:t>It needs to be noted that a specificity of such cases in relation to the burden of proof is that the substantiation of the danger of violation is sufficient on the part of the complainant organization (so no actual disadvantage needs to be substantiated).</w:t>
      </w:r>
    </w:p>
    <w:p w14:paraId="0818BBD2" w14:textId="77777777" w:rsidR="003E35B0" w:rsidRPr="00CD59CC" w:rsidRDefault="003E35B0" w:rsidP="00CD59CC">
      <w:pPr>
        <w:pStyle w:val="BodyText"/>
        <w:rPr>
          <w:rFonts w:ascii="Arial" w:hAnsi="Arial" w:cs="Arial"/>
          <w:i w:val="0"/>
          <w:iCs w:val="0"/>
          <w:lang w:val="en-GB"/>
        </w:rPr>
      </w:pPr>
    </w:p>
    <w:p w14:paraId="37EA09C2" w14:textId="2140C255" w:rsidR="003E35B0" w:rsidRPr="00CD59CC" w:rsidRDefault="003E35B0" w:rsidP="00CD59CC">
      <w:pPr>
        <w:pStyle w:val="BodyText"/>
        <w:rPr>
          <w:rFonts w:ascii="Arial" w:hAnsi="Arial" w:cs="Arial"/>
          <w:i w:val="0"/>
          <w:iCs w:val="0"/>
          <w:lang w:val="en-GB"/>
        </w:rPr>
      </w:pPr>
      <w:r w:rsidRPr="00CD59CC">
        <w:rPr>
          <w:rFonts w:ascii="Arial" w:hAnsi="Arial" w:cs="Arial"/>
          <w:i w:val="0"/>
          <w:iCs w:val="0"/>
          <w:lang w:val="en-GB"/>
        </w:rPr>
        <w:t>The types of associations are the same as described above. In a proceeding before the Authority such associations may seek all the sanctions that are generally applicable by the Authority (see below, under section 6.5). Before a civil court they may – out of the list of sanctions applicable in lawsuits launched for the violation of inherent personal rights – seek all the sanctions with the exception of damages.</w:t>
      </w:r>
      <w:r w:rsidR="007B7640" w:rsidRPr="00CD59CC">
        <w:rPr>
          <w:rFonts w:ascii="Arial" w:hAnsi="Arial" w:cs="Arial"/>
          <w:i w:val="0"/>
          <w:iCs w:val="0"/>
          <w:lang w:val="en-GB"/>
        </w:rPr>
        <w:t xml:space="preserve"> </w:t>
      </w:r>
    </w:p>
    <w:p w14:paraId="2885203C" w14:textId="77777777" w:rsidR="003E35B0" w:rsidRPr="00CD59CC" w:rsidRDefault="003E35B0" w:rsidP="00CD59CC">
      <w:pPr>
        <w:pStyle w:val="BodyText"/>
        <w:rPr>
          <w:rFonts w:ascii="Arial" w:hAnsi="Arial" w:cs="Arial"/>
          <w:i w:val="0"/>
          <w:iCs w:val="0"/>
          <w:lang w:val="en-GB"/>
        </w:rPr>
      </w:pPr>
    </w:p>
    <w:p w14:paraId="16325F96" w14:textId="77777777" w:rsidR="003E35B0" w:rsidRPr="00CD59CC" w:rsidRDefault="003E35B0" w:rsidP="00CD59CC">
      <w:pPr>
        <w:rPr>
          <w:rFonts w:ascii="Arial" w:hAnsi="Arial" w:cs="Arial"/>
        </w:rPr>
      </w:pPr>
      <w:r w:rsidRPr="00CD59CC">
        <w:rPr>
          <w:rFonts w:ascii="Arial" w:hAnsi="Arial" w:cs="Arial"/>
        </w:rPr>
        <w:t xml:space="preserve">The first case ever emerging under the ETA was the actio popularis claim brought by an LGBT rights organisation against a denominational university (and described in detail under section 3.2.8). The Chance for Children Foundation has launched a number of </w:t>
      </w:r>
      <w:r w:rsidRPr="00CD59CC">
        <w:rPr>
          <w:rFonts w:ascii="Arial" w:hAnsi="Arial" w:cs="Arial"/>
          <w:i/>
        </w:rPr>
        <w:t>actio popularis</w:t>
      </w:r>
      <w:r w:rsidRPr="00CD59CC">
        <w:rPr>
          <w:rFonts w:ascii="Arial" w:hAnsi="Arial" w:cs="Arial"/>
        </w:rPr>
        <w:t xml:space="preserve"> claims with respect of the segregation of Roma pupils, one example being the Hajdúhadház case described under Section 2.3.1.</w:t>
      </w:r>
    </w:p>
    <w:p w14:paraId="2589C367" w14:textId="77777777" w:rsidR="003E35B0" w:rsidRPr="00BB4E9F" w:rsidRDefault="003E35B0" w:rsidP="00BB4E9F">
      <w:pPr>
        <w:rPr>
          <w:rFonts w:ascii="Arial" w:hAnsi="Arial"/>
        </w:rPr>
      </w:pPr>
    </w:p>
    <w:p w14:paraId="311A0BF4" w14:textId="77777777" w:rsidR="008B2D3B" w:rsidRPr="00CD59CC" w:rsidRDefault="0038103F" w:rsidP="00CD59CC">
      <w:pPr>
        <w:rPr>
          <w:rFonts w:ascii="Arial" w:hAnsi="Arial" w:cs="Arial"/>
        </w:rPr>
      </w:pPr>
      <w:r w:rsidRPr="00CD59CC">
        <w:rPr>
          <w:rFonts w:ascii="Arial" w:hAnsi="Arial" w:cs="Arial"/>
        </w:rPr>
        <w:t xml:space="preserve">A restriction of the right has been brought along by a recent decision of the Constitutional Court. Following the delivery of the final decision in an action popularis lawsuit brought by the Chance for Children Foundation against a local school where Roma pupils were educated in a segregated manner, the Foundation filed a complaint with the Constitutional Court, claiming that the Curia’s decision (according to </w:t>
      </w:r>
      <w:r w:rsidR="00CF0BD4" w:rsidRPr="00CD59CC">
        <w:rPr>
          <w:rFonts w:ascii="Arial" w:hAnsi="Arial" w:cs="Arial"/>
        </w:rPr>
        <w:t xml:space="preserve">which </w:t>
      </w:r>
      <w:r w:rsidRPr="00CD59CC">
        <w:rPr>
          <w:rFonts w:ascii="Arial" w:hAnsi="Arial" w:cs="Arial"/>
        </w:rPr>
        <w:t>courts</w:t>
      </w:r>
      <w:r w:rsidR="00CF0BD4" w:rsidRPr="00CD59CC">
        <w:rPr>
          <w:rFonts w:ascii="Arial" w:hAnsi="Arial" w:cs="Arial"/>
        </w:rPr>
        <w:t xml:space="preserve"> in general are not authorised </w:t>
      </w:r>
      <w:r w:rsidRPr="00CD59CC">
        <w:rPr>
          <w:rFonts w:ascii="Arial" w:hAnsi="Arial" w:cs="Arial"/>
        </w:rPr>
        <w:t>to order that the segregation be ended) had violated the pupils’ constitutional rights</w:t>
      </w:r>
      <w:r w:rsidR="008B2D3B" w:rsidRPr="00CD59CC">
        <w:rPr>
          <w:rFonts w:ascii="Arial" w:hAnsi="Arial" w:cs="Arial"/>
        </w:rPr>
        <w:t>. However, i</w:t>
      </w:r>
      <w:r w:rsidRPr="00CD59CC">
        <w:rPr>
          <w:rFonts w:ascii="Arial" w:hAnsi="Arial" w:cs="Arial"/>
        </w:rPr>
        <w:t xml:space="preserve">n its decision the Constitutional Court declared the complaint inadmissible on the basis that only natural and legal persons concerned by the actual individual case may file a constitutional complaint against a court decision. Since it is not the NGO that is actually concerned by the segregating practice, (i.e. the Curia’s decision concerns the constitutional rights of persons other than the NGO – i.e. the pupils) it does not have a standing before the Constitutional Court. </w:t>
      </w:r>
    </w:p>
    <w:p w14:paraId="4F4958B2" w14:textId="77777777" w:rsidR="008B2D3B" w:rsidRPr="00CD59CC" w:rsidRDefault="008B2D3B" w:rsidP="00CD59CC">
      <w:pPr>
        <w:rPr>
          <w:rFonts w:ascii="Arial" w:hAnsi="Arial" w:cs="Arial"/>
        </w:rPr>
      </w:pPr>
    </w:p>
    <w:p w14:paraId="4BDC8253" w14:textId="77777777" w:rsidR="0038103F" w:rsidRPr="00CD59CC" w:rsidRDefault="0038103F" w:rsidP="00CD59CC">
      <w:pPr>
        <w:rPr>
          <w:rFonts w:ascii="Arial" w:hAnsi="Arial" w:cs="Arial"/>
        </w:rPr>
      </w:pPr>
      <w:r w:rsidRPr="00CD59CC">
        <w:rPr>
          <w:rFonts w:ascii="Arial" w:hAnsi="Arial" w:cs="Arial"/>
        </w:rPr>
        <w:t xml:space="preserve">Two judges (out of 15) had a dissenting opinion, emphasising that the possibility of actio popularis claims has been introduced into the Hungarian legal system exactly on the basis that members of the most marginalised groups are usually not in the position to take action against widespread discriminative practices. If the rules guiding the submission of constitutional complaints are interpreted in a way that excludes NGO’s from turning to the Constitutional Court after an actio popularis case has been decided by the ordinary courts, it renders the constitutional protection against discriminative practices void. </w:t>
      </w:r>
      <w:r w:rsidR="008B2D3B" w:rsidRPr="00CD59CC">
        <w:rPr>
          <w:rFonts w:ascii="Arial" w:hAnsi="Arial" w:cs="Arial"/>
        </w:rPr>
        <w:t>(</w:t>
      </w:r>
      <w:r w:rsidRPr="00CD59CC">
        <w:rPr>
          <w:rFonts w:ascii="Arial" w:hAnsi="Arial" w:cs="Arial"/>
        </w:rPr>
        <w:t xml:space="preserve">The CFCF made an application to the ECtHR claiming that the exclusion of its standing before the Constitutional Court constitutes </w:t>
      </w:r>
      <w:r w:rsidRPr="00CD59CC">
        <w:rPr>
          <w:rFonts w:ascii="Arial" w:hAnsi="Arial" w:cs="Arial"/>
        </w:rPr>
        <w:lastRenderedPageBreak/>
        <w:t>a violation of its rights under Article 6 of the European Convention of Human Rig</w:t>
      </w:r>
      <w:r w:rsidR="008B2D3B" w:rsidRPr="00CD59CC">
        <w:rPr>
          <w:rFonts w:ascii="Arial" w:hAnsi="Arial" w:cs="Arial"/>
        </w:rPr>
        <w:t>hts. The application is pending.)</w:t>
      </w:r>
    </w:p>
    <w:p w14:paraId="658085F0" w14:textId="77777777" w:rsidR="001E6623" w:rsidRPr="00CD59CC" w:rsidRDefault="001E6623" w:rsidP="00CD59CC">
      <w:pPr>
        <w:pStyle w:val="a"/>
        <w:spacing w:after="0" w:line="240" w:lineRule="auto"/>
        <w:ind w:left="0"/>
        <w:rPr>
          <w:rFonts w:ascii="Arial" w:hAnsi="Arial" w:cs="Arial"/>
          <w:i/>
          <w:lang w:val="en-GB"/>
        </w:rPr>
      </w:pPr>
    </w:p>
    <w:p w14:paraId="0E9F3596" w14:textId="77777777" w:rsidR="002B5BCD" w:rsidRPr="00BB4E9F" w:rsidRDefault="002B5BCD" w:rsidP="00CD59CC">
      <w:pPr>
        <w:pStyle w:val="a"/>
        <w:numPr>
          <w:ilvl w:val="0"/>
          <w:numId w:val="22"/>
        </w:numPr>
        <w:spacing w:after="0" w:line="240" w:lineRule="auto"/>
        <w:ind w:left="567" w:hanging="567"/>
        <w:rPr>
          <w:rFonts w:ascii="Arial" w:hAnsi="Arial"/>
          <w:i/>
          <w:lang w:val="en-US"/>
        </w:rPr>
      </w:pPr>
      <w:r w:rsidRPr="00BB4E9F">
        <w:rPr>
          <w:rFonts w:ascii="Arial" w:hAnsi="Arial"/>
          <w:i/>
          <w:lang w:val="en-US"/>
        </w:rPr>
        <w:t>Does national law allow associations to act in the interest of more than one individual victim (</w:t>
      </w:r>
      <w:r w:rsidRPr="00BB4E9F">
        <w:rPr>
          <w:rFonts w:ascii="Arial" w:hAnsi="Arial"/>
          <w:b/>
          <w:i/>
          <w:lang w:val="en-US"/>
        </w:rPr>
        <w:t>class action</w:t>
      </w:r>
      <w:r w:rsidRPr="00BB4E9F">
        <w:rPr>
          <w:rFonts w:ascii="Arial" w:hAnsi="Arial"/>
          <w:i/>
          <w:lang w:val="en-US"/>
        </w:rPr>
        <w:t>) for claims arising from the same event? Please describe in detail the applicable rules, including the types of associations having such standing, the conditions for them to meet, the types of proceedings they may use, the types of remedies they may seek, and any special rules concerning the shifting burden of proof.</w:t>
      </w:r>
    </w:p>
    <w:p w14:paraId="0CD77677" w14:textId="77777777" w:rsidR="002B5BCD" w:rsidRPr="00CD59CC" w:rsidRDefault="002B5BCD" w:rsidP="00CD59CC">
      <w:pPr>
        <w:rPr>
          <w:rFonts w:ascii="Arial" w:hAnsi="Arial" w:cs="Arial"/>
        </w:rPr>
      </w:pPr>
    </w:p>
    <w:p w14:paraId="40E864D5" w14:textId="77777777" w:rsidR="00CD59CC" w:rsidRDefault="001E6623" w:rsidP="00CD59CC">
      <w:pPr>
        <w:pStyle w:val="BodyText"/>
        <w:rPr>
          <w:rFonts w:ascii="Arial" w:hAnsi="Arial" w:cs="Arial"/>
          <w:i w:val="0"/>
          <w:lang w:val="en-GB"/>
        </w:rPr>
      </w:pPr>
      <w:r w:rsidRPr="00CD59CC">
        <w:rPr>
          <w:rFonts w:ascii="Arial" w:hAnsi="Arial" w:cs="Arial"/>
          <w:i w:val="0"/>
          <w:lang w:val="en-GB"/>
        </w:rPr>
        <w:t>There is no separate set of rules for such cases, but nothing prevents associations from obtaining authorisations from more than one victim and launch one single case on their behalf. It needs to be added that since the Hungarian legal system does not recognise the classic form of class action, in such cases the claims of each victim</w:t>
      </w:r>
      <w:r w:rsidR="00CD59CC">
        <w:rPr>
          <w:rFonts w:ascii="Arial" w:hAnsi="Arial" w:cs="Arial"/>
          <w:i w:val="0"/>
          <w:lang w:val="en-GB"/>
        </w:rPr>
        <w:t xml:space="preserve"> will be examined individually.</w:t>
      </w:r>
    </w:p>
    <w:p w14:paraId="2E7122A9" w14:textId="77777777" w:rsidR="002B5BCD" w:rsidRPr="00E34CF1" w:rsidRDefault="002B5BCD" w:rsidP="00BB4E9F">
      <w:pPr>
        <w:pStyle w:val="BodyText"/>
        <w:rPr>
          <w:rFonts w:ascii="Arial" w:hAnsi="Arial"/>
        </w:rPr>
      </w:pPr>
    </w:p>
    <w:p w14:paraId="454B7AB8" w14:textId="4C6BF777" w:rsidR="002B5BCD" w:rsidRPr="00CD59CC" w:rsidRDefault="00341F64" w:rsidP="00CD59CC">
      <w:pPr>
        <w:pStyle w:val="Heading2"/>
        <w:rPr>
          <w:rFonts w:cs="Arial"/>
        </w:rPr>
      </w:pPr>
      <w:bookmarkStart w:id="287" w:name="_Toc220221180"/>
      <w:bookmarkStart w:id="288" w:name="_Toc392758750"/>
      <w:bookmarkStart w:id="289" w:name="_Toc329163642"/>
      <w:bookmarkStart w:id="290" w:name="_Toc366846360"/>
      <w:r>
        <w:rPr>
          <w:rFonts w:cs="Arial"/>
        </w:rPr>
        <w:t>B</w:t>
      </w:r>
      <w:r w:rsidR="002B5BCD" w:rsidRPr="00CD59CC">
        <w:rPr>
          <w:rFonts w:cs="Arial"/>
        </w:rPr>
        <w:t>urden of proof (Article 8 Directive 2000/43, Article 10 Directive 2000/78)</w:t>
      </w:r>
      <w:bookmarkEnd w:id="287"/>
      <w:bookmarkEnd w:id="288"/>
      <w:bookmarkEnd w:id="289"/>
      <w:bookmarkEnd w:id="290"/>
    </w:p>
    <w:p w14:paraId="7BAFD010" w14:textId="77777777" w:rsidR="002B5BCD" w:rsidRPr="00CD59CC" w:rsidRDefault="002B5BCD" w:rsidP="00CD59CC">
      <w:pPr>
        <w:rPr>
          <w:rFonts w:ascii="Arial" w:hAnsi="Arial" w:cs="Arial"/>
          <w:b/>
          <w:i/>
        </w:rPr>
      </w:pPr>
    </w:p>
    <w:p w14:paraId="22CDF33F" w14:textId="77777777" w:rsidR="002B5BCD" w:rsidRPr="00CD59CC" w:rsidRDefault="002B5BCD" w:rsidP="00CD59CC">
      <w:pPr>
        <w:rPr>
          <w:rFonts w:ascii="Arial" w:hAnsi="Arial" w:cs="Arial"/>
          <w:i/>
        </w:rPr>
      </w:pPr>
      <w:r w:rsidRPr="00CD59CC">
        <w:rPr>
          <w:rFonts w:ascii="Arial" w:hAnsi="Arial" w:cs="Arial"/>
          <w:i/>
        </w:rPr>
        <w:t>Does national law require or permit a shift of the burden of proof from the complainant to the respondent? Identify the criteria applicable in the full range of existing procedures and concerning the different types of discrimination, as defined by the Directives (including harassment).</w:t>
      </w:r>
    </w:p>
    <w:p w14:paraId="51F96E0F" w14:textId="77777777" w:rsidR="002B5BCD" w:rsidRPr="00CD59CC" w:rsidRDefault="002B5BCD" w:rsidP="00CD59CC">
      <w:pPr>
        <w:rPr>
          <w:rFonts w:ascii="Arial" w:hAnsi="Arial" w:cs="Arial"/>
        </w:rPr>
      </w:pPr>
    </w:p>
    <w:p w14:paraId="69001BCD" w14:textId="77777777" w:rsidR="001B4B8A" w:rsidRPr="00CD59CC" w:rsidRDefault="001B4B8A" w:rsidP="00CD59CC">
      <w:pPr>
        <w:rPr>
          <w:rFonts w:ascii="Arial" w:hAnsi="Arial" w:cs="Arial"/>
        </w:rPr>
      </w:pPr>
      <w:r w:rsidRPr="00CD59CC">
        <w:rPr>
          <w:rFonts w:ascii="Arial" w:hAnsi="Arial" w:cs="Arial"/>
        </w:rPr>
        <w:t xml:space="preserve">Article 19 of the ETA provides for the shift of the burden of proof. It is applicable on all grounds of discrimination, in all fields and all types of procedures, except for criminal and petty offence proceedings. It shall be noted that Article 19 of the ETA addresses data protection concerns, when taking into consideration not only real but also assumed ethnic origin. </w:t>
      </w:r>
    </w:p>
    <w:p w14:paraId="443765F5" w14:textId="77777777" w:rsidR="001B4B8A" w:rsidRPr="00CD59CC" w:rsidRDefault="001B4B8A" w:rsidP="00CD59CC">
      <w:pPr>
        <w:rPr>
          <w:rFonts w:ascii="Arial" w:hAnsi="Arial" w:cs="Arial"/>
        </w:rPr>
      </w:pPr>
    </w:p>
    <w:p w14:paraId="1C4F43B8" w14:textId="77777777" w:rsidR="001B4B8A" w:rsidRPr="00CD59CC" w:rsidRDefault="001B4B8A" w:rsidP="00CD59CC">
      <w:pPr>
        <w:rPr>
          <w:rFonts w:ascii="Arial" w:hAnsi="Arial" w:cs="Arial"/>
        </w:rPr>
      </w:pPr>
      <w:r w:rsidRPr="00CD59CC">
        <w:rPr>
          <w:rFonts w:ascii="Arial" w:hAnsi="Arial" w:cs="Arial"/>
        </w:rPr>
        <w:t xml:space="preserve">The test for the shift of the burden of proof only requires that the allegedly injured party substantiates, rather than proves, his/her claims. Substantiation involves a lower level of certainty: if therefore the injured party establishes facts from which it may be presumed that a disadvantage was suffered and that the party possesses a protected feature (or the other party must have assumed so), then the burden of proof is shifted. The provision reads as follows: </w:t>
      </w:r>
    </w:p>
    <w:p w14:paraId="27E5A9E9" w14:textId="77777777" w:rsidR="001B4B8A" w:rsidRPr="00CD59CC" w:rsidRDefault="001B4B8A" w:rsidP="00CD59CC">
      <w:pPr>
        <w:rPr>
          <w:rFonts w:ascii="Arial" w:hAnsi="Arial" w:cs="Arial"/>
        </w:rPr>
      </w:pPr>
    </w:p>
    <w:p w14:paraId="30B40EBC" w14:textId="77777777" w:rsidR="001B4B8A" w:rsidRPr="00C86D09" w:rsidRDefault="001B4B8A" w:rsidP="00BB4E9F">
      <w:pPr>
        <w:pStyle w:val="Quote"/>
        <w:numPr>
          <w:ilvl w:val="0"/>
          <w:numId w:val="73"/>
        </w:numPr>
        <w:ind w:left="1134" w:hanging="567"/>
      </w:pPr>
      <w:r w:rsidRPr="006F0AF2">
        <w:t xml:space="preserve">In procedures initiated because of a violation of the principle of equal treatment, the injured party or the party entitled to launch an actio popularis claim shall substantiate that </w:t>
      </w:r>
    </w:p>
    <w:p w14:paraId="06A619E4" w14:textId="65018019" w:rsidR="001B4B8A" w:rsidRPr="006F0AF2" w:rsidRDefault="001B4B8A" w:rsidP="00BB4E9F">
      <w:pPr>
        <w:pStyle w:val="Quote"/>
        <w:numPr>
          <w:ilvl w:val="0"/>
          <w:numId w:val="74"/>
        </w:numPr>
        <w:tabs>
          <w:tab w:val="left" w:pos="1701"/>
        </w:tabs>
        <w:ind w:left="1701" w:hanging="567"/>
      </w:pPr>
      <w:r w:rsidRPr="00C86D09">
        <w:t>the injured person or group has suffered a disadvantage, or – in a case of actio popularis claims – there is a direct danger thereof; and</w:t>
      </w:r>
      <w:r w:rsidR="007B7640" w:rsidRPr="00BB4E9F">
        <w:t xml:space="preserve"> </w:t>
      </w:r>
    </w:p>
    <w:p w14:paraId="2D3C0045" w14:textId="77777777" w:rsidR="001B4B8A" w:rsidRPr="00BB4E9F" w:rsidRDefault="001B4B8A" w:rsidP="00BB4E9F">
      <w:pPr>
        <w:pStyle w:val="Quote"/>
        <w:numPr>
          <w:ilvl w:val="0"/>
          <w:numId w:val="74"/>
        </w:numPr>
        <w:tabs>
          <w:tab w:val="left" w:pos="1701"/>
        </w:tabs>
        <w:ind w:left="1701" w:hanging="567"/>
      </w:pPr>
      <w:r w:rsidRPr="00C86D09">
        <w:t xml:space="preserve">the injured party or group possesses – or is by the violator assumed to possess – characteristics defined in Article 8. </w:t>
      </w:r>
    </w:p>
    <w:p w14:paraId="71E312A2" w14:textId="77777777" w:rsidR="001B4B8A" w:rsidRPr="00BB4E9F" w:rsidRDefault="001B4B8A" w:rsidP="00BB4E9F">
      <w:pPr>
        <w:pStyle w:val="Quote"/>
        <w:numPr>
          <w:ilvl w:val="0"/>
          <w:numId w:val="73"/>
        </w:numPr>
        <w:ind w:left="1134" w:hanging="567"/>
      </w:pPr>
      <w:r w:rsidRPr="00BB4E9F">
        <w:t>If the case described in Paragraph (1) has been substantiated, the other party shall prove</w:t>
      </w:r>
    </w:p>
    <w:p w14:paraId="2F4EBA34" w14:textId="77777777" w:rsidR="001B4B8A" w:rsidRPr="00BB4E9F" w:rsidRDefault="001B4B8A" w:rsidP="00BB4E9F">
      <w:pPr>
        <w:pStyle w:val="Quote"/>
        <w:numPr>
          <w:ilvl w:val="0"/>
          <w:numId w:val="75"/>
        </w:numPr>
        <w:tabs>
          <w:tab w:val="left" w:pos="1701"/>
        </w:tabs>
        <w:ind w:left="1701" w:hanging="567"/>
      </w:pPr>
      <w:r w:rsidRPr="00BB4E9F">
        <w:lastRenderedPageBreak/>
        <w:t xml:space="preserve">that the circumstances substantiated by the injured party of the entity entitled to launch an actio popularis claim do not prevail; or </w:t>
      </w:r>
    </w:p>
    <w:p w14:paraId="7A4A1F59" w14:textId="77777777" w:rsidR="001B4B8A" w:rsidRPr="00BB4E9F" w:rsidRDefault="001B4B8A" w:rsidP="00BB4E9F">
      <w:pPr>
        <w:pStyle w:val="Quote"/>
        <w:numPr>
          <w:ilvl w:val="0"/>
          <w:numId w:val="75"/>
        </w:numPr>
        <w:tabs>
          <w:tab w:val="left" w:pos="1701"/>
        </w:tabs>
        <w:ind w:left="1701" w:hanging="567"/>
      </w:pPr>
      <w:r w:rsidRPr="00BB4E9F">
        <w:t xml:space="preserve">that it has observed or, in respect of the relevant relationship, was not obliged to observe, the requirement of equal treatment. </w:t>
      </w:r>
    </w:p>
    <w:p w14:paraId="08A19DF5" w14:textId="77777777" w:rsidR="001B4B8A" w:rsidRPr="00CD59CC" w:rsidRDefault="001B4B8A" w:rsidP="00BB4E9F">
      <w:pPr>
        <w:tabs>
          <w:tab w:val="left" w:pos="1701"/>
        </w:tabs>
        <w:ind w:left="1701" w:hanging="567"/>
        <w:rPr>
          <w:rFonts w:ascii="Arial" w:hAnsi="Arial" w:cs="Arial"/>
        </w:rPr>
      </w:pPr>
    </w:p>
    <w:p w14:paraId="3B3586F6" w14:textId="77777777" w:rsidR="001B4B8A" w:rsidRPr="00CD59CC" w:rsidRDefault="001B4B8A" w:rsidP="00CD59CC">
      <w:pPr>
        <w:rPr>
          <w:rFonts w:ascii="Arial" w:hAnsi="Arial" w:cs="Arial"/>
        </w:rPr>
      </w:pPr>
      <w:r w:rsidRPr="00CD59CC">
        <w:rPr>
          <w:rFonts w:ascii="Arial" w:hAnsi="Arial" w:cs="Arial"/>
        </w:rPr>
        <w:t xml:space="preserve">This provision is more advantageous for the victim than the Directives. The Hungarian solution requires plaintiffs or complainants to substantiate the disadvantage and protected characteristic – real or supposed by the perpetrator. </w:t>
      </w:r>
    </w:p>
    <w:p w14:paraId="0F8765BC" w14:textId="77777777" w:rsidR="001B4B8A" w:rsidRPr="00CD59CC" w:rsidRDefault="001B4B8A" w:rsidP="00CD59CC">
      <w:pPr>
        <w:rPr>
          <w:rFonts w:ascii="Arial" w:hAnsi="Arial" w:cs="Arial"/>
        </w:rPr>
      </w:pPr>
    </w:p>
    <w:p w14:paraId="58569305" w14:textId="77777777" w:rsidR="001B4B8A" w:rsidRPr="00CD59CC" w:rsidRDefault="001B4B8A" w:rsidP="00CD59CC">
      <w:pPr>
        <w:rPr>
          <w:rFonts w:ascii="Arial" w:hAnsi="Arial" w:cs="Arial"/>
        </w:rPr>
      </w:pPr>
      <w:r w:rsidRPr="00CD59CC">
        <w:rPr>
          <w:rFonts w:ascii="Arial" w:hAnsi="Arial" w:cs="Arial"/>
        </w:rPr>
        <w:t xml:space="preserve">This is more generous than the solution applied by the Directives, because in the Hungarian system the causal link between the protected ground and the disadvantage does not need to be substantiated in any way, whereas the Directives require that facts substantiating discrimination, i.e. a disadvantage caused because of the existence of a protected ground also be established. In the Hungarian system it is the task of the other party to prove that there is no such a link. </w:t>
      </w:r>
    </w:p>
    <w:p w14:paraId="0C5309BA" w14:textId="77777777" w:rsidR="001B4B8A" w:rsidRPr="00CD59CC" w:rsidRDefault="001B4B8A" w:rsidP="00CD59CC">
      <w:pPr>
        <w:rPr>
          <w:rFonts w:ascii="Arial" w:hAnsi="Arial" w:cs="Arial"/>
        </w:rPr>
      </w:pPr>
    </w:p>
    <w:p w14:paraId="68A8CF0D" w14:textId="77777777" w:rsidR="001B4B8A" w:rsidRPr="00CD59CC" w:rsidRDefault="001B4B8A" w:rsidP="00CD59CC">
      <w:pPr>
        <w:rPr>
          <w:rFonts w:ascii="Arial" w:hAnsi="Arial" w:cs="Arial"/>
        </w:rPr>
      </w:pPr>
      <w:r w:rsidRPr="00CD59CC">
        <w:rPr>
          <w:rFonts w:ascii="Arial" w:hAnsi="Arial" w:cs="Arial"/>
        </w:rPr>
        <w:t>On 13 January 2006, the Equal Treatment Advisory Board (see Section 7.b below on the status of the Board) issued guidelines (revised in March 2008) on the shift of the burden of proof, setting it out in clear terms that it is not the complainant's obligation to prove that there was a causal link between the protected ground and the disadvantage: the burden of not being able to prove that there was no such causal link shall fall on the alleged discriminator.</w:t>
      </w:r>
      <w:r w:rsidRPr="00CD59CC">
        <w:rPr>
          <w:rStyle w:val="Lbjegyzet-karakterek"/>
          <w:rFonts w:ascii="Arial" w:hAnsi="Arial" w:cs="Arial"/>
        </w:rPr>
        <w:footnoteReference w:id="104"/>
      </w:r>
    </w:p>
    <w:p w14:paraId="2F1C258D" w14:textId="77777777" w:rsidR="001B4B8A" w:rsidRPr="00CD59CC" w:rsidRDefault="001B4B8A" w:rsidP="00CD59CC">
      <w:pPr>
        <w:rPr>
          <w:rFonts w:ascii="Arial" w:hAnsi="Arial" w:cs="Arial"/>
        </w:rPr>
      </w:pPr>
    </w:p>
    <w:p w14:paraId="65D9676A" w14:textId="77777777" w:rsidR="001B4B8A" w:rsidRPr="00CD59CC" w:rsidRDefault="001B4B8A" w:rsidP="00CD59CC">
      <w:pPr>
        <w:rPr>
          <w:rFonts w:ascii="Arial" w:hAnsi="Arial" w:cs="Arial"/>
        </w:rPr>
      </w:pPr>
      <w:r w:rsidRPr="00CD59CC">
        <w:rPr>
          <w:rFonts w:ascii="Arial" w:hAnsi="Arial" w:cs="Arial"/>
        </w:rPr>
        <w:t>After certain misinterpretations, and difficulties in the beginning, the judicial practice seemed to accept the notion – judgments of higher courts provided positive examples of applying the difficult concept of the shifted burden of proof.</w:t>
      </w:r>
      <w:r w:rsidRPr="00CD59CC">
        <w:rPr>
          <w:rStyle w:val="FootnoteReference"/>
          <w:rFonts w:ascii="Arial" w:hAnsi="Arial" w:cs="Arial"/>
        </w:rPr>
        <w:footnoteReference w:id="105"/>
      </w:r>
      <w:r w:rsidRPr="00CD59CC">
        <w:rPr>
          <w:rFonts w:ascii="Arial" w:hAnsi="Arial" w:cs="Arial"/>
        </w:rPr>
        <w:t xml:space="preserve"> However, as late as 2010 (i.e. 5 years after the coming into force of the ETA), one can come across Supreme Court decisions that give rise to concerns as to the consistency of the application of the notion. </w:t>
      </w:r>
    </w:p>
    <w:p w14:paraId="60613B80" w14:textId="77777777" w:rsidR="001B4B8A" w:rsidRPr="00CD59CC" w:rsidRDefault="001B4B8A" w:rsidP="00CD59CC">
      <w:pPr>
        <w:rPr>
          <w:rFonts w:ascii="Arial" w:hAnsi="Arial" w:cs="Arial"/>
        </w:rPr>
      </w:pPr>
    </w:p>
    <w:p w14:paraId="0D349038" w14:textId="77777777" w:rsidR="001B4B8A" w:rsidRPr="00CD59CC" w:rsidRDefault="001B4B8A" w:rsidP="00CD59CC">
      <w:pPr>
        <w:rPr>
          <w:rFonts w:ascii="Arial" w:hAnsi="Arial" w:cs="Arial"/>
        </w:rPr>
      </w:pPr>
      <w:r w:rsidRPr="00CD59CC">
        <w:rPr>
          <w:rFonts w:ascii="Arial" w:hAnsi="Arial" w:cs="Arial"/>
        </w:rPr>
        <w:t xml:space="preserve">In the case serving as the basis of Decision no. Kfv.II.37.053/2010/8 of the Supreme Court, the complainant worked on the basis of an indefinite term contract as a financial director at the respondent until 2004, when she went on a maternity leave. In 2007, she wished to return, but her former position had been terminated by the time, and her former tasks were performed in the framework of a different position by a person employed for an indefinite term. The employer offered a lower level position to the complainant for a salary 15% less than the previous one. The complainant turned to the Equal Treatment Authority claiming that she had been discriminated on the basis of her motherhood. In its decision of 7 August 2008, the Authority established discrimination based on motherhood and the ground “other characteristic”. The employer requested judicial review from the Metropolitan Court, but the court upheld the Authority's decision on the basis that the new position offered by the employer was significantly different from the previous position, which </w:t>
      </w:r>
      <w:r w:rsidRPr="00CD59CC">
        <w:rPr>
          <w:rFonts w:ascii="Arial" w:hAnsi="Arial" w:cs="Arial"/>
        </w:rPr>
        <w:lastRenderedPageBreak/>
        <w:t>was filled by a person employed for an indefinite term, although in such cases replacement is generally solved by employing someone for a definite term to enable the return of the mother. The employer turned to the Supreme Court for the review of the MC's decision.</w:t>
      </w:r>
    </w:p>
    <w:p w14:paraId="348D6B58" w14:textId="77777777" w:rsidR="001B4B8A" w:rsidRPr="00CD59CC" w:rsidRDefault="001B4B8A" w:rsidP="00CD59CC">
      <w:pPr>
        <w:rPr>
          <w:rFonts w:ascii="Arial" w:hAnsi="Arial" w:cs="Arial"/>
        </w:rPr>
      </w:pPr>
    </w:p>
    <w:p w14:paraId="305BCEE2" w14:textId="77777777" w:rsidR="001B4B8A" w:rsidRPr="00CD59CC" w:rsidRDefault="001B4B8A" w:rsidP="00CD59CC">
      <w:pPr>
        <w:rPr>
          <w:rFonts w:ascii="Arial" w:hAnsi="Arial" w:cs="Arial"/>
        </w:rPr>
      </w:pPr>
      <w:r w:rsidRPr="00CD59CC">
        <w:rPr>
          <w:rFonts w:ascii="Arial" w:hAnsi="Arial" w:cs="Arial"/>
        </w:rPr>
        <w:t>In its decision dated 6 October 2010, the Supreme Court quashed the decision of the Authority and the Metropolitan Court on the basis that the Authority had failed to identify and set out in its decisions the evidence proving that there is a causal link between the complainant's motherhood and the disadvantage she had suffered. Referring to Article 4 of Directive 97/80/EC, the Supreme Court claimed that complainants are obliged to put forth evidence that make it at least likely that they have suffered a disadvantage because they belong to a certain group. Since the complainant in this case did not come up with such evidence and the Authority did not look into the issue, its decision shall be null and void, and in the repeated procedure the complaint shall be rejected as unsubstantiated.</w:t>
      </w:r>
    </w:p>
    <w:p w14:paraId="4D1C8B9E" w14:textId="77777777" w:rsidR="001B4B8A" w:rsidRPr="00CD59CC" w:rsidRDefault="001B4B8A" w:rsidP="00CD59CC">
      <w:pPr>
        <w:rPr>
          <w:rFonts w:ascii="Arial" w:hAnsi="Arial" w:cs="Arial"/>
        </w:rPr>
      </w:pPr>
    </w:p>
    <w:p w14:paraId="5B250C3B" w14:textId="77777777" w:rsidR="001B4B8A" w:rsidRPr="00CD59CC" w:rsidRDefault="001B4B8A" w:rsidP="00CD59CC">
      <w:pPr>
        <w:rPr>
          <w:rFonts w:ascii="Arial" w:hAnsi="Arial" w:cs="Arial"/>
        </w:rPr>
      </w:pPr>
      <w:r w:rsidRPr="00CD59CC">
        <w:rPr>
          <w:rFonts w:ascii="Arial" w:hAnsi="Arial" w:cs="Arial"/>
        </w:rPr>
        <w:t>The Supreme Court’s decision fully disregards that the Hungarian regulation on the shifting of the burden of proof differs from that of the Directives in a way that is more advantageous for the complainants. As outlined above, the complainant shall only substantiate the disadvantage and the protected ground. If it is done, it is presumed that there has been a causal link between the two, and it will be the respondent's task to prove the lack of the link. When the Authority did not require the complainant to provide evidence for the link, it proceeded in full accordance with the ETA. While the regulation can be criticised for making anti-discrimination regulation open to abuses, it is rather worrying that the Supreme Court did base its decision on the Directives instead of the Hungarian laws providing a higher level of protection to complainants.</w:t>
      </w:r>
    </w:p>
    <w:p w14:paraId="3753197D" w14:textId="77777777" w:rsidR="002B5BCD" w:rsidRPr="00CD59CC" w:rsidRDefault="002B5BCD" w:rsidP="00CD59CC">
      <w:pPr>
        <w:rPr>
          <w:rFonts w:ascii="Arial" w:hAnsi="Arial" w:cs="Arial"/>
        </w:rPr>
      </w:pPr>
    </w:p>
    <w:p w14:paraId="0A059306" w14:textId="77777777" w:rsidR="002B5BCD" w:rsidRPr="00CD59CC" w:rsidRDefault="002B5BCD" w:rsidP="00CD59CC">
      <w:pPr>
        <w:pStyle w:val="Heading2"/>
        <w:rPr>
          <w:rFonts w:cs="Arial"/>
        </w:rPr>
      </w:pPr>
      <w:bookmarkStart w:id="291" w:name="_Toc220221181"/>
      <w:bookmarkStart w:id="292" w:name="_Toc392758751"/>
      <w:bookmarkStart w:id="293" w:name="_Toc329163643"/>
      <w:bookmarkStart w:id="294" w:name="_Toc366846361"/>
      <w:r w:rsidRPr="00CD59CC">
        <w:rPr>
          <w:rFonts w:cs="Arial"/>
        </w:rPr>
        <w:t>Victimisation (Article 9 Directive 2000/43, Article 11 Directive 2000/78)</w:t>
      </w:r>
      <w:bookmarkEnd w:id="291"/>
      <w:bookmarkEnd w:id="292"/>
      <w:bookmarkEnd w:id="293"/>
      <w:bookmarkEnd w:id="294"/>
    </w:p>
    <w:p w14:paraId="12E61304" w14:textId="77777777" w:rsidR="002B5BCD" w:rsidRPr="00BB4E9F" w:rsidRDefault="002B5BCD" w:rsidP="00CD59CC">
      <w:pPr>
        <w:rPr>
          <w:rFonts w:ascii="Arial" w:hAnsi="Arial"/>
          <w:b/>
          <w:i/>
          <w:lang w:val="fr-FR"/>
        </w:rPr>
      </w:pPr>
    </w:p>
    <w:p w14:paraId="1F743F05" w14:textId="77777777" w:rsidR="002B5BCD" w:rsidRPr="00CD59CC" w:rsidRDefault="002B5BCD" w:rsidP="00CD59CC">
      <w:pPr>
        <w:rPr>
          <w:rFonts w:ascii="Arial" w:hAnsi="Arial" w:cs="Arial"/>
          <w:i/>
        </w:rPr>
      </w:pPr>
      <w:r w:rsidRPr="00CD59CC">
        <w:rPr>
          <w:rFonts w:ascii="Arial" w:hAnsi="Arial" w:cs="Arial"/>
          <w:i/>
        </w:rPr>
        <w:t>What protection exists against victimisation? Does the protection against victimisation extend to people other than the complainant? (e.g. witnesses, or someone who helps the victim of discrimination to bring a complaint).</w:t>
      </w:r>
    </w:p>
    <w:p w14:paraId="49A26FFE" w14:textId="77777777" w:rsidR="002B5BCD" w:rsidRPr="00CD59CC" w:rsidRDefault="002B5BCD" w:rsidP="00CD59CC">
      <w:pPr>
        <w:rPr>
          <w:rFonts w:ascii="Arial" w:hAnsi="Arial" w:cs="Arial"/>
          <w:i/>
        </w:rPr>
      </w:pPr>
    </w:p>
    <w:p w14:paraId="77AF408E" w14:textId="77777777" w:rsidR="009F477F" w:rsidRPr="00CD59CC" w:rsidRDefault="009F477F" w:rsidP="00CD59CC">
      <w:pPr>
        <w:rPr>
          <w:rFonts w:ascii="Arial" w:hAnsi="Arial" w:cs="Arial"/>
        </w:rPr>
      </w:pPr>
      <w:r w:rsidRPr="00CD59CC">
        <w:rPr>
          <w:rFonts w:ascii="Arial" w:hAnsi="Arial" w:cs="Arial"/>
        </w:rPr>
        <w:t xml:space="preserve">Victimisation is prohibited by Article 10 Paragraph (3) of the ETA, which claims that “victimisation is a conduct that causes infringement, is aimed at causing infringement, or threatens with infringement, against a person making a complaint or initiating procedures because of a breach of the principle of equal treatment, or against a person assisting in such a procedure, in relation to these acts.” </w:t>
      </w:r>
    </w:p>
    <w:p w14:paraId="194C8D43" w14:textId="77777777" w:rsidR="009F477F" w:rsidRPr="00CD59CC" w:rsidRDefault="009F477F" w:rsidP="00CD59CC">
      <w:pPr>
        <w:rPr>
          <w:rFonts w:ascii="Arial" w:hAnsi="Arial" w:cs="Arial"/>
        </w:rPr>
      </w:pPr>
    </w:p>
    <w:p w14:paraId="28D3F89E" w14:textId="77777777" w:rsidR="009F477F" w:rsidRPr="00CD59CC" w:rsidRDefault="009F477F" w:rsidP="00CD59CC">
      <w:pPr>
        <w:rPr>
          <w:rFonts w:ascii="Arial" w:hAnsi="Arial" w:cs="Arial"/>
        </w:rPr>
      </w:pPr>
      <w:r w:rsidRPr="00CD59CC">
        <w:rPr>
          <w:rFonts w:ascii="Arial" w:hAnsi="Arial" w:cs="Arial"/>
        </w:rPr>
        <w:t>In a case of victimisation, the same sanctions may be applied against the perpetrator as against discriminators. As we can see, the above definition extends the protection to persons providing assistance to the victim in any form.</w:t>
      </w:r>
    </w:p>
    <w:p w14:paraId="66F57E7E" w14:textId="77777777" w:rsidR="002B5BCD" w:rsidRPr="00CD59CC" w:rsidRDefault="002B5BCD" w:rsidP="00CD59CC">
      <w:pPr>
        <w:rPr>
          <w:rFonts w:ascii="Arial" w:hAnsi="Arial" w:cs="Arial"/>
        </w:rPr>
      </w:pPr>
    </w:p>
    <w:p w14:paraId="7C4D58BE" w14:textId="77777777" w:rsidR="00DA0744" w:rsidRDefault="00DA0744">
      <w:pPr>
        <w:rPr>
          <w:rFonts w:ascii="Arial" w:hAnsi="Arial" w:cs="Arial"/>
          <w:b/>
          <w:bCs/>
          <w:iCs/>
        </w:rPr>
      </w:pPr>
      <w:bookmarkStart w:id="295" w:name="_Toc220221182"/>
      <w:bookmarkStart w:id="296" w:name="_Toc392758752"/>
      <w:bookmarkStart w:id="297" w:name="_Toc329163644"/>
      <w:bookmarkStart w:id="298" w:name="_Toc366846362"/>
      <w:r>
        <w:rPr>
          <w:rFonts w:cs="Arial"/>
        </w:rPr>
        <w:br w:type="page"/>
      </w:r>
    </w:p>
    <w:p w14:paraId="73029158" w14:textId="7F9117DC" w:rsidR="002B5BCD" w:rsidRPr="00CD59CC" w:rsidRDefault="002B5BCD" w:rsidP="00CD59CC">
      <w:pPr>
        <w:pStyle w:val="Heading2"/>
        <w:rPr>
          <w:rFonts w:cs="Arial"/>
        </w:rPr>
      </w:pPr>
      <w:r w:rsidRPr="00CD59CC">
        <w:rPr>
          <w:rFonts w:cs="Arial"/>
        </w:rPr>
        <w:lastRenderedPageBreak/>
        <w:t>Sanctions and remedies (Article 15 Directive 2000/43, Article 17 Directive 2000/78)</w:t>
      </w:r>
      <w:bookmarkEnd w:id="295"/>
      <w:bookmarkEnd w:id="296"/>
      <w:bookmarkEnd w:id="297"/>
      <w:bookmarkEnd w:id="298"/>
    </w:p>
    <w:p w14:paraId="448EDA8C" w14:textId="77777777" w:rsidR="002B5BCD" w:rsidRPr="00CD59CC" w:rsidRDefault="002B5BCD" w:rsidP="00CD59CC">
      <w:pPr>
        <w:rPr>
          <w:rFonts w:ascii="Arial" w:hAnsi="Arial" w:cs="Arial"/>
          <w:b/>
          <w:i/>
        </w:rPr>
      </w:pPr>
    </w:p>
    <w:p w14:paraId="3763172F" w14:textId="77777777" w:rsidR="002B5BCD" w:rsidRPr="00CD59CC" w:rsidRDefault="002B5BCD" w:rsidP="00CD59CC">
      <w:pPr>
        <w:numPr>
          <w:ilvl w:val="0"/>
          <w:numId w:val="23"/>
        </w:numPr>
        <w:ind w:left="567" w:hanging="567"/>
        <w:rPr>
          <w:rFonts w:ascii="Arial" w:hAnsi="Arial" w:cs="Arial"/>
          <w:i/>
        </w:rPr>
      </w:pPr>
      <w:r w:rsidRPr="00CD59CC">
        <w:rPr>
          <w:rFonts w:ascii="Arial" w:hAnsi="Arial" w:cs="Arial"/>
          <w:i/>
        </w:rPr>
        <w:t xml:space="preserve">What are the sanctions applicable where unlawful discrimination has occurred? Consider the different sanctions that may apply where the discrimination occurs in private or public employment, or in a field outside employment. </w:t>
      </w:r>
    </w:p>
    <w:p w14:paraId="6F7D363F" w14:textId="77777777" w:rsidR="002B5BCD" w:rsidRPr="00CD59CC" w:rsidRDefault="002B5BCD" w:rsidP="00CD59CC">
      <w:pPr>
        <w:ind w:left="567" w:hanging="567"/>
        <w:rPr>
          <w:rFonts w:ascii="Arial" w:hAnsi="Arial" w:cs="Arial"/>
        </w:rPr>
      </w:pPr>
    </w:p>
    <w:p w14:paraId="3196F65D" w14:textId="77777777" w:rsidR="009F477F" w:rsidRPr="00CD59CC" w:rsidRDefault="009F477F" w:rsidP="00CD59CC">
      <w:pPr>
        <w:pStyle w:val="BodyText"/>
        <w:rPr>
          <w:rFonts w:ascii="Arial" w:hAnsi="Arial" w:cs="Arial"/>
          <w:i w:val="0"/>
          <w:lang w:val="en-GB"/>
        </w:rPr>
      </w:pPr>
      <w:r w:rsidRPr="00CD59CC">
        <w:rPr>
          <w:rFonts w:ascii="Arial" w:hAnsi="Arial" w:cs="Arial"/>
          <w:i w:val="0"/>
          <w:lang w:val="en-GB"/>
        </w:rPr>
        <w:t xml:space="preserve">The system of sanctions has not become much more consistent with the coming into force of the ETA. Under Section 6.1 we already outlined most of the sanctions that may be applied in discrimination cases. Below we partly reiterate and partly supplement the list. We give a detailed description of only those remedial forums and legal institutions which are not described under Section 6.1. </w:t>
      </w:r>
    </w:p>
    <w:p w14:paraId="077621C9" w14:textId="77777777" w:rsidR="009F477F" w:rsidRPr="00CD59CC" w:rsidRDefault="009F477F" w:rsidP="00CD59CC">
      <w:pPr>
        <w:rPr>
          <w:rFonts w:ascii="Arial" w:hAnsi="Arial" w:cs="Arial"/>
        </w:rPr>
      </w:pPr>
    </w:p>
    <w:p w14:paraId="59FAC0E2" w14:textId="77777777" w:rsidR="009F477F" w:rsidRPr="00CD59CC" w:rsidRDefault="009F477F" w:rsidP="00CD59CC">
      <w:pPr>
        <w:pStyle w:val="BodyText"/>
        <w:rPr>
          <w:rFonts w:ascii="Arial" w:hAnsi="Arial" w:cs="Arial"/>
          <w:i w:val="0"/>
          <w:lang w:val="en-GB"/>
        </w:rPr>
      </w:pPr>
      <w:r w:rsidRPr="00CD59CC">
        <w:rPr>
          <w:rFonts w:ascii="Arial" w:hAnsi="Arial" w:cs="Arial"/>
          <w:lang w:val="en-GB"/>
        </w:rPr>
        <w:t>General sanctions</w:t>
      </w:r>
      <w:r w:rsidRPr="00CD59CC">
        <w:rPr>
          <w:rFonts w:ascii="Arial" w:hAnsi="Arial" w:cs="Arial"/>
          <w:i w:val="0"/>
          <w:lang w:val="en-GB"/>
        </w:rPr>
        <w:t xml:space="preserve"> (applicable irrespective of the sector) </w:t>
      </w:r>
    </w:p>
    <w:p w14:paraId="03C68608" w14:textId="77777777" w:rsidR="009F477F" w:rsidRPr="00CD59CC" w:rsidRDefault="009F477F" w:rsidP="00CD59CC">
      <w:pPr>
        <w:pStyle w:val="BodyText"/>
        <w:rPr>
          <w:rFonts w:ascii="Arial" w:hAnsi="Arial" w:cs="Arial"/>
          <w:i w:val="0"/>
          <w:lang w:val="en-GB"/>
        </w:rPr>
      </w:pPr>
    </w:p>
    <w:p w14:paraId="721091E8" w14:textId="518BBADC" w:rsidR="009F477F" w:rsidRPr="00CD59CC" w:rsidRDefault="009F477F" w:rsidP="00CD59CC">
      <w:pPr>
        <w:pStyle w:val="BodyText"/>
        <w:rPr>
          <w:rFonts w:ascii="Arial" w:hAnsi="Arial" w:cs="Arial"/>
          <w:i w:val="0"/>
          <w:lang w:val="en-GB"/>
        </w:rPr>
      </w:pPr>
      <w:r w:rsidRPr="00CD59CC">
        <w:rPr>
          <w:rFonts w:ascii="Arial" w:hAnsi="Arial" w:cs="Arial"/>
          <w:i w:val="0"/>
          <w:lang w:val="en-GB"/>
        </w:rPr>
        <w:t>Besides the sanctions listed in Article 84 of the Civil Code applicable by regular Civil Courts in a lawsuit aimed at redressing the violation of the right to equal treatment as an inherent personal right (which include the possibility of awarding to the victim non-pecuniary damages), the sanctions imposed by the Equal Treatment Authority can be used to redress discrimination in any sector and based on any ground.</w:t>
      </w:r>
      <w:r w:rsidR="007B7640" w:rsidRPr="00CD59CC">
        <w:rPr>
          <w:rFonts w:ascii="Arial" w:hAnsi="Arial" w:cs="Arial"/>
          <w:i w:val="0"/>
          <w:lang w:val="en-GB"/>
        </w:rPr>
        <w:t xml:space="preserve"> </w:t>
      </w:r>
    </w:p>
    <w:p w14:paraId="00BA698C" w14:textId="77777777" w:rsidR="009F477F" w:rsidRPr="00CD59CC" w:rsidRDefault="009F477F" w:rsidP="00CD59CC">
      <w:pPr>
        <w:pStyle w:val="BodyText"/>
        <w:rPr>
          <w:rFonts w:ascii="Arial" w:hAnsi="Arial" w:cs="Arial"/>
          <w:i w:val="0"/>
          <w:lang w:val="en-GB"/>
        </w:rPr>
      </w:pPr>
    </w:p>
    <w:p w14:paraId="0A6FC181" w14:textId="40207BE1" w:rsidR="009F477F" w:rsidRPr="00CD59CC" w:rsidRDefault="009F477F" w:rsidP="00CD59CC">
      <w:pPr>
        <w:pStyle w:val="Fszveg"/>
        <w:autoSpaceDE/>
        <w:spacing w:line="240" w:lineRule="auto"/>
        <w:jc w:val="left"/>
        <w:rPr>
          <w:rFonts w:ascii="Arial" w:hAnsi="Arial" w:cs="Arial"/>
          <w:sz w:val="24"/>
          <w:szCs w:val="24"/>
          <w:lang w:val="en-GB"/>
        </w:rPr>
      </w:pPr>
      <w:r w:rsidRPr="00CD59CC">
        <w:rPr>
          <w:rFonts w:ascii="Arial" w:hAnsi="Arial" w:cs="Arial"/>
          <w:sz w:val="24"/>
          <w:szCs w:val="24"/>
          <w:lang w:val="en-GB"/>
        </w:rPr>
        <w:t xml:space="preserve">Under Article </w:t>
      </w:r>
      <w:r w:rsidR="005E5A1C" w:rsidRPr="00CD59CC">
        <w:rPr>
          <w:rFonts w:ascii="Arial" w:hAnsi="Arial" w:cs="Arial"/>
          <w:sz w:val="24"/>
          <w:szCs w:val="24"/>
          <w:lang w:val="en-GB"/>
        </w:rPr>
        <w:t>17/A Paragraph (1) of the ETA</w:t>
      </w:r>
      <w:r w:rsidRPr="00CD59CC">
        <w:rPr>
          <w:rFonts w:ascii="Arial" w:hAnsi="Arial" w:cs="Arial"/>
          <w:sz w:val="24"/>
          <w:szCs w:val="24"/>
          <w:lang w:val="en-GB"/>
        </w:rPr>
        <w:t xml:space="preserve">, if the Authority has established that the provisions ensuring the principle of equal treatment have been violated, it may a) order that the situation constituting a violation of law be terminated; b) prohibit the future continuation of the conduct constituting a violation of law, c) order that its decision establishing the violation of law be published, d) impose a fine, e) apply a legal consequence determined in a special act. These sanctions can be applied jointly. </w:t>
      </w:r>
    </w:p>
    <w:p w14:paraId="7C5F3AB1" w14:textId="77777777" w:rsidR="009F477F" w:rsidRPr="00CD59CC" w:rsidRDefault="009F477F" w:rsidP="00CD59CC">
      <w:pPr>
        <w:pStyle w:val="BodyText"/>
        <w:rPr>
          <w:rFonts w:ascii="Arial" w:hAnsi="Arial" w:cs="Arial"/>
          <w:i w:val="0"/>
          <w:lang w:val="en-GB"/>
        </w:rPr>
      </w:pPr>
    </w:p>
    <w:p w14:paraId="6C5B92EB" w14:textId="393D363D" w:rsidR="009F477F" w:rsidRPr="00CD59CC" w:rsidRDefault="009F477F" w:rsidP="00CD59CC">
      <w:pPr>
        <w:pStyle w:val="Fszveg"/>
        <w:autoSpaceDE/>
        <w:spacing w:line="240" w:lineRule="auto"/>
        <w:jc w:val="left"/>
        <w:rPr>
          <w:rFonts w:ascii="Arial" w:hAnsi="Arial" w:cs="Arial"/>
          <w:sz w:val="24"/>
          <w:szCs w:val="24"/>
          <w:lang w:val="en-GB"/>
        </w:rPr>
      </w:pPr>
      <w:r w:rsidRPr="00CD59CC">
        <w:rPr>
          <w:rFonts w:ascii="Arial" w:hAnsi="Arial" w:cs="Arial"/>
          <w:sz w:val="24"/>
          <w:szCs w:val="24"/>
          <w:lang w:val="en-GB"/>
        </w:rPr>
        <w:t>Paragraph (</w:t>
      </w:r>
      <w:r w:rsidR="005E5A1C" w:rsidRPr="00CD59CC">
        <w:rPr>
          <w:rFonts w:ascii="Arial" w:hAnsi="Arial" w:cs="Arial"/>
          <w:sz w:val="24"/>
          <w:szCs w:val="24"/>
          <w:lang w:val="en-GB"/>
        </w:rPr>
        <w:t>3</w:t>
      </w:r>
      <w:r w:rsidRPr="00CD59CC">
        <w:rPr>
          <w:rFonts w:ascii="Arial" w:hAnsi="Arial" w:cs="Arial"/>
          <w:sz w:val="24"/>
          <w:szCs w:val="24"/>
          <w:lang w:val="en-GB"/>
        </w:rPr>
        <w:t xml:space="preserve">) prescribes that the legal consequences set out in Paragraph (1) shall be determined taking into consideration all circumstances of the case, with particular regard to those who have been affected by the violation of law, the consequences of the violation of law, the duration of the situation constituting a violation of law, the repeated demonstration of conduct constituting a violation of law and the financial standing of the person or entity committing such a violation. </w:t>
      </w:r>
    </w:p>
    <w:p w14:paraId="10203849" w14:textId="77777777" w:rsidR="009F477F" w:rsidRPr="00CD59CC" w:rsidRDefault="009F477F" w:rsidP="00CD59CC">
      <w:pPr>
        <w:pStyle w:val="Fszveg"/>
        <w:autoSpaceDE/>
        <w:spacing w:line="240" w:lineRule="auto"/>
        <w:jc w:val="left"/>
        <w:rPr>
          <w:rFonts w:ascii="Arial" w:hAnsi="Arial" w:cs="Arial"/>
          <w:sz w:val="24"/>
          <w:szCs w:val="24"/>
          <w:lang w:val="en-GB"/>
        </w:rPr>
      </w:pPr>
    </w:p>
    <w:p w14:paraId="3F1C0630" w14:textId="7C569148" w:rsidR="009F477F" w:rsidRPr="00CD59CC" w:rsidRDefault="009F477F" w:rsidP="00CD59CC">
      <w:pPr>
        <w:pStyle w:val="Fszveg"/>
        <w:autoSpaceDE/>
        <w:spacing w:line="240" w:lineRule="auto"/>
        <w:jc w:val="left"/>
        <w:rPr>
          <w:rFonts w:ascii="Arial" w:hAnsi="Arial" w:cs="Arial"/>
          <w:sz w:val="24"/>
          <w:szCs w:val="24"/>
          <w:lang w:val="en-GB"/>
        </w:rPr>
      </w:pPr>
      <w:r w:rsidRPr="00CD59CC">
        <w:rPr>
          <w:rFonts w:ascii="Arial" w:hAnsi="Arial" w:cs="Arial"/>
          <w:sz w:val="24"/>
          <w:szCs w:val="24"/>
          <w:lang w:val="en-GB"/>
        </w:rPr>
        <w:t>Under Paragraph (</w:t>
      </w:r>
      <w:r w:rsidR="005E5A1C" w:rsidRPr="00CD59CC">
        <w:rPr>
          <w:rFonts w:ascii="Arial" w:hAnsi="Arial" w:cs="Arial"/>
          <w:sz w:val="24"/>
          <w:szCs w:val="24"/>
          <w:lang w:val="en-GB"/>
        </w:rPr>
        <w:t>5</w:t>
      </w:r>
      <w:r w:rsidRPr="00CD59CC">
        <w:rPr>
          <w:rFonts w:ascii="Arial" w:hAnsi="Arial" w:cs="Arial"/>
          <w:sz w:val="24"/>
          <w:szCs w:val="24"/>
          <w:lang w:val="en-GB"/>
        </w:rPr>
        <w:t xml:space="preserve">), the sum of the fine imposed by the Authority can range from HUF 50,000 (EUR 167) to HUF 6,000,000 (EUR 20,000). </w:t>
      </w:r>
      <w:bookmarkStart w:id="299" w:name="bizotts%2525252525252525C3%2525252525252"/>
    </w:p>
    <w:p w14:paraId="312625B9" w14:textId="77777777" w:rsidR="009F477F" w:rsidRPr="00CD59CC" w:rsidRDefault="009F477F" w:rsidP="00CD59CC">
      <w:pPr>
        <w:pStyle w:val="Fszveg"/>
        <w:autoSpaceDE/>
        <w:spacing w:line="240" w:lineRule="auto"/>
        <w:jc w:val="left"/>
        <w:rPr>
          <w:rFonts w:ascii="Arial" w:hAnsi="Arial" w:cs="Arial"/>
          <w:sz w:val="24"/>
          <w:szCs w:val="24"/>
          <w:lang w:val="en-GB"/>
        </w:rPr>
      </w:pPr>
    </w:p>
    <w:p w14:paraId="1F81EC39" w14:textId="2010702B" w:rsidR="009F477F" w:rsidRPr="00CD59CC" w:rsidRDefault="009F477F" w:rsidP="00CD59CC">
      <w:pPr>
        <w:pStyle w:val="Fszveg"/>
        <w:autoSpaceDE/>
        <w:spacing w:line="240" w:lineRule="auto"/>
        <w:jc w:val="left"/>
        <w:rPr>
          <w:rFonts w:ascii="Arial" w:hAnsi="Arial" w:cs="Arial"/>
          <w:sz w:val="24"/>
          <w:szCs w:val="24"/>
          <w:lang w:val="en-GB"/>
        </w:rPr>
      </w:pPr>
      <w:r w:rsidRPr="00CD59CC">
        <w:rPr>
          <w:rFonts w:ascii="Arial" w:hAnsi="Arial" w:cs="Arial"/>
          <w:sz w:val="24"/>
          <w:szCs w:val="24"/>
          <w:lang w:val="en-GB"/>
        </w:rPr>
        <w:t xml:space="preserve">Under Article </w:t>
      </w:r>
      <w:bookmarkEnd w:id="299"/>
      <w:r w:rsidR="005E5A1C" w:rsidRPr="00CD59CC">
        <w:rPr>
          <w:rFonts w:ascii="Arial" w:hAnsi="Arial" w:cs="Arial"/>
          <w:sz w:val="24"/>
          <w:szCs w:val="24"/>
          <w:lang w:val="en-GB"/>
        </w:rPr>
        <w:t>17/B</w:t>
      </w:r>
      <w:r w:rsidRPr="00CD59CC">
        <w:rPr>
          <w:rFonts w:ascii="Arial" w:hAnsi="Arial" w:cs="Arial"/>
          <w:sz w:val="24"/>
          <w:szCs w:val="24"/>
          <w:lang w:val="en-GB"/>
        </w:rPr>
        <w:t xml:space="preserve">, the decision of the Authority may not be appealed within a public administrative procedure, but its judicial review is possible according to the general rules applicable to public administrative decisions. The lawsuit falls within the scope of authority and exclusive competence of the Metropolitan Administrative and Labour Court. The Metropolitan Administrative and Labour Court shall proceed through a panel comprised of three professional judges (instead of the normal proceeding when only one judge is deciding on the case), if the plaintiff or the Authority requests so. </w:t>
      </w:r>
    </w:p>
    <w:p w14:paraId="55630D10" w14:textId="77777777" w:rsidR="009F477F" w:rsidRPr="00CD59CC" w:rsidRDefault="009F477F" w:rsidP="00CD59CC">
      <w:pPr>
        <w:pStyle w:val="BodyText"/>
        <w:rPr>
          <w:rFonts w:ascii="Arial" w:hAnsi="Arial" w:cs="Arial"/>
          <w:i w:val="0"/>
          <w:lang w:val="en-GB"/>
        </w:rPr>
      </w:pPr>
      <w:r w:rsidRPr="00CD59CC">
        <w:rPr>
          <w:rFonts w:ascii="Arial" w:hAnsi="Arial" w:cs="Arial"/>
          <w:lang w:val="en-GB"/>
        </w:rPr>
        <w:lastRenderedPageBreak/>
        <w:t>Education</w:t>
      </w:r>
      <w:r w:rsidRPr="00CD59CC">
        <w:rPr>
          <w:rFonts w:ascii="Arial" w:hAnsi="Arial" w:cs="Arial"/>
          <w:i w:val="0"/>
          <w:lang w:val="en-GB"/>
        </w:rPr>
        <w:t>:</w:t>
      </w:r>
    </w:p>
    <w:p w14:paraId="53F90F5B" w14:textId="77777777" w:rsidR="009F477F" w:rsidRPr="00CD59CC" w:rsidRDefault="009F477F" w:rsidP="00CD59CC">
      <w:pPr>
        <w:pStyle w:val="BodyText"/>
        <w:rPr>
          <w:rFonts w:ascii="Arial" w:hAnsi="Arial" w:cs="Arial"/>
          <w:i w:val="0"/>
          <w:lang w:val="en-GB"/>
        </w:rPr>
      </w:pPr>
    </w:p>
    <w:p w14:paraId="14CEE928" w14:textId="31ABE296" w:rsidR="009F477F" w:rsidRPr="00CD59CC" w:rsidRDefault="009F477F" w:rsidP="00CD59CC">
      <w:pPr>
        <w:pStyle w:val="BodyText"/>
        <w:rPr>
          <w:rFonts w:ascii="Arial" w:hAnsi="Arial" w:cs="Arial"/>
          <w:i w:val="0"/>
          <w:lang w:val="en-GB"/>
        </w:rPr>
      </w:pPr>
      <w:r w:rsidRPr="00CD59CC">
        <w:rPr>
          <w:rFonts w:ascii="Arial" w:hAnsi="Arial" w:cs="Arial"/>
          <w:i w:val="0"/>
          <w:lang w:val="en-GB"/>
        </w:rPr>
        <w:t xml:space="preserve">Besides Article 248 of the Petty Offences Decree (see under Section 6.1), it shall be mentioned that </w:t>
      </w:r>
      <w:r w:rsidRPr="00CD59CC">
        <w:rPr>
          <w:rFonts w:ascii="Arial" w:hAnsi="Arial" w:cs="Arial"/>
          <w:bCs/>
          <w:i w:val="0"/>
          <w:lang w:val="en-GB"/>
        </w:rPr>
        <w:t>under</w:t>
      </w:r>
      <w:r w:rsidRPr="00CD59CC">
        <w:rPr>
          <w:rFonts w:ascii="Arial" w:hAnsi="Arial" w:cs="Arial"/>
          <w:i w:val="0"/>
          <w:lang w:val="en-GB"/>
        </w:rPr>
        <w:t xml:space="preserve"> Article </w:t>
      </w:r>
      <w:r w:rsidRPr="00CD59CC">
        <w:rPr>
          <w:rFonts w:ascii="Arial" w:hAnsi="Arial" w:cs="Arial"/>
          <w:bCs/>
          <w:i w:val="0"/>
          <w:lang w:val="en-GB"/>
        </w:rPr>
        <w:t>59</w:t>
      </w:r>
      <w:r w:rsidRPr="00CD59CC">
        <w:rPr>
          <w:rFonts w:ascii="Arial" w:hAnsi="Arial" w:cs="Arial"/>
          <w:i w:val="0"/>
          <w:lang w:val="en-GB"/>
        </w:rPr>
        <w:t xml:space="preserve"> Paragraph (3) of the Act</w:t>
      </w:r>
      <w:r w:rsidRPr="00CD59CC">
        <w:rPr>
          <w:rFonts w:ascii="Arial" w:hAnsi="Arial" w:cs="Arial"/>
          <w:bCs/>
          <w:i w:val="0"/>
          <w:lang w:val="en-GB"/>
        </w:rPr>
        <w:t xml:space="preserve"> on National </w:t>
      </w:r>
      <w:r w:rsidR="005E5A1C" w:rsidRPr="00CD59CC">
        <w:rPr>
          <w:rFonts w:ascii="Arial" w:hAnsi="Arial" w:cs="Arial"/>
          <w:bCs/>
          <w:i w:val="0"/>
          <w:lang w:val="en-GB"/>
        </w:rPr>
        <w:t>P</w:t>
      </w:r>
      <w:r w:rsidRPr="00CD59CC">
        <w:rPr>
          <w:rFonts w:ascii="Arial" w:hAnsi="Arial" w:cs="Arial"/>
          <w:bCs/>
          <w:i w:val="0"/>
          <w:lang w:val="en-GB"/>
        </w:rPr>
        <w:t xml:space="preserve">ublic </w:t>
      </w:r>
      <w:r w:rsidR="005E5A1C" w:rsidRPr="00CD59CC">
        <w:rPr>
          <w:rFonts w:ascii="Arial" w:hAnsi="Arial" w:cs="Arial"/>
          <w:bCs/>
          <w:i w:val="0"/>
          <w:lang w:val="en-GB"/>
        </w:rPr>
        <w:t>E</w:t>
      </w:r>
      <w:r w:rsidRPr="00CD59CC">
        <w:rPr>
          <w:rFonts w:ascii="Arial" w:hAnsi="Arial" w:cs="Arial"/>
          <w:bCs/>
          <w:i w:val="0"/>
          <w:lang w:val="en-GB"/>
        </w:rPr>
        <w:t>ducation</w:t>
      </w:r>
      <w:r w:rsidRPr="00CD59CC">
        <w:rPr>
          <w:rFonts w:ascii="Arial" w:hAnsi="Arial" w:cs="Arial"/>
          <w:i w:val="0"/>
          <w:lang w:val="en-GB"/>
        </w:rPr>
        <w:t xml:space="preserve">, the kindergarten, school, dormitory and the organiser of occupational training are objectively and fully liable regardless of their culpability for damages caused to children and students in relation to their placement in kindergartens, studies in schools, membership in a dormitory and in relation to occupational training. In relation to damages the relevant provisions of the Civil Code shall be applied, taking into account that the above organs may only be exempted from liability for damages if they prove that the damages occurred outside of their sphere of operation and were caused by an unavoidable reason. No damages shall be paid if they occurred as a result of the unavoidable conduct of the person injured. </w:t>
      </w:r>
    </w:p>
    <w:p w14:paraId="60D367DD" w14:textId="77777777" w:rsidR="009F477F" w:rsidRPr="00CD59CC" w:rsidRDefault="009F477F" w:rsidP="00CD59CC">
      <w:pPr>
        <w:rPr>
          <w:rFonts w:ascii="Arial" w:hAnsi="Arial" w:cs="Arial"/>
        </w:rPr>
      </w:pPr>
    </w:p>
    <w:p w14:paraId="29447C4D" w14:textId="77777777" w:rsidR="009F477F" w:rsidRPr="00CD59CC" w:rsidRDefault="009F477F" w:rsidP="00CD59CC">
      <w:pPr>
        <w:rPr>
          <w:rFonts w:ascii="Arial" w:hAnsi="Arial" w:cs="Arial"/>
        </w:rPr>
      </w:pPr>
      <w:r w:rsidRPr="00CD59CC">
        <w:rPr>
          <w:rFonts w:ascii="Arial" w:hAnsi="Arial" w:cs="Arial"/>
        </w:rPr>
        <w:t xml:space="preserve">This provision puts a higher degree of responsibility on educational institutions that they would normally have under the Civil Code with regard to damages caused through discrimination. Under the normal rules a party can be exempted from liability for damages if he/she proves that he/she acted as it can be generally expected in the given situation, whereas educational liability is close to being objective. </w:t>
      </w:r>
    </w:p>
    <w:p w14:paraId="436168D8" w14:textId="77777777" w:rsidR="009F477F" w:rsidRPr="00CD59CC" w:rsidRDefault="009F477F" w:rsidP="00BB4E9F">
      <w:pPr>
        <w:ind w:left="567" w:hanging="567"/>
        <w:rPr>
          <w:rFonts w:ascii="Arial" w:hAnsi="Arial" w:cs="Arial"/>
        </w:rPr>
      </w:pPr>
    </w:p>
    <w:p w14:paraId="0AFFFC44" w14:textId="77777777" w:rsidR="002B5BCD" w:rsidRPr="00CD59CC" w:rsidRDefault="002B5BCD" w:rsidP="00CD59CC">
      <w:pPr>
        <w:numPr>
          <w:ilvl w:val="0"/>
          <w:numId w:val="23"/>
        </w:numPr>
        <w:ind w:left="567" w:hanging="567"/>
        <w:rPr>
          <w:rFonts w:ascii="Arial" w:hAnsi="Arial" w:cs="Arial"/>
          <w:i/>
          <w:iCs/>
        </w:rPr>
      </w:pPr>
      <w:r w:rsidRPr="00CD59CC">
        <w:rPr>
          <w:rFonts w:ascii="Arial" w:hAnsi="Arial" w:cs="Arial"/>
          <w:i/>
          <w:iCs/>
        </w:rPr>
        <w:t xml:space="preserve">Is there any ceiling on the maximum amount of compensation that can be awarded? </w:t>
      </w:r>
    </w:p>
    <w:p w14:paraId="197D6F5B" w14:textId="77777777" w:rsidR="002B5BCD" w:rsidRPr="00CD59CC" w:rsidRDefault="002B5BCD" w:rsidP="00CD59CC">
      <w:pPr>
        <w:pStyle w:val="BodyText"/>
        <w:ind w:left="567" w:hanging="567"/>
        <w:rPr>
          <w:rFonts w:ascii="Arial" w:hAnsi="Arial" w:cs="Arial"/>
          <w:i w:val="0"/>
          <w:iCs w:val="0"/>
          <w:lang w:val="en-GB"/>
        </w:rPr>
      </w:pPr>
    </w:p>
    <w:p w14:paraId="7C25C7CD" w14:textId="77777777" w:rsidR="005E5A1C" w:rsidRPr="00CD59CC" w:rsidRDefault="005E5A1C" w:rsidP="00CD59CC">
      <w:pPr>
        <w:pStyle w:val="BodyText"/>
        <w:rPr>
          <w:rFonts w:ascii="Arial" w:hAnsi="Arial" w:cs="Arial"/>
          <w:i w:val="0"/>
          <w:iCs w:val="0"/>
          <w:lang w:val="en-GB"/>
        </w:rPr>
      </w:pPr>
      <w:r w:rsidRPr="00CD59CC">
        <w:rPr>
          <w:rFonts w:ascii="Arial" w:hAnsi="Arial" w:cs="Arial"/>
          <w:i w:val="0"/>
          <w:iCs w:val="0"/>
          <w:lang w:val="en-GB"/>
        </w:rPr>
        <w:t xml:space="preserve">Compensation (pecuniary and non-pecuniary damages granted by the civil court) is not capped: there is no upper limit. With regard to fines that can be imposed by administrative and petty offence authorities, the laws define the highest possible amounts (which are indicated in the respective sections above). </w:t>
      </w:r>
    </w:p>
    <w:p w14:paraId="506F0A31" w14:textId="77777777" w:rsidR="005E5A1C" w:rsidRPr="00CD59CC" w:rsidRDefault="005E5A1C" w:rsidP="00CD59CC">
      <w:pPr>
        <w:pStyle w:val="BodyText"/>
        <w:ind w:left="567" w:hanging="567"/>
        <w:rPr>
          <w:rFonts w:ascii="Arial" w:hAnsi="Arial" w:cs="Arial"/>
          <w:i w:val="0"/>
          <w:iCs w:val="0"/>
          <w:lang w:val="en-GB"/>
        </w:rPr>
      </w:pPr>
    </w:p>
    <w:p w14:paraId="4EE6EA6B" w14:textId="77777777" w:rsidR="005E5A1C" w:rsidRPr="00CD59CC" w:rsidRDefault="005E5A1C" w:rsidP="00CD59CC">
      <w:pPr>
        <w:rPr>
          <w:rFonts w:ascii="Arial" w:hAnsi="Arial" w:cs="Arial"/>
        </w:rPr>
      </w:pPr>
      <w:r w:rsidRPr="00CD59CC">
        <w:rPr>
          <w:rFonts w:ascii="Arial" w:hAnsi="Arial" w:cs="Arial"/>
        </w:rPr>
        <w:t xml:space="preserve">As to the amounts awarded in civil court cases, the following can be said. According to the Hungarian law, damages can be both pecuniary and non-pecuniary. In discrimination cases non-pecuniary damages are obviously more characteristic. </w:t>
      </w:r>
    </w:p>
    <w:p w14:paraId="0BBBE4F0" w14:textId="77777777" w:rsidR="005E5A1C" w:rsidRPr="00CD59CC" w:rsidRDefault="005E5A1C" w:rsidP="00CD59CC">
      <w:pPr>
        <w:rPr>
          <w:rFonts w:ascii="Arial" w:hAnsi="Arial" w:cs="Arial"/>
        </w:rPr>
      </w:pPr>
    </w:p>
    <w:p w14:paraId="424A8B67" w14:textId="77777777" w:rsidR="005E5A1C" w:rsidRPr="00CD59CC" w:rsidRDefault="005E5A1C" w:rsidP="00CD59CC">
      <w:pPr>
        <w:rPr>
          <w:rFonts w:ascii="Arial" w:hAnsi="Arial" w:cs="Arial"/>
        </w:rPr>
      </w:pPr>
      <w:r w:rsidRPr="00CD59CC">
        <w:rPr>
          <w:rFonts w:ascii="Arial" w:hAnsi="Arial" w:cs="Arial"/>
        </w:rPr>
        <w:t xml:space="preserve">Since non-pecuniary damages cannot be quantified, it is up to the Court to decide about the amount of the compensation. There is no upper statutory limit, however, Hungarian Courts for a long time tended to be rather cautious in establishing the amounts. In a number of cases concerning discrimination in access to services (most frequently the denial of Roma guest to enter discos and bars), the amount of compensation was quite steadily around HUF 100,000 (EUR 333). This is less than double of the current legally set monthly minimum wage, i.e. not a very dissuasive sanction. </w:t>
      </w:r>
    </w:p>
    <w:p w14:paraId="40D2BB72" w14:textId="77777777" w:rsidR="005E5A1C" w:rsidRPr="00CD59CC" w:rsidRDefault="005E5A1C" w:rsidP="00CD59CC">
      <w:pPr>
        <w:rPr>
          <w:rFonts w:ascii="Arial" w:hAnsi="Arial" w:cs="Arial"/>
        </w:rPr>
      </w:pPr>
    </w:p>
    <w:p w14:paraId="6F6DD3C3" w14:textId="77777777" w:rsidR="005E5A1C" w:rsidRPr="00CD59CC" w:rsidRDefault="005E5A1C" w:rsidP="00CD59CC">
      <w:pPr>
        <w:rPr>
          <w:rFonts w:ascii="Arial" w:hAnsi="Arial" w:cs="Arial"/>
        </w:rPr>
      </w:pPr>
      <w:r w:rsidRPr="00CD59CC">
        <w:rPr>
          <w:rFonts w:ascii="Arial" w:hAnsi="Arial" w:cs="Arial"/>
        </w:rPr>
        <w:t xml:space="preserve">Recently however, the average amounts have started to rise. In some recent cases, discrimination based on racial or ethnic origin was sanctioned with non-pecuniary damages of around EUR 2,000, which is a promising change in the general judicial approach. </w:t>
      </w:r>
    </w:p>
    <w:p w14:paraId="6361C764" w14:textId="77777777" w:rsidR="005E5A1C" w:rsidRPr="00CD59CC" w:rsidRDefault="005E5A1C" w:rsidP="00CD59CC">
      <w:pPr>
        <w:rPr>
          <w:rFonts w:ascii="Arial" w:hAnsi="Arial" w:cs="Arial"/>
        </w:rPr>
      </w:pPr>
    </w:p>
    <w:p w14:paraId="392B225E" w14:textId="77777777" w:rsidR="005E5A1C" w:rsidRPr="00CD59CC" w:rsidRDefault="005E5A1C" w:rsidP="00CD59CC">
      <w:pPr>
        <w:rPr>
          <w:rFonts w:ascii="Arial" w:hAnsi="Arial" w:cs="Arial"/>
        </w:rPr>
      </w:pPr>
      <w:r w:rsidRPr="00CD59CC">
        <w:rPr>
          <w:rFonts w:ascii="Arial" w:hAnsi="Arial" w:cs="Arial"/>
        </w:rPr>
        <w:lastRenderedPageBreak/>
        <w:t xml:space="preserve">Punitive damages do not exist, but a so-called “fine to be used for public purposes” may be imposed by the Court if the amount of the damages that can be imposed is insufficient to mitigate the gravity of the actionable conduct. This fine is however payable to the State and not the victim, and is seldom applied. </w:t>
      </w:r>
    </w:p>
    <w:p w14:paraId="46D23E39" w14:textId="77777777" w:rsidR="005E5A1C" w:rsidRPr="00CD59CC" w:rsidRDefault="005E5A1C" w:rsidP="00CD59CC">
      <w:pPr>
        <w:rPr>
          <w:rFonts w:ascii="Arial" w:hAnsi="Arial" w:cs="Arial"/>
        </w:rPr>
      </w:pPr>
    </w:p>
    <w:p w14:paraId="0AA9F4E4" w14:textId="77777777" w:rsidR="005E5A1C" w:rsidRPr="00CD59CC" w:rsidRDefault="005E5A1C" w:rsidP="00CD59CC">
      <w:pPr>
        <w:rPr>
          <w:rFonts w:ascii="Arial" w:hAnsi="Arial" w:cs="Arial"/>
        </w:rPr>
      </w:pPr>
      <w:r w:rsidRPr="00CD59CC">
        <w:rPr>
          <w:rFonts w:ascii="Arial" w:hAnsi="Arial" w:cs="Arial"/>
        </w:rPr>
        <w:t xml:space="preserve">In labour cases, the situation has become somewhat more complex due to the recent changes in labour law. As it was outlined above, under Article 82 of the Labour Code, if the discrimination is manifested in the unlawful termination of the employment, the employer shall compensate the employee for the damages suffered. In terms of Paragraph (2), if one of the elements of the damages demanded is lost income, no more than twelve-months’ salary may be claimed by the employee under this heading. The reason for this provision (which means a significant change to the previous situation in which no such cap existed) was that the protracting lawsuits put employers into very difficult situations if for instance after 3-4 years they had to pay the full amount of the unlawfully dismissed employee’s unpaid salary, provided that he/she did not find a new job during that time. The change has a very detrimental effect on employees, as this way there is a maximum “penalty” employers have to pay for an unlawful dismissal, which may dissuade them from trying to reach a friendly settlement and may make them interested in making the case as long as possible through appealing the subsequent judicial decisions (since the delaying tactics will not have an impact on how much they have to pay in the end). </w:t>
      </w:r>
    </w:p>
    <w:p w14:paraId="35247CAF" w14:textId="77777777" w:rsidR="005E5A1C" w:rsidRPr="00CD59CC" w:rsidRDefault="005E5A1C" w:rsidP="00CD59CC">
      <w:pPr>
        <w:rPr>
          <w:rFonts w:ascii="Arial" w:hAnsi="Arial" w:cs="Arial"/>
        </w:rPr>
      </w:pPr>
    </w:p>
    <w:p w14:paraId="53D025B5" w14:textId="363BC6D3" w:rsidR="005E5A1C" w:rsidRPr="00CD59CC" w:rsidRDefault="005E5A1C" w:rsidP="00CD59CC">
      <w:pPr>
        <w:rPr>
          <w:rFonts w:ascii="Arial" w:hAnsi="Arial" w:cs="Arial"/>
        </w:rPr>
      </w:pPr>
      <w:r w:rsidRPr="00CD59CC">
        <w:rPr>
          <w:rFonts w:ascii="Arial" w:hAnsi="Arial" w:cs="Arial"/>
        </w:rPr>
        <w:t>What makes the problem complex is that in terms of Article 83, if the termination of the employment constitutes the violation of the requirement of equal treatment, the employee may request the court to order his/her reinstatement. Due to the fact that the change is very recent, it is uncertain in legal practice how this related to the “capping” described above. The question that arises here is what happens if the lawsuit launched in relation to a discriminative dismissal lasts longer than one year and ends with the employee’s victory. According to some practitioners if the plaintiff is reinstated, it will mean that his/her employment has to be regarded as continuous, so he/she shall receive his/her lost income as “unpaid salary” and not as “damages”, therefore, the capping does not apply. According to others even in such cases no more than 12 months’ salary can be claimed retroactively. We have no knowledge of judicial decisions on this matter, so it needs to be seen how jurisprudence will evolve in this respect. In any way, it is certain that if the victim of the discriminative dismissal does not claim reinstatement, there is a 12-month cap on the lost income he/she can demand even if the lawsuit lasts longer than a year.</w:t>
      </w:r>
    </w:p>
    <w:p w14:paraId="73436C50" w14:textId="77777777" w:rsidR="005E5A1C" w:rsidRPr="00CD59CC" w:rsidRDefault="005E5A1C" w:rsidP="00CD59CC">
      <w:pPr>
        <w:rPr>
          <w:rFonts w:ascii="Arial" w:hAnsi="Arial" w:cs="Arial"/>
        </w:rPr>
      </w:pPr>
    </w:p>
    <w:p w14:paraId="7C9F37EA" w14:textId="77777777" w:rsidR="005E5A1C" w:rsidRPr="00CD59CC" w:rsidRDefault="005E5A1C" w:rsidP="00CD59CC">
      <w:pPr>
        <w:pStyle w:val="BodyText2"/>
        <w:jc w:val="left"/>
        <w:rPr>
          <w:rFonts w:ascii="Arial" w:hAnsi="Arial" w:cs="Arial"/>
        </w:rPr>
      </w:pPr>
      <w:r w:rsidRPr="00CD59CC">
        <w:rPr>
          <w:rFonts w:ascii="Arial" w:hAnsi="Arial" w:cs="Arial"/>
        </w:rPr>
        <w:t xml:space="preserve">With regard to the sanctioning practice of the Authority, it can be said that it applies fines between </w:t>
      </w:r>
      <w:r w:rsidRPr="00CD59CC">
        <w:rPr>
          <w:rFonts w:ascii="Arial" w:hAnsi="Arial" w:cs="Arial"/>
          <w:iCs/>
        </w:rPr>
        <w:t xml:space="preserve">cca. </w:t>
      </w:r>
      <w:r w:rsidRPr="00CD59CC">
        <w:rPr>
          <w:rFonts w:ascii="Arial" w:hAnsi="Arial" w:cs="Arial"/>
        </w:rPr>
        <w:t>EUR 1,000 and 17,000.</w:t>
      </w:r>
      <w:r w:rsidRPr="00CD59CC">
        <w:rPr>
          <w:rStyle w:val="Lbjegyzet-karakterek"/>
          <w:rFonts w:ascii="Arial" w:hAnsi="Arial" w:cs="Arial"/>
        </w:rPr>
        <w:footnoteReference w:id="106"/>
      </w:r>
      <w:r w:rsidRPr="00CD59CC">
        <w:rPr>
          <w:rFonts w:ascii="Arial" w:hAnsi="Arial" w:cs="Arial"/>
        </w:rPr>
        <w:t xml:space="preserve"> In two cases of racially motivated discrimination in access to services, the Authority imposed fines of EUR 1,400 and EUR 1,700 respectively. An EUR 1,550 fine was imposed for age-related discrimination on a travel agency, which dismissed several employees who were over 50, and within six months employed 4 new staff members, all of whom were </w:t>
      </w:r>
      <w:r w:rsidRPr="00CD59CC">
        <w:rPr>
          <w:rFonts w:ascii="Arial" w:hAnsi="Arial" w:cs="Arial"/>
        </w:rPr>
        <w:lastRenderedPageBreak/>
        <w:t>around 30. A HUF 4,500,000 (EUR 15,000) fine was imposed on an employer who committed indirect discrimination (against persons going on a sick leave either because of their own illness or in order to care for their sick children) by reducing the salary of those who spend less than 85% of their working time in the workplace.</w:t>
      </w:r>
      <w:r w:rsidRPr="00CD59CC">
        <w:rPr>
          <w:rStyle w:val="FootnoteReference"/>
          <w:rFonts w:ascii="Arial" w:hAnsi="Arial" w:cs="Arial"/>
        </w:rPr>
        <w:footnoteReference w:id="107"/>
      </w:r>
      <w:r w:rsidRPr="00CD59CC">
        <w:rPr>
          <w:rFonts w:ascii="Arial" w:hAnsi="Arial" w:cs="Arial"/>
        </w:rPr>
        <w:t xml:space="preserve"> </w:t>
      </w:r>
    </w:p>
    <w:p w14:paraId="0330F9C8" w14:textId="77777777" w:rsidR="005E5A1C" w:rsidRPr="00CD59CC" w:rsidRDefault="005E5A1C" w:rsidP="00CD59CC">
      <w:pPr>
        <w:pStyle w:val="BodyText2"/>
        <w:jc w:val="left"/>
        <w:rPr>
          <w:rFonts w:ascii="Arial" w:hAnsi="Arial" w:cs="Arial"/>
        </w:rPr>
      </w:pPr>
    </w:p>
    <w:p w14:paraId="08EB252F" w14:textId="77777777" w:rsidR="005E5A1C" w:rsidRPr="00CD59CC" w:rsidRDefault="005E5A1C" w:rsidP="00CD59CC">
      <w:pPr>
        <w:pStyle w:val="BodyText2"/>
        <w:jc w:val="left"/>
        <w:rPr>
          <w:rFonts w:ascii="Arial" w:hAnsi="Arial" w:cs="Arial"/>
        </w:rPr>
      </w:pPr>
      <w:r w:rsidRPr="00CD59CC">
        <w:rPr>
          <w:rFonts w:ascii="Arial" w:hAnsi="Arial" w:cs="Arial"/>
        </w:rPr>
        <w:t>The highest amount ever was imposed on a bar found to be discriminating on the basis of ethnicity in relation to entry for the second time. In this case the Equal Treatment Authority imposed a fine of HUF 5,000,000 (EUR 16,670) on the bar.</w:t>
      </w:r>
      <w:r w:rsidRPr="00CD59CC">
        <w:rPr>
          <w:rStyle w:val="FootnoteReference"/>
          <w:rFonts w:ascii="Arial" w:hAnsi="Arial" w:cs="Arial"/>
        </w:rPr>
        <w:footnoteReference w:id="108"/>
      </w:r>
      <w:r w:rsidRPr="00CD59CC">
        <w:rPr>
          <w:rFonts w:ascii="Arial" w:hAnsi="Arial" w:cs="Arial"/>
        </w:rPr>
        <w:t xml:space="preserve"> </w:t>
      </w:r>
    </w:p>
    <w:p w14:paraId="3FFE200B" w14:textId="77777777" w:rsidR="005E5A1C" w:rsidRPr="00CD59CC" w:rsidRDefault="005E5A1C" w:rsidP="00CD59CC">
      <w:pPr>
        <w:rPr>
          <w:rFonts w:ascii="Arial" w:hAnsi="Arial" w:cs="Arial"/>
        </w:rPr>
      </w:pPr>
    </w:p>
    <w:p w14:paraId="132017A9" w14:textId="0111C588" w:rsidR="005E5A1C" w:rsidRPr="00CD59CC" w:rsidRDefault="005E5A1C" w:rsidP="00CD59CC">
      <w:pPr>
        <w:pStyle w:val="BodyText"/>
        <w:rPr>
          <w:rFonts w:ascii="Arial" w:hAnsi="Arial" w:cs="Arial"/>
          <w:i w:val="0"/>
          <w:iCs w:val="0"/>
          <w:lang w:val="en-GB"/>
        </w:rPr>
      </w:pPr>
      <w:r w:rsidRPr="00CD59CC">
        <w:rPr>
          <w:rFonts w:ascii="Arial" w:hAnsi="Arial" w:cs="Arial"/>
          <w:i w:val="0"/>
          <w:iCs w:val="0"/>
          <w:lang w:val="en-GB"/>
        </w:rPr>
        <w:t>It has to be noted that the sanctions imposed by the Authority have also shown a tendency of increase in the past years, however, the number of cases in which a fine is imposed has been quickly decreasing. In 2012, for instance, in only 2 cases did the Authority impose a fine</w:t>
      </w:r>
      <w:r w:rsidRPr="00CD59CC">
        <w:rPr>
          <w:rStyle w:val="FootnoteReference"/>
          <w:rFonts w:ascii="Arial" w:hAnsi="Arial" w:cs="Arial"/>
          <w:i w:val="0"/>
          <w:iCs w:val="0"/>
          <w:lang w:val="en-GB"/>
        </w:rPr>
        <w:footnoteReference w:id="109"/>
      </w:r>
      <w:r w:rsidRPr="00CD59CC">
        <w:rPr>
          <w:rFonts w:ascii="Arial" w:hAnsi="Arial" w:cs="Arial"/>
          <w:i w:val="0"/>
          <w:iCs w:val="0"/>
          <w:lang w:val="en-GB"/>
        </w:rPr>
        <w:t xml:space="preserve"> as opposed to 11 cases in 2011</w:t>
      </w:r>
      <w:r w:rsidRPr="00CD59CC">
        <w:rPr>
          <w:rStyle w:val="FootnoteReference"/>
          <w:rFonts w:ascii="Arial" w:hAnsi="Arial" w:cs="Arial"/>
          <w:i w:val="0"/>
          <w:iCs w:val="0"/>
          <w:lang w:val="en-GB"/>
        </w:rPr>
        <w:footnoteReference w:id="110"/>
      </w:r>
      <w:r w:rsidRPr="00CD59CC">
        <w:rPr>
          <w:rFonts w:ascii="Arial" w:hAnsi="Arial" w:cs="Arial"/>
          <w:i w:val="0"/>
          <w:iCs w:val="0"/>
          <w:lang w:val="en-GB"/>
        </w:rPr>
        <w:t xml:space="preserve"> and 20 in 2010.</w:t>
      </w:r>
      <w:r w:rsidRPr="00CD59CC">
        <w:rPr>
          <w:rStyle w:val="FootnoteReference"/>
          <w:rFonts w:ascii="Arial" w:hAnsi="Arial" w:cs="Arial"/>
          <w:i w:val="0"/>
          <w:iCs w:val="0"/>
          <w:lang w:val="en-GB"/>
        </w:rPr>
        <w:footnoteReference w:id="111"/>
      </w:r>
      <w:r w:rsidRPr="00CD59CC">
        <w:rPr>
          <w:rFonts w:ascii="Arial" w:hAnsi="Arial" w:cs="Arial"/>
          <w:i w:val="0"/>
          <w:iCs w:val="0"/>
          <w:lang w:val="en-GB"/>
        </w:rPr>
        <w:t xml:space="preserve"> What has become particularly conspicuous in the recent years is the Authority’s unwillingness to impose sanctions on state bodies, which may be related to the fact that it is itself an administrative body integrated into the state hierarchy (see below under Section 7). A case illustrating this very sharply is that of the visually impaired employee in one of the Governmental Offices (described under Annex 3) who was prevented from using the special computer </w:t>
      </w:r>
      <w:r w:rsidR="007B7640" w:rsidRPr="00CD59CC">
        <w:rPr>
          <w:rFonts w:ascii="Arial" w:hAnsi="Arial" w:cs="Arial"/>
          <w:i w:val="0"/>
          <w:iCs w:val="0"/>
          <w:lang w:val="en-GB"/>
        </w:rPr>
        <w:t xml:space="preserve">programme </w:t>
      </w:r>
      <w:r w:rsidRPr="00CD59CC">
        <w:rPr>
          <w:rFonts w:ascii="Arial" w:hAnsi="Arial" w:cs="Arial"/>
          <w:i w:val="0"/>
          <w:iCs w:val="0"/>
          <w:lang w:val="en-GB"/>
        </w:rPr>
        <w:t>and the personal assistance with the help of which/whom he had been performing his job for years and was subsequently dismissed on the basis of his unsuitability for the job. In this case although the Authority itself emphasised that the violation was extremely severe (since the employer intentionally made use of the complainant’s disability and by depriving him of his assistance brought him in a very humiliating situation that enabled the employer to dismiss him), the Authority chose not to impose a fine on the employer.</w:t>
      </w:r>
    </w:p>
    <w:p w14:paraId="5138787F" w14:textId="77777777" w:rsidR="005E5A1C" w:rsidRPr="00CD59CC" w:rsidRDefault="005E5A1C" w:rsidP="00CD59CC">
      <w:pPr>
        <w:pStyle w:val="BodyText"/>
        <w:ind w:left="567" w:hanging="567"/>
        <w:rPr>
          <w:rFonts w:ascii="Arial" w:hAnsi="Arial" w:cs="Arial"/>
          <w:i w:val="0"/>
          <w:iCs w:val="0"/>
          <w:lang w:val="en-GB"/>
        </w:rPr>
      </w:pPr>
    </w:p>
    <w:p w14:paraId="7E7392A0" w14:textId="77777777" w:rsidR="002B5BCD" w:rsidRDefault="002B5BCD" w:rsidP="00CD59CC">
      <w:pPr>
        <w:pStyle w:val="BodyText"/>
        <w:numPr>
          <w:ilvl w:val="0"/>
          <w:numId w:val="23"/>
        </w:numPr>
        <w:ind w:left="567" w:hanging="567"/>
        <w:rPr>
          <w:rFonts w:ascii="Arial" w:hAnsi="Arial" w:cs="Arial"/>
          <w:iCs w:val="0"/>
          <w:lang w:val="en-GB"/>
        </w:rPr>
      </w:pPr>
      <w:r w:rsidRPr="00CD59CC">
        <w:rPr>
          <w:rFonts w:ascii="Arial" w:hAnsi="Arial" w:cs="Arial"/>
          <w:iCs w:val="0"/>
          <w:lang w:val="en-GB"/>
        </w:rPr>
        <w:t xml:space="preserve">Is there any information available concerning: </w:t>
      </w:r>
    </w:p>
    <w:p w14:paraId="32CCF2F2" w14:textId="77777777" w:rsidR="00E54402" w:rsidRPr="00CD59CC" w:rsidRDefault="00E54402" w:rsidP="00E54402">
      <w:pPr>
        <w:pStyle w:val="BodyText"/>
        <w:rPr>
          <w:rFonts w:ascii="Arial" w:hAnsi="Arial" w:cs="Arial"/>
          <w:iCs w:val="0"/>
          <w:lang w:val="en-GB"/>
        </w:rPr>
      </w:pPr>
    </w:p>
    <w:p w14:paraId="7B90FA43" w14:textId="21D3A450" w:rsidR="002B5BCD" w:rsidRPr="00CD59CC" w:rsidRDefault="002B5BCD" w:rsidP="007B4138">
      <w:pPr>
        <w:pStyle w:val="BodyText"/>
        <w:numPr>
          <w:ilvl w:val="1"/>
          <w:numId w:val="35"/>
        </w:numPr>
        <w:tabs>
          <w:tab w:val="left" w:pos="1134"/>
        </w:tabs>
        <w:ind w:left="1134" w:hanging="567"/>
        <w:rPr>
          <w:rFonts w:ascii="Arial" w:hAnsi="Arial" w:cs="Arial"/>
          <w:iCs w:val="0"/>
          <w:lang w:val="en-GB"/>
        </w:rPr>
      </w:pPr>
      <w:r w:rsidRPr="00CD59CC">
        <w:rPr>
          <w:rFonts w:ascii="Arial" w:hAnsi="Arial" w:cs="Arial"/>
          <w:iCs w:val="0"/>
          <w:lang w:val="en-GB"/>
        </w:rPr>
        <w:t>the average amount of compensation a</w:t>
      </w:r>
      <w:r w:rsidR="00D919BE" w:rsidRPr="00CD59CC">
        <w:rPr>
          <w:rFonts w:ascii="Arial" w:hAnsi="Arial" w:cs="Arial"/>
          <w:iCs w:val="0"/>
          <w:lang w:val="en-GB"/>
        </w:rPr>
        <w:t>warded</w:t>
      </w:r>
      <w:r w:rsidRPr="00CD59CC">
        <w:rPr>
          <w:rFonts w:ascii="Arial" w:hAnsi="Arial" w:cs="Arial"/>
          <w:iCs w:val="0"/>
          <w:lang w:val="en-GB"/>
        </w:rPr>
        <w:t xml:space="preserve"> to victims?</w:t>
      </w:r>
    </w:p>
    <w:p w14:paraId="03DDE011" w14:textId="77777777" w:rsidR="00076DB6" w:rsidRPr="00CD59CC" w:rsidRDefault="00076DB6" w:rsidP="00CD59CC">
      <w:pPr>
        <w:pStyle w:val="BodyText"/>
        <w:tabs>
          <w:tab w:val="left" w:pos="1134"/>
        </w:tabs>
        <w:rPr>
          <w:rFonts w:ascii="Arial" w:hAnsi="Arial" w:cs="Arial"/>
          <w:iCs w:val="0"/>
          <w:lang w:val="en-GB"/>
        </w:rPr>
      </w:pPr>
    </w:p>
    <w:p w14:paraId="71E9AC3D" w14:textId="77777777" w:rsidR="00076DB6" w:rsidRPr="00CD59CC" w:rsidRDefault="00076DB6" w:rsidP="00CD59CC">
      <w:pPr>
        <w:pStyle w:val="BodyText"/>
        <w:tabs>
          <w:tab w:val="left" w:pos="1134"/>
        </w:tabs>
        <w:rPr>
          <w:rFonts w:ascii="Arial" w:hAnsi="Arial" w:cs="Arial"/>
          <w:iCs w:val="0"/>
          <w:lang w:val="en-GB"/>
        </w:rPr>
      </w:pPr>
      <w:r w:rsidRPr="00CD59CC">
        <w:rPr>
          <w:rFonts w:ascii="Arial" w:hAnsi="Arial" w:cs="Arial"/>
          <w:i w:val="0"/>
          <w:lang w:val="en-GB"/>
        </w:rPr>
        <w:t>Information on the sanctions applied by the Authority is provided in the last paragraph of point b) above. With regard to courts, no statistics are available, and since only courts can award compensation to victims, this question cannot be answered in a sufficient manner.</w:t>
      </w:r>
    </w:p>
    <w:p w14:paraId="2C81859D" w14:textId="77777777" w:rsidR="00076DB6" w:rsidRPr="00CD59CC" w:rsidRDefault="00076DB6" w:rsidP="00BB4E9F">
      <w:pPr>
        <w:pStyle w:val="BodyText"/>
        <w:tabs>
          <w:tab w:val="left" w:pos="1134"/>
        </w:tabs>
        <w:rPr>
          <w:rFonts w:ascii="Arial" w:hAnsi="Arial" w:cs="Arial"/>
          <w:iCs w:val="0"/>
          <w:lang w:val="en-GB"/>
        </w:rPr>
      </w:pPr>
    </w:p>
    <w:p w14:paraId="7FEFAFC6" w14:textId="77777777" w:rsidR="002B5BCD" w:rsidRPr="00CD59CC" w:rsidRDefault="002B5BCD" w:rsidP="007B4138">
      <w:pPr>
        <w:pStyle w:val="BodyText"/>
        <w:numPr>
          <w:ilvl w:val="1"/>
          <w:numId w:val="35"/>
        </w:numPr>
        <w:tabs>
          <w:tab w:val="left" w:pos="1134"/>
        </w:tabs>
        <w:ind w:left="1134" w:hanging="567"/>
        <w:rPr>
          <w:rFonts w:ascii="Arial" w:hAnsi="Arial" w:cs="Arial"/>
          <w:iCs w:val="0"/>
          <w:lang w:val="en-GB"/>
        </w:rPr>
      </w:pPr>
      <w:r w:rsidRPr="00CD59CC">
        <w:rPr>
          <w:rFonts w:ascii="Arial" w:hAnsi="Arial" w:cs="Arial"/>
          <w:iCs w:val="0"/>
          <w:lang w:val="en-GB"/>
        </w:rPr>
        <w:t>the extent to which the available sanctions have been shown to be - or are likely to be - effective, proportionate and dissuasive, as required by the Directives?</w:t>
      </w:r>
    </w:p>
    <w:p w14:paraId="293733AB" w14:textId="77777777" w:rsidR="00D919BE" w:rsidRPr="00CD59CC" w:rsidRDefault="00D919BE" w:rsidP="00CD59CC">
      <w:pPr>
        <w:pStyle w:val="BodyText"/>
        <w:rPr>
          <w:rFonts w:ascii="Arial" w:hAnsi="Arial" w:cs="Arial"/>
          <w:iCs w:val="0"/>
          <w:lang w:val="en-GB"/>
        </w:rPr>
      </w:pPr>
    </w:p>
    <w:p w14:paraId="45C600F6" w14:textId="77777777" w:rsidR="005E5A1C" w:rsidRPr="00CD59CC" w:rsidRDefault="00076DB6" w:rsidP="00CD59CC">
      <w:pPr>
        <w:pStyle w:val="BodyText"/>
        <w:rPr>
          <w:rFonts w:ascii="Arial" w:hAnsi="Arial" w:cs="Arial"/>
          <w:i w:val="0"/>
          <w:lang w:val="en-GB"/>
        </w:rPr>
      </w:pPr>
      <w:r w:rsidRPr="00CD59CC">
        <w:rPr>
          <w:rFonts w:ascii="Arial" w:hAnsi="Arial" w:cs="Arial"/>
          <w:i w:val="0"/>
          <w:lang w:val="en-GB"/>
        </w:rPr>
        <w:lastRenderedPageBreak/>
        <w:t>Sanctions are regulated in a manner that they could meet the requirements set forth by the Directives, but – as it is</w:t>
      </w:r>
      <w:r w:rsidR="005E5A1C" w:rsidRPr="00CD59CC">
        <w:rPr>
          <w:rFonts w:ascii="Arial" w:hAnsi="Arial" w:cs="Arial"/>
          <w:i w:val="0"/>
          <w:lang w:val="en-GB"/>
        </w:rPr>
        <w:t xml:space="preserve"> outlined under point b) above</w:t>
      </w:r>
      <w:r w:rsidRPr="00CD59CC">
        <w:rPr>
          <w:rFonts w:ascii="Arial" w:hAnsi="Arial" w:cs="Arial"/>
          <w:i w:val="0"/>
          <w:lang w:val="en-GB"/>
        </w:rPr>
        <w:t xml:space="preserve"> – the Authority seems to be refraining from imposing fines (especially in relation to state agencies), and there is no sufficient </w:t>
      </w:r>
      <w:r w:rsidR="00733330" w:rsidRPr="00CD59CC">
        <w:rPr>
          <w:rFonts w:ascii="Arial" w:hAnsi="Arial" w:cs="Arial"/>
          <w:i w:val="0"/>
          <w:lang w:val="en-GB"/>
        </w:rPr>
        <w:t>evidence</w:t>
      </w:r>
      <w:r w:rsidRPr="00CD59CC">
        <w:rPr>
          <w:rFonts w:ascii="Arial" w:hAnsi="Arial" w:cs="Arial"/>
          <w:i w:val="0"/>
          <w:lang w:val="en-GB"/>
        </w:rPr>
        <w:t xml:space="preserve"> in relation to court decisions.</w:t>
      </w:r>
    </w:p>
    <w:p w14:paraId="528AEC05" w14:textId="77777777" w:rsidR="002B5BCD" w:rsidRPr="00CD59CC" w:rsidRDefault="00CD59CC" w:rsidP="00BB4E9F">
      <w:pPr>
        <w:pStyle w:val="Heading1"/>
        <w:ind w:left="567" w:hanging="567"/>
        <w:rPr>
          <w:rFonts w:cs="Arial"/>
        </w:rPr>
      </w:pPr>
      <w:bookmarkStart w:id="306" w:name="_Toc220221183"/>
      <w:bookmarkStart w:id="307" w:name="_Toc329163645"/>
      <w:r>
        <w:rPr>
          <w:rFonts w:cs="Arial"/>
        </w:rPr>
        <w:br w:type="page"/>
      </w:r>
      <w:bookmarkStart w:id="308" w:name="_Toc392758753"/>
      <w:bookmarkStart w:id="309" w:name="_Toc366846363"/>
      <w:r w:rsidR="002B5BCD" w:rsidRPr="00CD59CC">
        <w:rPr>
          <w:rFonts w:cs="Arial"/>
        </w:rPr>
        <w:lastRenderedPageBreak/>
        <w:t>SPECIALISED BODIES, Body for the promotion of equal treatment (Article 13 Directive 2000/43)</w:t>
      </w:r>
      <w:bookmarkEnd w:id="306"/>
      <w:bookmarkEnd w:id="307"/>
      <w:bookmarkEnd w:id="308"/>
      <w:bookmarkEnd w:id="309"/>
    </w:p>
    <w:p w14:paraId="368D7068" w14:textId="77777777" w:rsidR="002B5BCD" w:rsidRPr="00CD59CC" w:rsidRDefault="002B5BCD" w:rsidP="00CD59CC">
      <w:pPr>
        <w:pStyle w:val="BodyText"/>
        <w:rPr>
          <w:rFonts w:ascii="Arial" w:hAnsi="Arial" w:cs="Arial"/>
          <w:lang w:val="en-GB"/>
        </w:rPr>
      </w:pPr>
    </w:p>
    <w:p w14:paraId="6B1E1188" w14:textId="77777777" w:rsidR="002B5BCD" w:rsidRPr="00CD59CC" w:rsidRDefault="002B5BCD" w:rsidP="00CD59CC">
      <w:pPr>
        <w:pStyle w:val="BodyText"/>
        <w:rPr>
          <w:rFonts w:ascii="Arial" w:hAnsi="Arial" w:cs="Arial"/>
          <w:lang w:val="en-GB"/>
        </w:rPr>
      </w:pPr>
      <w:r w:rsidRPr="00CD59CC">
        <w:rPr>
          <w:rFonts w:ascii="Arial" w:hAnsi="Arial" w:cs="Arial"/>
          <w:lang w:val="en-GB"/>
        </w:rPr>
        <w:t xml:space="preserve">When answering this question, if there is any data regarding the activities of the body (or bodies) for the promotion of equal treatment, include reference to this (keeping in mind the need to examine whether the race equality body is functioning properly). For example, annual reports, statistics on the number of complaints received in each year or the number of complainants assisted in bringing legal proceedings. </w:t>
      </w:r>
    </w:p>
    <w:p w14:paraId="7B9380BE" w14:textId="77777777" w:rsidR="002B5BCD" w:rsidRPr="00CD59CC" w:rsidRDefault="002B5BCD" w:rsidP="00CD59CC">
      <w:pPr>
        <w:rPr>
          <w:rFonts w:ascii="Arial" w:hAnsi="Arial" w:cs="Arial"/>
          <w:i/>
        </w:rPr>
      </w:pPr>
    </w:p>
    <w:p w14:paraId="64BF006B" w14:textId="77777777" w:rsidR="006410BF" w:rsidRPr="00CD59CC" w:rsidRDefault="002B5BCD" w:rsidP="00CD59CC">
      <w:pPr>
        <w:pStyle w:val="BodyText"/>
        <w:numPr>
          <w:ilvl w:val="0"/>
          <w:numId w:val="24"/>
        </w:numPr>
        <w:ind w:left="567" w:hanging="567"/>
        <w:rPr>
          <w:rFonts w:ascii="Arial" w:hAnsi="Arial" w:cs="Arial"/>
          <w:lang w:val="en-GB"/>
        </w:rPr>
      </w:pPr>
      <w:r w:rsidRPr="00CD59CC">
        <w:rPr>
          <w:rFonts w:ascii="Arial" w:hAnsi="Arial" w:cs="Arial"/>
          <w:lang w:val="en-GB"/>
        </w:rPr>
        <w:t>Does a ‘specialised body’ or ‘bodies’ exist for the promotion of equal treatment irrespective of racial or ethnic origin? (Body/bodies that correspond to the requirements of Article 13. If the body you are mentioning is not the designated body according to the transposition process, please clearly indicate so).</w:t>
      </w:r>
    </w:p>
    <w:p w14:paraId="0E7FEB68" w14:textId="77777777" w:rsidR="00C315C6" w:rsidRPr="00CD59CC" w:rsidRDefault="00C315C6" w:rsidP="00CD59CC">
      <w:pPr>
        <w:pStyle w:val="BodyText"/>
        <w:rPr>
          <w:rFonts w:ascii="Arial" w:hAnsi="Arial" w:cs="Arial"/>
          <w:iCs w:val="0"/>
          <w:lang w:val="en-GB"/>
        </w:rPr>
      </w:pPr>
    </w:p>
    <w:p w14:paraId="5C76A2C9" w14:textId="66A4B0DD" w:rsidR="006E5B12" w:rsidRPr="00CD59CC" w:rsidRDefault="006E5B12" w:rsidP="00CD59CC">
      <w:pPr>
        <w:pStyle w:val="BodyText"/>
        <w:rPr>
          <w:rFonts w:ascii="Arial" w:hAnsi="Arial" w:cs="Arial"/>
          <w:i w:val="0"/>
          <w:lang w:val="en-GB"/>
        </w:rPr>
      </w:pPr>
      <w:r w:rsidRPr="00CD59CC">
        <w:rPr>
          <w:rFonts w:ascii="Arial" w:hAnsi="Arial" w:cs="Arial"/>
          <w:i w:val="0"/>
          <w:lang w:val="en-GB"/>
        </w:rPr>
        <w:t xml:space="preserve">The specialised body for the promotion of equal treatment irrespective of racial or ethnic origin is the Equal Treatment Authority (hereafter: Authority) established by the ETA. It started its operation on 1 February 2005. Government Decree 362/2004 on the Equal Treatment Authority and the Detailed Rules of its Procedure (ETAD) was adopted on 26 December 2004 (as of 1 July 2013, its provision have been integrated into the ETA). </w:t>
      </w:r>
    </w:p>
    <w:p w14:paraId="4E4FE717" w14:textId="77777777" w:rsidR="006E5B12" w:rsidRPr="00CD59CC" w:rsidRDefault="006E5B12" w:rsidP="00CD59CC">
      <w:pPr>
        <w:pStyle w:val="BodyText"/>
        <w:rPr>
          <w:rFonts w:ascii="Arial" w:hAnsi="Arial" w:cs="Arial"/>
          <w:i w:val="0"/>
          <w:lang w:val="en-GB"/>
        </w:rPr>
      </w:pPr>
    </w:p>
    <w:p w14:paraId="6A6130AC" w14:textId="77777777" w:rsidR="006E5B12" w:rsidRPr="00CD59CC" w:rsidRDefault="006E5B12" w:rsidP="00CD59CC">
      <w:pPr>
        <w:pStyle w:val="BodyText"/>
        <w:rPr>
          <w:rFonts w:ascii="Arial" w:hAnsi="Arial" w:cs="Arial"/>
          <w:i w:val="0"/>
          <w:lang w:val="en-GB"/>
        </w:rPr>
      </w:pPr>
      <w:r w:rsidRPr="00CD59CC">
        <w:rPr>
          <w:rFonts w:ascii="Arial" w:hAnsi="Arial" w:cs="Arial"/>
          <w:i w:val="0"/>
          <w:lang w:val="en-GB"/>
        </w:rPr>
        <w:t xml:space="preserve">It needs to be pointed out that the Commissioner for Fundamental Rights (through his deputy responsible for minority affairs) also performs some of the functions required by Article 13 of Directive 2000/43: he conducts independent surveys concerning discrimination, publishes independent reports and makes recommendations on any issue relating to such discrimination. The Ombudsman has a very restricted possibility to assist victims in pursuing their complaints, and the scope of the Ombudsman’s investigation is restricted to authorities and public service providers. For a detailed description of the Ombudsman’s status and authorisations, see Section 6.1. </w:t>
      </w:r>
    </w:p>
    <w:p w14:paraId="2D953617" w14:textId="77777777" w:rsidR="006E5B12" w:rsidRPr="00CD59CC" w:rsidRDefault="006E5B12" w:rsidP="00CD59CC">
      <w:pPr>
        <w:pStyle w:val="BodyText"/>
        <w:rPr>
          <w:rFonts w:ascii="Arial" w:hAnsi="Arial" w:cs="Arial"/>
          <w:i w:val="0"/>
          <w:lang w:val="en-GB"/>
        </w:rPr>
      </w:pPr>
    </w:p>
    <w:p w14:paraId="5048D0A5" w14:textId="77777777" w:rsidR="006E5B12" w:rsidRPr="00CD59CC" w:rsidRDefault="006E5B12" w:rsidP="00CD59CC">
      <w:pPr>
        <w:pStyle w:val="BodyText"/>
        <w:rPr>
          <w:rFonts w:ascii="Arial" w:hAnsi="Arial" w:cs="Arial"/>
          <w:i w:val="0"/>
          <w:lang w:val="en-GB"/>
        </w:rPr>
      </w:pPr>
      <w:r w:rsidRPr="00CD59CC">
        <w:rPr>
          <w:rFonts w:ascii="Arial" w:hAnsi="Arial" w:cs="Arial"/>
          <w:i w:val="0"/>
          <w:lang w:val="en-GB"/>
        </w:rPr>
        <w:t>The Authority – which is the designated body according to the transposition process – is vested with the right and duty to act against any discriminatory act irrespective of the ground of discrimination (sex, racial or ethnic origin, age, etc.) or the field concerned (employment, education, access to goods, etc.). Besides the authorisations required by the Racial Equality Directive, the body is vested with the right to impose severe sanctions on persons and entities violating the ban on discrimination.</w:t>
      </w:r>
    </w:p>
    <w:p w14:paraId="14791DF0" w14:textId="77777777" w:rsidR="006E5B12" w:rsidRPr="00CD59CC" w:rsidRDefault="006E5B12" w:rsidP="00CD59CC">
      <w:pPr>
        <w:pStyle w:val="BodyText"/>
        <w:rPr>
          <w:rFonts w:ascii="Arial" w:hAnsi="Arial" w:cs="Arial"/>
          <w:i w:val="0"/>
          <w:lang w:val="en-GB"/>
        </w:rPr>
      </w:pPr>
    </w:p>
    <w:p w14:paraId="057E4B6B" w14:textId="5075E460" w:rsidR="006E5B12" w:rsidRPr="00CD59CC" w:rsidRDefault="006E5B12" w:rsidP="00CD59CC">
      <w:pPr>
        <w:pStyle w:val="BodyText"/>
        <w:rPr>
          <w:rFonts w:ascii="Arial" w:hAnsi="Arial" w:cs="Arial"/>
          <w:lang w:val="en-GB"/>
        </w:rPr>
      </w:pPr>
      <w:r w:rsidRPr="00BB4E9F">
        <w:rPr>
          <w:rFonts w:ascii="Arial" w:hAnsi="Arial"/>
        </w:rPr>
        <w:br w:type="page"/>
      </w:r>
      <w:r w:rsidRPr="00CD59CC">
        <w:rPr>
          <w:rFonts w:ascii="Arial" w:hAnsi="Arial" w:cs="Arial"/>
          <w:i w:val="0"/>
          <w:lang w:val="en-GB"/>
        </w:rPr>
        <w:lastRenderedPageBreak/>
        <w:t>The caseload of the Authority for the years 2005-2012 is summarised in the table below.</w:t>
      </w:r>
    </w:p>
    <w:p w14:paraId="5920096F" w14:textId="77777777" w:rsidR="006E5B12" w:rsidRPr="00BB4E9F" w:rsidRDefault="006E5B12" w:rsidP="00CD59CC">
      <w:pPr>
        <w:rPr>
          <w:rFonts w:ascii="Arial" w:hAnsi="Arial"/>
        </w:rPr>
      </w:pPr>
    </w:p>
    <w:tbl>
      <w:tblPr>
        <w:tblW w:w="9499" w:type="dxa"/>
        <w:tblInd w:w="-35" w:type="dxa"/>
        <w:tblLayout w:type="fixed"/>
        <w:tblLook w:val="04A0" w:firstRow="1" w:lastRow="0" w:firstColumn="1" w:lastColumn="0" w:noHBand="0" w:noVBand="1"/>
      </w:tblPr>
      <w:tblGrid>
        <w:gridCol w:w="2695"/>
        <w:gridCol w:w="850"/>
        <w:gridCol w:w="851"/>
        <w:gridCol w:w="850"/>
        <w:gridCol w:w="851"/>
        <w:gridCol w:w="850"/>
        <w:gridCol w:w="851"/>
        <w:gridCol w:w="850"/>
        <w:gridCol w:w="851"/>
      </w:tblGrid>
      <w:tr w:rsidR="00BB4E9F" w:rsidRPr="00CD59CC" w14:paraId="6F308AB2" w14:textId="77777777" w:rsidTr="00BB4E9F">
        <w:tc>
          <w:tcPr>
            <w:tcW w:w="2695" w:type="dxa"/>
            <w:tcBorders>
              <w:top w:val="single" w:sz="4" w:space="0" w:color="000000"/>
              <w:left w:val="single" w:sz="4" w:space="0" w:color="000000"/>
              <w:bottom w:val="single" w:sz="4" w:space="0" w:color="000000"/>
              <w:right w:val="nil"/>
            </w:tcBorders>
          </w:tcPr>
          <w:p w14:paraId="3D16BEB1" w14:textId="77777777" w:rsidR="006E5B12" w:rsidRPr="00CD59CC" w:rsidRDefault="006E5B12" w:rsidP="00CD59CC">
            <w:pPr>
              <w:pStyle w:val="BodyText"/>
              <w:snapToGrid w:val="0"/>
              <w:rPr>
                <w:rFonts w:ascii="Arial" w:hAnsi="Arial" w:cs="Arial"/>
                <w:i w:val="0"/>
                <w:lang w:val="en-GB"/>
              </w:rPr>
            </w:pPr>
            <w:r w:rsidRPr="00BB4E9F">
              <w:rPr>
                <w:rFonts w:ascii="Arial" w:hAnsi="Arial"/>
                <w:i w:val="0"/>
              </w:rPr>
              <w:br w:type="page"/>
            </w:r>
          </w:p>
        </w:tc>
        <w:tc>
          <w:tcPr>
            <w:tcW w:w="850" w:type="dxa"/>
            <w:tcBorders>
              <w:top w:val="single" w:sz="4" w:space="0" w:color="000000"/>
              <w:left w:val="single" w:sz="4" w:space="0" w:color="000000"/>
              <w:bottom w:val="single" w:sz="4" w:space="0" w:color="000000"/>
              <w:right w:val="nil"/>
            </w:tcBorders>
            <w:hideMark/>
          </w:tcPr>
          <w:p w14:paraId="2C9E5E33" w14:textId="77777777" w:rsidR="006E5B12" w:rsidRPr="00CD59CC" w:rsidRDefault="006E5B12" w:rsidP="00CD59CC">
            <w:pPr>
              <w:pStyle w:val="BodyText"/>
              <w:rPr>
                <w:rFonts w:ascii="Arial" w:hAnsi="Arial" w:cs="Arial"/>
                <w:b/>
                <w:i w:val="0"/>
                <w:lang w:val="en-GB"/>
              </w:rPr>
            </w:pPr>
            <w:r w:rsidRPr="00CD59CC">
              <w:rPr>
                <w:rFonts w:ascii="Arial" w:hAnsi="Arial" w:cs="Arial"/>
                <w:b/>
                <w:i w:val="0"/>
                <w:lang w:val="en-GB"/>
              </w:rPr>
              <w:t>2005</w:t>
            </w:r>
          </w:p>
        </w:tc>
        <w:tc>
          <w:tcPr>
            <w:tcW w:w="851" w:type="dxa"/>
            <w:tcBorders>
              <w:top w:val="single" w:sz="4" w:space="0" w:color="000000"/>
              <w:left w:val="single" w:sz="4" w:space="0" w:color="000000"/>
              <w:bottom w:val="single" w:sz="4" w:space="0" w:color="000000"/>
              <w:right w:val="nil"/>
            </w:tcBorders>
            <w:hideMark/>
          </w:tcPr>
          <w:p w14:paraId="52909275" w14:textId="77777777" w:rsidR="006E5B12" w:rsidRPr="00CD59CC" w:rsidRDefault="006E5B12" w:rsidP="00CD59CC">
            <w:pPr>
              <w:pStyle w:val="BodyText"/>
              <w:rPr>
                <w:rFonts w:ascii="Arial" w:hAnsi="Arial" w:cs="Arial"/>
                <w:b/>
                <w:i w:val="0"/>
                <w:lang w:val="en-GB"/>
              </w:rPr>
            </w:pPr>
            <w:r w:rsidRPr="00CD59CC">
              <w:rPr>
                <w:rFonts w:ascii="Arial" w:hAnsi="Arial" w:cs="Arial"/>
                <w:b/>
                <w:i w:val="0"/>
                <w:lang w:val="en-GB"/>
              </w:rPr>
              <w:t>2006</w:t>
            </w:r>
          </w:p>
        </w:tc>
        <w:tc>
          <w:tcPr>
            <w:tcW w:w="850" w:type="dxa"/>
            <w:tcBorders>
              <w:top w:val="single" w:sz="4" w:space="0" w:color="000000"/>
              <w:left w:val="single" w:sz="4" w:space="0" w:color="000000"/>
              <w:bottom w:val="single" w:sz="4" w:space="0" w:color="000000"/>
              <w:right w:val="single" w:sz="4" w:space="0" w:color="000000"/>
            </w:tcBorders>
            <w:hideMark/>
          </w:tcPr>
          <w:p w14:paraId="0F4F7ABC" w14:textId="77777777" w:rsidR="006E5B12" w:rsidRPr="00CD59CC" w:rsidRDefault="006E5B12" w:rsidP="00CD59CC">
            <w:pPr>
              <w:pStyle w:val="BodyText"/>
              <w:rPr>
                <w:rFonts w:ascii="Arial" w:hAnsi="Arial" w:cs="Arial"/>
                <w:b/>
                <w:i w:val="0"/>
                <w:lang w:val="en-GB"/>
              </w:rPr>
            </w:pPr>
            <w:r w:rsidRPr="00CD59CC">
              <w:rPr>
                <w:rFonts w:ascii="Arial" w:hAnsi="Arial" w:cs="Arial"/>
                <w:b/>
                <w:i w:val="0"/>
                <w:lang w:val="en-GB"/>
              </w:rPr>
              <w:t>2007</w:t>
            </w:r>
          </w:p>
        </w:tc>
        <w:tc>
          <w:tcPr>
            <w:tcW w:w="851" w:type="dxa"/>
            <w:tcBorders>
              <w:top w:val="single" w:sz="4" w:space="0" w:color="000000"/>
              <w:left w:val="single" w:sz="4" w:space="0" w:color="000000"/>
              <w:bottom w:val="single" w:sz="4" w:space="0" w:color="000000"/>
              <w:right w:val="single" w:sz="4" w:space="0" w:color="000000"/>
            </w:tcBorders>
            <w:hideMark/>
          </w:tcPr>
          <w:p w14:paraId="772424CF" w14:textId="77777777" w:rsidR="006E5B12" w:rsidRPr="00CD59CC" w:rsidRDefault="006E5B12" w:rsidP="00CD59CC">
            <w:pPr>
              <w:pStyle w:val="BodyText"/>
              <w:snapToGrid w:val="0"/>
              <w:rPr>
                <w:rFonts w:ascii="Arial" w:hAnsi="Arial" w:cs="Arial"/>
                <w:b/>
                <w:i w:val="0"/>
                <w:lang w:val="en-GB"/>
              </w:rPr>
            </w:pPr>
            <w:r w:rsidRPr="00CD59CC">
              <w:rPr>
                <w:rFonts w:ascii="Arial" w:hAnsi="Arial" w:cs="Arial"/>
                <w:b/>
                <w:i w:val="0"/>
                <w:lang w:val="en-GB"/>
              </w:rPr>
              <w:t>2008</w:t>
            </w:r>
          </w:p>
        </w:tc>
        <w:tc>
          <w:tcPr>
            <w:tcW w:w="850" w:type="dxa"/>
            <w:tcBorders>
              <w:top w:val="single" w:sz="4" w:space="0" w:color="000000"/>
              <w:left w:val="single" w:sz="4" w:space="0" w:color="000000"/>
              <w:bottom w:val="single" w:sz="4" w:space="0" w:color="000000"/>
              <w:right w:val="single" w:sz="4" w:space="0" w:color="000000"/>
            </w:tcBorders>
            <w:hideMark/>
          </w:tcPr>
          <w:p w14:paraId="40A500FA" w14:textId="77777777" w:rsidR="006E5B12" w:rsidRPr="00CD59CC" w:rsidRDefault="006E5B12" w:rsidP="00CD59CC">
            <w:pPr>
              <w:pStyle w:val="BodyText"/>
              <w:snapToGrid w:val="0"/>
              <w:rPr>
                <w:rFonts w:ascii="Arial" w:hAnsi="Arial" w:cs="Arial"/>
                <w:b/>
                <w:i w:val="0"/>
                <w:lang w:val="en-GB"/>
              </w:rPr>
            </w:pPr>
            <w:r w:rsidRPr="00CD59CC">
              <w:rPr>
                <w:rFonts w:ascii="Arial" w:hAnsi="Arial" w:cs="Arial"/>
                <w:b/>
                <w:i w:val="0"/>
                <w:lang w:val="en-GB"/>
              </w:rPr>
              <w:t>2009</w:t>
            </w:r>
          </w:p>
        </w:tc>
        <w:tc>
          <w:tcPr>
            <w:tcW w:w="851" w:type="dxa"/>
            <w:tcBorders>
              <w:top w:val="single" w:sz="4" w:space="0" w:color="000000"/>
              <w:left w:val="single" w:sz="4" w:space="0" w:color="000000"/>
              <w:bottom w:val="single" w:sz="4" w:space="0" w:color="000000"/>
              <w:right w:val="single" w:sz="4" w:space="0" w:color="000000"/>
            </w:tcBorders>
            <w:hideMark/>
          </w:tcPr>
          <w:p w14:paraId="15234054" w14:textId="77777777" w:rsidR="006E5B12" w:rsidRPr="00CD59CC" w:rsidRDefault="006E5B12" w:rsidP="00CD59CC">
            <w:pPr>
              <w:pStyle w:val="BodyText"/>
              <w:snapToGrid w:val="0"/>
              <w:rPr>
                <w:rFonts w:ascii="Arial" w:hAnsi="Arial" w:cs="Arial"/>
                <w:b/>
                <w:i w:val="0"/>
                <w:lang w:val="en-GB"/>
              </w:rPr>
            </w:pPr>
            <w:r w:rsidRPr="00CD59CC">
              <w:rPr>
                <w:rFonts w:ascii="Arial" w:hAnsi="Arial" w:cs="Arial"/>
                <w:b/>
                <w:i w:val="0"/>
                <w:lang w:val="en-GB"/>
              </w:rPr>
              <w:t>2010</w:t>
            </w:r>
          </w:p>
        </w:tc>
        <w:tc>
          <w:tcPr>
            <w:tcW w:w="850" w:type="dxa"/>
            <w:tcBorders>
              <w:top w:val="single" w:sz="4" w:space="0" w:color="000000"/>
              <w:left w:val="single" w:sz="4" w:space="0" w:color="000000"/>
              <w:bottom w:val="single" w:sz="4" w:space="0" w:color="000000"/>
              <w:right w:val="single" w:sz="4" w:space="0" w:color="000000"/>
            </w:tcBorders>
            <w:hideMark/>
          </w:tcPr>
          <w:p w14:paraId="04679143" w14:textId="77777777" w:rsidR="006E5B12" w:rsidRPr="00CD59CC" w:rsidRDefault="006E5B12" w:rsidP="00CD59CC">
            <w:pPr>
              <w:pStyle w:val="BodyText"/>
              <w:snapToGrid w:val="0"/>
              <w:rPr>
                <w:rFonts w:ascii="Arial" w:hAnsi="Arial" w:cs="Arial"/>
                <w:b/>
                <w:i w:val="0"/>
                <w:lang w:val="en-GB"/>
              </w:rPr>
            </w:pPr>
            <w:r w:rsidRPr="00CD59CC">
              <w:rPr>
                <w:rFonts w:ascii="Arial" w:hAnsi="Arial" w:cs="Arial"/>
                <w:b/>
                <w:i w:val="0"/>
                <w:lang w:val="en-GB"/>
              </w:rPr>
              <w:t>2011</w:t>
            </w:r>
          </w:p>
        </w:tc>
        <w:tc>
          <w:tcPr>
            <w:tcW w:w="851" w:type="dxa"/>
            <w:tcBorders>
              <w:top w:val="single" w:sz="4" w:space="0" w:color="000000"/>
              <w:left w:val="single" w:sz="4" w:space="0" w:color="000000"/>
              <w:bottom w:val="single" w:sz="4" w:space="0" w:color="000000"/>
              <w:right w:val="single" w:sz="4" w:space="0" w:color="000000"/>
            </w:tcBorders>
          </w:tcPr>
          <w:p w14:paraId="143C7A67" w14:textId="77777777" w:rsidR="006E5B12" w:rsidRPr="00CD59CC" w:rsidRDefault="006E5B12" w:rsidP="00CD59CC">
            <w:pPr>
              <w:pStyle w:val="BodyText"/>
              <w:snapToGrid w:val="0"/>
              <w:rPr>
                <w:rFonts w:ascii="Arial" w:hAnsi="Arial" w:cs="Arial"/>
                <w:b/>
                <w:i w:val="0"/>
                <w:lang w:val="en-GB"/>
              </w:rPr>
            </w:pPr>
            <w:r w:rsidRPr="00CD59CC">
              <w:rPr>
                <w:rFonts w:ascii="Arial" w:hAnsi="Arial" w:cs="Arial"/>
                <w:b/>
                <w:i w:val="0"/>
                <w:lang w:val="en-GB"/>
              </w:rPr>
              <w:t>2012</w:t>
            </w:r>
          </w:p>
        </w:tc>
      </w:tr>
      <w:tr w:rsidR="00BB4E9F" w:rsidRPr="00CD59CC" w14:paraId="392BAE59" w14:textId="77777777" w:rsidTr="00BB4E9F">
        <w:tc>
          <w:tcPr>
            <w:tcW w:w="2695" w:type="dxa"/>
            <w:tcBorders>
              <w:top w:val="single" w:sz="4" w:space="0" w:color="000000"/>
              <w:left w:val="single" w:sz="4" w:space="0" w:color="000000"/>
              <w:bottom w:val="single" w:sz="4" w:space="0" w:color="000000"/>
              <w:right w:val="nil"/>
            </w:tcBorders>
            <w:hideMark/>
          </w:tcPr>
          <w:p w14:paraId="3445C13B"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Complaints of discrimination</w:t>
            </w:r>
          </w:p>
        </w:tc>
        <w:tc>
          <w:tcPr>
            <w:tcW w:w="850" w:type="dxa"/>
            <w:tcBorders>
              <w:top w:val="single" w:sz="4" w:space="0" w:color="000000"/>
              <w:left w:val="single" w:sz="4" w:space="0" w:color="000000"/>
              <w:bottom w:val="single" w:sz="4" w:space="0" w:color="000000"/>
              <w:right w:val="nil"/>
            </w:tcBorders>
            <w:hideMark/>
          </w:tcPr>
          <w:p w14:paraId="7312C3EE"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491</w:t>
            </w:r>
          </w:p>
        </w:tc>
        <w:tc>
          <w:tcPr>
            <w:tcW w:w="851" w:type="dxa"/>
            <w:tcBorders>
              <w:top w:val="single" w:sz="4" w:space="0" w:color="000000"/>
              <w:left w:val="single" w:sz="4" w:space="0" w:color="000000"/>
              <w:bottom w:val="single" w:sz="4" w:space="0" w:color="000000"/>
              <w:right w:val="nil"/>
            </w:tcBorders>
            <w:hideMark/>
          </w:tcPr>
          <w:p w14:paraId="31F376F3"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592</w:t>
            </w:r>
          </w:p>
        </w:tc>
        <w:tc>
          <w:tcPr>
            <w:tcW w:w="850" w:type="dxa"/>
            <w:tcBorders>
              <w:top w:val="single" w:sz="4" w:space="0" w:color="000000"/>
              <w:left w:val="single" w:sz="4" w:space="0" w:color="000000"/>
              <w:bottom w:val="single" w:sz="4" w:space="0" w:color="000000"/>
              <w:right w:val="single" w:sz="4" w:space="0" w:color="000000"/>
            </w:tcBorders>
            <w:hideMark/>
          </w:tcPr>
          <w:p w14:paraId="64271AEC"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756</w:t>
            </w:r>
          </w:p>
        </w:tc>
        <w:tc>
          <w:tcPr>
            <w:tcW w:w="851" w:type="dxa"/>
            <w:tcBorders>
              <w:top w:val="single" w:sz="4" w:space="0" w:color="000000"/>
              <w:left w:val="single" w:sz="4" w:space="0" w:color="000000"/>
              <w:bottom w:val="single" w:sz="4" w:space="0" w:color="000000"/>
              <w:right w:val="single" w:sz="4" w:space="0" w:color="000000"/>
            </w:tcBorders>
            <w:hideMark/>
          </w:tcPr>
          <w:p w14:paraId="4B40B6FC"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1153</w:t>
            </w:r>
          </w:p>
        </w:tc>
        <w:tc>
          <w:tcPr>
            <w:tcW w:w="850" w:type="dxa"/>
            <w:tcBorders>
              <w:top w:val="single" w:sz="4" w:space="0" w:color="000000"/>
              <w:left w:val="single" w:sz="4" w:space="0" w:color="000000"/>
              <w:bottom w:val="single" w:sz="4" w:space="0" w:color="000000"/>
              <w:right w:val="single" w:sz="4" w:space="0" w:color="000000"/>
            </w:tcBorders>
            <w:hideMark/>
          </w:tcPr>
          <w:p w14:paraId="0CB8C6EE"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1087</w:t>
            </w:r>
          </w:p>
        </w:tc>
        <w:tc>
          <w:tcPr>
            <w:tcW w:w="851" w:type="dxa"/>
            <w:tcBorders>
              <w:top w:val="single" w:sz="4" w:space="0" w:color="000000"/>
              <w:left w:val="single" w:sz="4" w:space="0" w:color="000000"/>
              <w:bottom w:val="single" w:sz="4" w:space="0" w:color="000000"/>
              <w:right w:val="single" w:sz="4" w:space="0" w:color="000000"/>
            </w:tcBorders>
            <w:hideMark/>
          </w:tcPr>
          <w:p w14:paraId="27B442B9"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1373</w:t>
            </w:r>
          </w:p>
        </w:tc>
        <w:tc>
          <w:tcPr>
            <w:tcW w:w="850" w:type="dxa"/>
            <w:tcBorders>
              <w:top w:val="single" w:sz="4" w:space="0" w:color="000000"/>
              <w:left w:val="single" w:sz="4" w:space="0" w:color="000000"/>
              <w:bottom w:val="single" w:sz="4" w:space="0" w:color="000000"/>
              <w:right w:val="single" w:sz="4" w:space="0" w:color="000000"/>
            </w:tcBorders>
            <w:hideMark/>
          </w:tcPr>
          <w:p w14:paraId="497077C4"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1014</w:t>
            </w:r>
          </w:p>
        </w:tc>
        <w:tc>
          <w:tcPr>
            <w:tcW w:w="851" w:type="dxa"/>
            <w:tcBorders>
              <w:top w:val="single" w:sz="4" w:space="0" w:color="000000"/>
              <w:left w:val="single" w:sz="4" w:space="0" w:color="000000"/>
              <w:bottom w:val="single" w:sz="4" w:space="0" w:color="000000"/>
              <w:right w:val="single" w:sz="4" w:space="0" w:color="000000"/>
            </w:tcBorders>
          </w:tcPr>
          <w:p w14:paraId="7AAF7BC2"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2738*</w:t>
            </w:r>
          </w:p>
        </w:tc>
      </w:tr>
      <w:tr w:rsidR="00BB4E9F" w:rsidRPr="00CD59CC" w14:paraId="5BD9FE2B" w14:textId="77777777" w:rsidTr="00BB4E9F">
        <w:tc>
          <w:tcPr>
            <w:tcW w:w="2695" w:type="dxa"/>
            <w:tcBorders>
              <w:top w:val="single" w:sz="4" w:space="0" w:color="000000"/>
              <w:left w:val="single" w:sz="4" w:space="0" w:color="000000"/>
              <w:bottom w:val="single" w:sz="4" w:space="0" w:color="000000"/>
              <w:right w:val="nil"/>
            </w:tcBorders>
            <w:hideMark/>
          </w:tcPr>
          <w:p w14:paraId="5BCC6353"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Decision on the merits of the case</w:t>
            </w:r>
          </w:p>
        </w:tc>
        <w:tc>
          <w:tcPr>
            <w:tcW w:w="850" w:type="dxa"/>
            <w:tcBorders>
              <w:top w:val="single" w:sz="4" w:space="0" w:color="000000"/>
              <w:left w:val="single" w:sz="4" w:space="0" w:color="000000"/>
              <w:bottom w:val="single" w:sz="4" w:space="0" w:color="000000"/>
              <w:right w:val="nil"/>
            </w:tcBorders>
            <w:hideMark/>
          </w:tcPr>
          <w:p w14:paraId="4B0B3C92"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144</w:t>
            </w:r>
          </w:p>
        </w:tc>
        <w:tc>
          <w:tcPr>
            <w:tcW w:w="851" w:type="dxa"/>
            <w:tcBorders>
              <w:top w:val="single" w:sz="4" w:space="0" w:color="000000"/>
              <w:left w:val="single" w:sz="4" w:space="0" w:color="000000"/>
              <w:bottom w:val="single" w:sz="4" w:space="0" w:color="000000"/>
              <w:right w:val="nil"/>
            </w:tcBorders>
            <w:hideMark/>
          </w:tcPr>
          <w:p w14:paraId="091F8994"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202</w:t>
            </w:r>
          </w:p>
        </w:tc>
        <w:tc>
          <w:tcPr>
            <w:tcW w:w="850" w:type="dxa"/>
            <w:tcBorders>
              <w:top w:val="single" w:sz="4" w:space="0" w:color="000000"/>
              <w:left w:val="single" w:sz="4" w:space="0" w:color="000000"/>
              <w:bottom w:val="single" w:sz="4" w:space="0" w:color="000000"/>
              <w:right w:val="single" w:sz="4" w:space="0" w:color="000000"/>
            </w:tcBorders>
            <w:hideMark/>
          </w:tcPr>
          <w:p w14:paraId="19EDB2C2"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159</w:t>
            </w:r>
          </w:p>
        </w:tc>
        <w:tc>
          <w:tcPr>
            <w:tcW w:w="851" w:type="dxa"/>
            <w:tcBorders>
              <w:top w:val="single" w:sz="4" w:space="0" w:color="000000"/>
              <w:left w:val="single" w:sz="4" w:space="0" w:color="000000"/>
              <w:bottom w:val="single" w:sz="4" w:space="0" w:color="000000"/>
              <w:right w:val="single" w:sz="4" w:space="0" w:color="000000"/>
            </w:tcBorders>
            <w:hideMark/>
          </w:tcPr>
          <w:p w14:paraId="4EEF7499"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256</w:t>
            </w:r>
          </w:p>
        </w:tc>
        <w:tc>
          <w:tcPr>
            <w:tcW w:w="850" w:type="dxa"/>
            <w:tcBorders>
              <w:top w:val="single" w:sz="4" w:space="0" w:color="000000"/>
              <w:left w:val="single" w:sz="4" w:space="0" w:color="000000"/>
              <w:bottom w:val="single" w:sz="4" w:space="0" w:color="000000"/>
              <w:right w:val="single" w:sz="4" w:space="0" w:color="000000"/>
            </w:tcBorders>
            <w:hideMark/>
          </w:tcPr>
          <w:p w14:paraId="5358ED4B"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273</w:t>
            </w:r>
          </w:p>
        </w:tc>
        <w:tc>
          <w:tcPr>
            <w:tcW w:w="851" w:type="dxa"/>
            <w:tcBorders>
              <w:top w:val="single" w:sz="4" w:space="0" w:color="000000"/>
              <w:left w:val="single" w:sz="4" w:space="0" w:color="000000"/>
              <w:bottom w:val="single" w:sz="4" w:space="0" w:color="000000"/>
              <w:right w:val="single" w:sz="4" w:space="0" w:color="000000"/>
            </w:tcBorders>
            <w:hideMark/>
          </w:tcPr>
          <w:p w14:paraId="15943CAD"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377</w:t>
            </w:r>
          </w:p>
        </w:tc>
        <w:tc>
          <w:tcPr>
            <w:tcW w:w="850" w:type="dxa"/>
            <w:tcBorders>
              <w:top w:val="single" w:sz="4" w:space="0" w:color="000000"/>
              <w:left w:val="single" w:sz="4" w:space="0" w:color="000000"/>
              <w:bottom w:val="single" w:sz="4" w:space="0" w:color="000000"/>
              <w:right w:val="single" w:sz="4" w:space="0" w:color="000000"/>
            </w:tcBorders>
            <w:hideMark/>
          </w:tcPr>
          <w:p w14:paraId="72E877EF"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359</w:t>
            </w:r>
          </w:p>
        </w:tc>
        <w:tc>
          <w:tcPr>
            <w:tcW w:w="851" w:type="dxa"/>
            <w:tcBorders>
              <w:top w:val="single" w:sz="4" w:space="0" w:color="000000"/>
              <w:left w:val="single" w:sz="4" w:space="0" w:color="000000"/>
              <w:bottom w:val="single" w:sz="4" w:space="0" w:color="000000"/>
              <w:right w:val="single" w:sz="4" w:space="0" w:color="000000"/>
            </w:tcBorders>
          </w:tcPr>
          <w:p w14:paraId="5B4E09C7"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213</w:t>
            </w:r>
          </w:p>
        </w:tc>
      </w:tr>
      <w:tr w:rsidR="00BB4E9F" w:rsidRPr="00CD59CC" w14:paraId="506739C2" w14:textId="77777777" w:rsidTr="00BB4E9F">
        <w:tc>
          <w:tcPr>
            <w:tcW w:w="2695" w:type="dxa"/>
            <w:tcBorders>
              <w:top w:val="single" w:sz="4" w:space="0" w:color="000000"/>
              <w:left w:val="single" w:sz="4" w:space="0" w:color="000000"/>
              <w:bottom w:val="single" w:sz="4" w:space="0" w:color="000000"/>
              <w:right w:val="nil"/>
            </w:tcBorders>
            <w:hideMark/>
          </w:tcPr>
          <w:p w14:paraId="54F8A085"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Decisions establishing discrimination</w:t>
            </w:r>
          </w:p>
        </w:tc>
        <w:tc>
          <w:tcPr>
            <w:tcW w:w="850" w:type="dxa"/>
            <w:tcBorders>
              <w:top w:val="single" w:sz="4" w:space="0" w:color="000000"/>
              <w:left w:val="single" w:sz="4" w:space="0" w:color="000000"/>
              <w:bottom w:val="single" w:sz="4" w:space="0" w:color="000000"/>
              <w:right w:val="nil"/>
            </w:tcBorders>
            <w:hideMark/>
          </w:tcPr>
          <w:p w14:paraId="6132F38B"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9</w:t>
            </w:r>
          </w:p>
        </w:tc>
        <w:tc>
          <w:tcPr>
            <w:tcW w:w="851" w:type="dxa"/>
            <w:tcBorders>
              <w:top w:val="single" w:sz="4" w:space="0" w:color="000000"/>
              <w:left w:val="single" w:sz="4" w:space="0" w:color="000000"/>
              <w:bottom w:val="single" w:sz="4" w:space="0" w:color="000000"/>
              <w:right w:val="nil"/>
            </w:tcBorders>
            <w:hideMark/>
          </w:tcPr>
          <w:p w14:paraId="7AB6048B"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27</w:t>
            </w:r>
          </w:p>
        </w:tc>
        <w:tc>
          <w:tcPr>
            <w:tcW w:w="850" w:type="dxa"/>
            <w:tcBorders>
              <w:top w:val="single" w:sz="4" w:space="0" w:color="000000"/>
              <w:left w:val="single" w:sz="4" w:space="0" w:color="000000"/>
              <w:bottom w:val="single" w:sz="4" w:space="0" w:color="000000"/>
              <w:right w:val="single" w:sz="4" w:space="0" w:color="000000"/>
            </w:tcBorders>
            <w:hideMark/>
          </w:tcPr>
          <w:p w14:paraId="33D93BA9"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29</w:t>
            </w:r>
          </w:p>
        </w:tc>
        <w:tc>
          <w:tcPr>
            <w:tcW w:w="851" w:type="dxa"/>
            <w:tcBorders>
              <w:top w:val="single" w:sz="4" w:space="0" w:color="000000"/>
              <w:left w:val="single" w:sz="4" w:space="0" w:color="000000"/>
              <w:bottom w:val="single" w:sz="4" w:space="0" w:color="000000"/>
              <w:right w:val="single" w:sz="4" w:space="0" w:color="000000"/>
            </w:tcBorders>
            <w:hideMark/>
          </w:tcPr>
          <w:p w14:paraId="2FD2A347"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37</w:t>
            </w:r>
          </w:p>
        </w:tc>
        <w:tc>
          <w:tcPr>
            <w:tcW w:w="850" w:type="dxa"/>
            <w:tcBorders>
              <w:top w:val="single" w:sz="4" w:space="0" w:color="000000"/>
              <w:left w:val="single" w:sz="4" w:space="0" w:color="000000"/>
              <w:bottom w:val="single" w:sz="4" w:space="0" w:color="000000"/>
              <w:right w:val="single" w:sz="4" w:space="0" w:color="000000"/>
            </w:tcBorders>
            <w:hideMark/>
          </w:tcPr>
          <w:p w14:paraId="3ECEAF50"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48</w:t>
            </w:r>
          </w:p>
        </w:tc>
        <w:tc>
          <w:tcPr>
            <w:tcW w:w="851" w:type="dxa"/>
            <w:tcBorders>
              <w:top w:val="single" w:sz="4" w:space="0" w:color="000000"/>
              <w:left w:val="single" w:sz="4" w:space="0" w:color="000000"/>
              <w:bottom w:val="single" w:sz="4" w:space="0" w:color="000000"/>
              <w:right w:val="single" w:sz="4" w:space="0" w:color="000000"/>
            </w:tcBorders>
            <w:hideMark/>
          </w:tcPr>
          <w:p w14:paraId="1A2865B5"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40</w:t>
            </w:r>
          </w:p>
        </w:tc>
        <w:tc>
          <w:tcPr>
            <w:tcW w:w="850" w:type="dxa"/>
            <w:tcBorders>
              <w:top w:val="single" w:sz="4" w:space="0" w:color="000000"/>
              <w:left w:val="single" w:sz="4" w:space="0" w:color="000000"/>
              <w:bottom w:val="single" w:sz="4" w:space="0" w:color="000000"/>
              <w:right w:val="single" w:sz="4" w:space="0" w:color="000000"/>
            </w:tcBorders>
            <w:hideMark/>
          </w:tcPr>
          <w:p w14:paraId="1AD29BD6"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42</w:t>
            </w:r>
          </w:p>
        </w:tc>
        <w:tc>
          <w:tcPr>
            <w:tcW w:w="851" w:type="dxa"/>
            <w:tcBorders>
              <w:top w:val="single" w:sz="4" w:space="0" w:color="000000"/>
              <w:left w:val="single" w:sz="4" w:space="0" w:color="000000"/>
              <w:bottom w:val="single" w:sz="4" w:space="0" w:color="000000"/>
              <w:right w:val="single" w:sz="4" w:space="0" w:color="000000"/>
            </w:tcBorders>
          </w:tcPr>
          <w:p w14:paraId="1CB1145F"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31</w:t>
            </w:r>
          </w:p>
        </w:tc>
      </w:tr>
      <w:tr w:rsidR="00BB4E9F" w:rsidRPr="00CD59CC" w14:paraId="5AE7B1A6" w14:textId="77777777" w:rsidTr="00BB4E9F">
        <w:tc>
          <w:tcPr>
            <w:tcW w:w="2695" w:type="dxa"/>
            <w:tcBorders>
              <w:top w:val="single" w:sz="4" w:space="0" w:color="000000"/>
              <w:left w:val="single" w:sz="4" w:space="0" w:color="000000"/>
              <w:bottom w:val="single" w:sz="4" w:space="0" w:color="000000"/>
              <w:right w:val="nil"/>
            </w:tcBorders>
            <w:hideMark/>
          </w:tcPr>
          <w:p w14:paraId="231F98A0"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Friendly settlement</w:t>
            </w:r>
          </w:p>
        </w:tc>
        <w:tc>
          <w:tcPr>
            <w:tcW w:w="850" w:type="dxa"/>
            <w:tcBorders>
              <w:top w:val="single" w:sz="4" w:space="0" w:color="000000"/>
              <w:left w:val="single" w:sz="4" w:space="0" w:color="000000"/>
              <w:bottom w:val="single" w:sz="4" w:space="0" w:color="000000"/>
              <w:right w:val="nil"/>
            </w:tcBorders>
            <w:hideMark/>
          </w:tcPr>
          <w:p w14:paraId="0E2F011A"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6</w:t>
            </w:r>
          </w:p>
        </w:tc>
        <w:tc>
          <w:tcPr>
            <w:tcW w:w="851" w:type="dxa"/>
            <w:tcBorders>
              <w:top w:val="single" w:sz="4" w:space="0" w:color="000000"/>
              <w:left w:val="single" w:sz="4" w:space="0" w:color="000000"/>
              <w:bottom w:val="single" w:sz="4" w:space="0" w:color="000000"/>
              <w:right w:val="nil"/>
            </w:tcBorders>
            <w:hideMark/>
          </w:tcPr>
          <w:p w14:paraId="3C4A0728" w14:textId="77777777" w:rsidR="006E5B12" w:rsidRPr="00CD59CC" w:rsidRDefault="006E5B12" w:rsidP="00CD59CC">
            <w:pPr>
              <w:pStyle w:val="Megjegyzstrgya1"/>
              <w:snapToGrid w:val="0"/>
              <w:rPr>
                <w:rFonts w:ascii="Arial" w:hAnsi="Arial" w:cs="Arial"/>
                <w:b w:val="0"/>
                <w:sz w:val="24"/>
                <w:szCs w:val="24"/>
              </w:rPr>
            </w:pPr>
            <w:r w:rsidRPr="00CD59CC">
              <w:rPr>
                <w:rFonts w:ascii="Arial" w:hAnsi="Arial" w:cs="Arial"/>
                <w:b w:val="0"/>
                <w:sz w:val="24"/>
                <w:szCs w:val="24"/>
              </w:rPr>
              <w:t>13</w:t>
            </w:r>
          </w:p>
        </w:tc>
        <w:tc>
          <w:tcPr>
            <w:tcW w:w="850" w:type="dxa"/>
            <w:tcBorders>
              <w:top w:val="single" w:sz="4" w:space="0" w:color="000000"/>
              <w:left w:val="single" w:sz="4" w:space="0" w:color="000000"/>
              <w:bottom w:val="single" w:sz="4" w:space="0" w:color="000000"/>
              <w:right w:val="single" w:sz="4" w:space="0" w:color="000000"/>
            </w:tcBorders>
            <w:hideMark/>
          </w:tcPr>
          <w:p w14:paraId="7F0152A8"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3</w:t>
            </w:r>
          </w:p>
        </w:tc>
        <w:tc>
          <w:tcPr>
            <w:tcW w:w="851" w:type="dxa"/>
            <w:tcBorders>
              <w:top w:val="single" w:sz="4" w:space="0" w:color="000000"/>
              <w:left w:val="single" w:sz="4" w:space="0" w:color="000000"/>
              <w:bottom w:val="single" w:sz="4" w:space="0" w:color="000000"/>
              <w:right w:val="single" w:sz="4" w:space="0" w:color="000000"/>
            </w:tcBorders>
            <w:hideMark/>
          </w:tcPr>
          <w:p w14:paraId="70CD0205"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23</w:t>
            </w:r>
          </w:p>
        </w:tc>
        <w:tc>
          <w:tcPr>
            <w:tcW w:w="850" w:type="dxa"/>
            <w:tcBorders>
              <w:top w:val="single" w:sz="4" w:space="0" w:color="000000"/>
              <w:left w:val="single" w:sz="4" w:space="0" w:color="000000"/>
              <w:bottom w:val="single" w:sz="4" w:space="0" w:color="000000"/>
              <w:right w:val="single" w:sz="4" w:space="0" w:color="000000"/>
            </w:tcBorders>
            <w:hideMark/>
          </w:tcPr>
          <w:p w14:paraId="03D377ED"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18</w:t>
            </w:r>
          </w:p>
        </w:tc>
        <w:tc>
          <w:tcPr>
            <w:tcW w:w="851" w:type="dxa"/>
            <w:tcBorders>
              <w:top w:val="single" w:sz="4" w:space="0" w:color="000000"/>
              <w:left w:val="single" w:sz="4" w:space="0" w:color="000000"/>
              <w:bottom w:val="single" w:sz="4" w:space="0" w:color="000000"/>
              <w:right w:val="single" w:sz="4" w:space="0" w:color="000000"/>
            </w:tcBorders>
            <w:hideMark/>
          </w:tcPr>
          <w:p w14:paraId="62AC672F"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36</w:t>
            </w:r>
          </w:p>
        </w:tc>
        <w:tc>
          <w:tcPr>
            <w:tcW w:w="850" w:type="dxa"/>
            <w:tcBorders>
              <w:top w:val="single" w:sz="4" w:space="0" w:color="000000"/>
              <w:left w:val="single" w:sz="4" w:space="0" w:color="000000"/>
              <w:bottom w:val="single" w:sz="4" w:space="0" w:color="000000"/>
              <w:right w:val="single" w:sz="4" w:space="0" w:color="000000"/>
            </w:tcBorders>
            <w:hideMark/>
          </w:tcPr>
          <w:p w14:paraId="0AFF56BC"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39</w:t>
            </w:r>
          </w:p>
        </w:tc>
        <w:tc>
          <w:tcPr>
            <w:tcW w:w="851" w:type="dxa"/>
            <w:tcBorders>
              <w:top w:val="single" w:sz="4" w:space="0" w:color="000000"/>
              <w:left w:val="single" w:sz="4" w:space="0" w:color="000000"/>
              <w:bottom w:val="single" w:sz="4" w:space="0" w:color="000000"/>
              <w:right w:val="single" w:sz="4" w:space="0" w:color="000000"/>
            </w:tcBorders>
          </w:tcPr>
          <w:p w14:paraId="00AF29EA" w14:textId="77777777" w:rsidR="006E5B12" w:rsidRPr="00CD59CC" w:rsidRDefault="006E5B12" w:rsidP="00CD59CC">
            <w:pPr>
              <w:pStyle w:val="BodyText"/>
              <w:snapToGrid w:val="0"/>
              <w:rPr>
                <w:rFonts w:ascii="Arial" w:hAnsi="Arial" w:cs="Arial"/>
                <w:i w:val="0"/>
                <w:lang w:val="en-GB"/>
              </w:rPr>
            </w:pPr>
            <w:r w:rsidRPr="00CD59CC">
              <w:rPr>
                <w:rFonts w:ascii="Arial" w:hAnsi="Arial" w:cs="Arial"/>
                <w:i w:val="0"/>
                <w:lang w:val="en-GB"/>
              </w:rPr>
              <w:t>28</w:t>
            </w:r>
          </w:p>
        </w:tc>
      </w:tr>
    </w:tbl>
    <w:p w14:paraId="11584CC8" w14:textId="51350A03" w:rsidR="006E5B12" w:rsidRPr="00CD59CC" w:rsidRDefault="006E5B12" w:rsidP="00CD59CC">
      <w:pPr>
        <w:pStyle w:val="BodyText"/>
        <w:rPr>
          <w:rFonts w:ascii="Arial" w:hAnsi="Arial" w:cs="Arial"/>
          <w:lang w:val="en-GB"/>
        </w:rPr>
      </w:pPr>
      <w:r w:rsidRPr="00CD59CC">
        <w:rPr>
          <w:rFonts w:ascii="Arial" w:hAnsi="Arial" w:cs="Arial"/>
          <w:lang w:val="en-GB"/>
        </w:rPr>
        <w:t>* without the complaints not falling under the Authority’s scope, the number of cases was: 822</w:t>
      </w:r>
    </w:p>
    <w:p w14:paraId="03865D57" w14:textId="77777777" w:rsidR="0021255F" w:rsidRPr="00CD59CC" w:rsidRDefault="0021255F" w:rsidP="00CD59CC">
      <w:pPr>
        <w:pStyle w:val="BodyText"/>
        <w:rPr>
          <w:rFonts w:ascii="Arial" w:hAnsi="Arial" w:cs="Arial"/>
          <w:i w:val="0"/>
          <w:lang w:val="en-GB"/>
        </w:rPr>
      </w:pPr>
    </w:p>
    <w:p w14:paraId="54B78D6C" w14:textId="62C6402F" w:rsidR="006E5B12" w:rsidRDefault="0021255F" w:rsidP="00CD59CC">
      <w:pPr>
        <w:pStyle w:val="BodyText"/>
        <w:rPr>
          <w:rFonts w:ascii="Arial" w:hAnsi="Arial" w:cs="Arial"/>
          <w:i w:val="0"/>
          <w:lang w:val="en-GB"/>
        </w:rPr>
      </w:pPr>
      <w:r w:rsidRPr="00CD59CC">
        <w:rPr>
          <w:rFonts w:ascii="Arial" w:hAnsi="Arial" w:cs="Arial"/>
          <w:i w:val="0"/>
          <w:lang w:val="en-GB"/>
        </w:rPr>
        <w:t xml:space="preserve">In 2013, 1496 complaints </w:t>
      </w:r>
      <w:r w:rsidR="006E5B12" w:rsidRPr="00CD59CC">
        <w:rPr>
          <w:rFonts w:ascii="Arial" w:hAnsi="Arial" w:cs="Arial"/>
          <w:i w:val="0"/>
          <w:lang w:val="en-GB"/>
        </w:rPr>
        <w:t xml:space="preserve">were filed with the Authority. </w:t>
      </w:r>
      <w:r w:rsidRPr="00CD59CC">
        <w:rPr>
          <w:rFonts w:ascii="Arial" w:hAnsi="Arial" w:cs="Arial"/>
          <w:i w:val="0"/>
          <w:lang w:val="en-GB"/>
        </w:rPr>
        <w:t>Altogether 345 decisions on the merits were delivered, d</w:t>
      </w:r>
      <w:r w:rsidR="006E5B12" w:rsidRPr="00CD59CC">
        <w:rPr>
          <w:rFonts w:ascii="Arial" w:hAnsi="Arial" w:cs="Arial"/>
          <w:i w:val="0"/>
          <w:lang w:val="en-GB"/>
        </w:rPr>
        <w:t xml:space="preserve">iscrimination was established in </w:t>
      </w:r>
      <w:r w:rsidRPr="00CD59CC">
        <w:rPr>
          <w:rFonts w:ascii="Arial" w:hAnsi="Arial" w:cs="Arial"/>
          <w:i w:val="0"/>
          <w:lang w:val="en-GB"/>
        </w:rPr>
        <w:t>2</w:t>
      </w:r>
      <w:r w:rsidR="006E5B12" w:rsidRPr="00CD59CC">
        <w:rPr>
          <w:rFonts w:ascii="Arial" w:hAnsi="Arial" w:cs="Arial"/>
          <w:i w:val="0"/>
          <w:lang w:val="en-GB"/>
        </w:rPr>
        <w:t xml:space="preserve">1 cases, while a friendly settlement was reached in </w:t>
      </w:r>
      <w:r w:rsidRPr="00CD59CC">
        <w:rPr>
          <w:rFonts w:ascii="Arial" w:hAnsi="Arial" w:cs="Arial"/>
          <w:i w:val="0"/>
          <w:lang w:val="en-GB"/>
        </w:rPr>
        <w:t>30 cases</w:t>
      </w:r>
      <w:r w:rsidR="006E5B12" w:rsidRPr="00CD59CC">
        <w:rPr>
          <w:rFonts w:ascii="Arial" w:hAnsi="Arial" w:cs="Arial"/>
          <w:i w:val="0"/>
          <w:lang w:val="en-GB"/>
        </w:rPr>
        <w:t>.</w:t>
      </w:r>
    </w:p>
    <w:p w14:paraId="20B958A1" w14:textId="77777777" w:rsidR="00CD59CC" w:rsidRPr="00BB4E9F" w:rsidRDefault="00CD59CC" w:rsidP="00CD59CC">
      <w:pPr>
        <w:pStyle w:val="BodyText"/>
        <w:rPr>
          <w:rFonts w:ascii="Arial" w:hAnsi="Arial"/>
          <w:i w:val="0"/>
          <w:lang w:val="en-GB"/>
        </w:rPr>
      </w:pPr>
    </w:p>
    <w:p w14:paraId="0189DDA7" w14:textId="77777777" w:rsidR="002B5BCD" w:rsidRPr="00CD59CC" w:rsidRDefault="002B5BCD" w:rsidP="00CD59CC">
      <w:pPr>
        <w:pStyle w:val="BodyText"/>
        <w:numPr>
          <w:ilvl w:val="0"/>
          <w:numId w:val="24"/>
        </w:numPr>
        <w:ind w:left="567" w:hanging="567"/>
        <w:rPr>
          <w:rFonts w:ascii="Arial" w:hAnsi="Arial" w:cs="Arial"/>
          <w:lang w:val="en-GB"/>
        </w:rPr>
      </w:pPr>
      <w:r w:rsidRPr="00CD59CC">
        <w:rPr>
          <w:rFonts w:ascii="Arial" w:hAnsi="Arial" w:cs="Arial"/>
          <w:lang w:val="en-GB"/>
        </w:rPr>
        <w:t>Describe briefly the status of this body (or bodies) including how its governing body is selected, its sources of funding and to whom it is accountable. Is the independence of the body/bodies stipulated in the law? If not, can the body/bodies be considered to be independent? Please explain why.</w:t>
      </w:r>
    </w:p>
    <w:p w14:paraId="2108F5E2" w14:textId="77777777" w:rsidR="002B5BCD" w:rsidRPr="00CD59CC" w:rsidRDefault="002B5BCD" w:rsidP="00CD59CC">
      <w:pPr>
        <w:pStyle w:val="BodyText"/>
        <w:ind w:left="567" w:hanging="567"/>
        <w:rPr>
          <w:rFonts w:ascii="Arial" w:hAnsi="Arial" w:cs="Arial"/>
          <w:i w:val="0"/>
          <w:lang w:val="en-GB"/>
        </w:rPr>
      </w:pPr>
    </w:p>
    <w:p w14:paraId="6FCDAB01" w14:textId="77777777" w:rsidR="0021255F" w:rsidRPr="00CD59CC" w:rsidRDefault="0021255F" w:rsidP="00CD59CC">
      <w:pPr>
        <w:rPr>
          <w:rFonts w:ascii="Arial" w:hAnsi="Arial" w:cs="Arial"/>
        </w:rPr>
      </w:pPr>
      <w:r w:rsidRPr="00CD59CC">
        <w:rPr>
          <w:rFonts w:ascii="Arial" w:hAnsi="Arial" w:cs="Arial"/>
        </w:rPr>
        <w:t xml:space="preserve">Article 33 of the ETA defines the Authority as an autonomous administrative body with the overall responsibility to ensure compliance with the principle of equal treatment. In terms of Paragraph (3) of the Article, “the Authority is independent, it is subordinated only to the laws, it shall not be instructed in relation to the exercise of its duties; and performs its activities independently from all other organisations and without any external influence. Only an act of Parliament can set forth further tasks for the Authority”. </w:t>
      </w:r>
    </w:p>
    <w:p w14:paraId="40262AC7" w14:textId="77777777" w:rsidR="0021255F" w:rsidRPr="00CD59CC" w:rsidRDefault="0021255F" w:rsidP="00CD59CC">
      <w:pPr>
        <w:rPr>
          <w:rFonts w:ascii="Arial" w:hAnsi="Arial" w:cs="Arial"/>
        </w:rPr>
      </w:pPr>
    </w:p>
    <w:p w14:paraId="1343FB9F" w14:textId="6A993937" w:rsidR="0021255F" w:rsidRPr="00CD59CC" w:rsidRDefault="0021255F" w:rsidP="00CD59CC">
      <w:pPr>
        <w:rPr>
          <w:rFonts w:ascii="Arial" w:hAnsi="Arial" w:cs="Arial"/>
        </w:rPr>
      </w:pPr>
      <w:r w:rsidRPr="00CD59CC">
        <w:rPr>
          <w:rFonts w:ascii="Arial" w:hAnsi="Arial" w:cs="Arial"/>
        </w:rPr>
        <w:t xml:space="preserve">A recent legislative amendment changed the status of the Authority’s president, which was highly problematic from the point of view of the body’s independence, because the President (appointed for an indefinite term by the Prime Minister) could be dismissed at any time without justification. </w:t>
      </w:r>
      <w:r w:rsidRPr="00CD59CC">
        <w:rPr>
          <w:rFonts w:ascii="Arial" w:hAnsi="Arial" w:cs="Arial"/>
          <w:iCs/>
        </w:rPr>
        <w:t>This is what happened not long after the new Government of Hungary was formed in May 2010. Although she had two years until retirement, the first President of the Authority (appointed in 2005) was dismissed as of 15 September 2010 without any justification, and a new President was appointed, although no professional criticism was formulated with regard to the first President’s activities. In its concluding observations on Hungary’s 5th country report under the International Covenant for Civil and Political Rights, the UN Human Rights Committee (HRC) expressed its concerns with regard to this issue.</w:t>
      </w:r>
      <w:r w:rsidRPr="00CD59CC">
        <w:rPr>
          <w:rStyle w:val="FootnoteReference"/>
          <w:rFonts w:ascii="Arial" w:hAnsi="Arial" w:cs="Arial"/>
          <w:iCs/>
        </w:rPr>
        <w:footnoteReference w:id="112"/>
      </w:r>
    </w:p>
    <w:p w14:paraId="7BDA13E3" w14:textId="1334F3A3" w:rsidR="0021255F" w:rsidRPr="00CD59CC" w:rsidRDefault="0021255F" w:rsidP="00CD59CC">
      <w:pPr>
        <w:rPr>
          <w:rFonts w:ascii="Arial" w:hAnsi="Arial" w:cs="Arial"/>
        </w:rPr>
      </w:pPr>
      <w:r w:rsidRPr="00CD59CC">
        <w:rPr>
          <w:rFonts w:ascii="Arial" w:hAnsi="Arial" w:cs="Arial"/>
        </w:rPr>
        <w:t xml:space="preserve">Under the newly adopted Article 35 of the ETA, the President of the Republic appoints the Authority’s President for nine years upon the recommendation of the </w:t>
      </w:r>
      <w:r w:rsidRPr="00CD59CC">
        <w:rPr>
          <w:rFonts w:ascii="Arial" w:hAnsi="Arial" w:cs="Arial"/>
        </w:rPr>
        <w:lastRenderedPageBreak/>
        <w:t>Prime Minister. The criteria for the position are the following: (i) Hungarian citizenship; (ii) eligibility to be voted on in elections (this includes – among others – a clear criminal record); (iii) outstanding expertise in the field of human rights or the prohibition of discrimination; (iv) a bar exam and (v) at least five years of practice in the legal field or in public administration. The President may not be the member of any party and may not pursue political activities. He/she may not pursue paid activities with the exception of educational, scientific and art-related ones. He/she may not fill leading positions in economic enterprises.</w:t>
      </w:r>
      <w:r w:rsidR="007B7640" w:rsidRPr="00CD59CC">
        <w:rPr>
          <w:rFonts w:ascii="Arial" w:hAnsi="Arial" w:cs="Arial"/>
        </w:rPr>
        <w:t xml:space="preserve"> </w:t>
      </w:r>
    </w:p>
    <w:p w14:paraId="7839D6C2" w14:textId="77777777" w:rsidR="0021255F" w:rsidRPr="00CD59CC" w:rsidRDefault="0021255F" w:rsidP="00CD59CC">
      <w:pPr>
        <w:rPr>
          <w:rFonts w:ascii="Arial" w:hAnsi="Arial" w:cs="Arial"/>
        </w:rPr>
      </w:pPr>
    </w:p>
    <w:p w14:paraId="5DF0D4E0" w14:textId="77777777" w:rsidR="0021255F" w:rsidRPr="00CD59CC" w:rsidRDefault="0021255F" w:rsidP="00CD59CC">
      <w:pPr>
        <w:rPr>
          <w:rFonts w:ascii="Arial" w:hAnsi="Arial" w:cs="Arial"/>
        </w:rPr>
      </w:pPr>
      <w:r w:rsidRPr="00CD59CC">
        <w:rPr>
          <w:rFonts w:ascii="Arial" w:hAnsi="Arial" w:cs="Arial"/>
        </w:rPr>
        <w:t>The President can be only dismissed under very specific conditions: (i) if a conflict of interest arises and he/she fails to terminate the cause within 30 days; (ii) if he/she is unable to perform his/her duties for over 90 days; (iii) if he/she intentionally provides false data in his/her financial statement (that he/she is obliged to make annually).</w:t>
      </w:r>
    </w:p>
    <w:p w14:paraId="7B236DB6" w14:textId="77777777" w:rsidR="0021255F" w:rsidRPr="00CD59CC" w:rsidRDefault="0021255F" w:rsidP="00CD59CC">
      <w:pPr>
        <w:rPr>
          <w:rFonts w:ascii="Arial" w:hAnsi="Arial" w:cs="Arial"/>
        </w:rPr>
      </w:pPr>
    </w:p>
    <w:p w14:paraId="1934E53E" w14:textId="77777777" w:rsidR="0021255F" w:rsidRPr="00CD59CC" w:rsidRDefault="0021255F" w:rsidP="00CD59CC">
      <w:pPr>
        <w:rPr>
          <w:rFonts w:ascii="Arial" w:hAnsi="Arial" w:cs="Arial"/>
        </w:rPr>
      </w:pPr>
      <w:r w:rsidRPr="00CD59CC">
        <w:rPr>
          <w:rFonts w:ascii="Arial" w:hAnsi="Arial" w:cs="Arial"/>
        </w:rPr>
        <w:t>Budgetary independence is guaranteed by Article 34 of the ETA, which claims that the Authority is a central budgetary institution vested with so called “chapter authorizations”, with its budget included – as from 1 January 2013 – in the budget of the Parliament (this means a positive change compared to the situation up until 31 December 2012, when the Authority’s budget constituted a chapter in the budget of the Ministry supervising the Authority).</w:t>
      </w:r>
    </w:p>
    <w:p w14:paraId="1D4B3465" w14:textId="77777777" w:rsidR="0021255F" w:rsidRPr="00CD59CC" w:rsidRDefault="0021255F" w:rsidP="00CD59CC">
      <w:pPr>
        <w:rPr>
          <w:rFonts w:ascii="Arial" w:hAnsi="Arial" w:cs="Arial"/>
        </w:rPr>
      </w:pPr>
    </w:p>
    <w:p w14:paraId="6925DB5C" w14:textId="717362F8" w:rsidR="0021255F" w:rsidRDefault="0021255F" w:rsidP="00CD59CC">
      <w:pPr>
        <w:rPr>
          <w:rFonts w:ascii="Arial" w:hAnsi="Arial" w:cs="Arial"/>
        </w:rPr>
      </w:pPr>
      <w:r w:rsidRPr="00CD59CC">
        <w:rPr>
          <w:rFonts w:ascii="Arial" w:hAnsi="Arial" w:cs="Arial"/>
        </w:rPr>
        <w:t>This means that on the level of the legal framework, the Authority’s budgetary independence is secured. As to the actual financial resources however, we can say that despite a clearly growing work load, the Authority’s budget has not been substantially increased in the past years: after a significant decrease it is about to be raised to the 2009 level. The budget allocated for the year 2009 was HUF 207,500,000 (EUR 691,670),</w:t>
      </w:r>
      <w:r w:rsidRPr="00CD59CC">
        <w:rPr>
          <w:rStyle w:val="FootnoteReference"/>
          <w:rFonts w:ascii="Arial" w:hAnsi="Arial" w:cs="Arial"/>
        </w:rPr>
        <w:footnoteReference w:id="113"/>
      </w:r>
      <w:r w:rsidRPr="00CD59CC">
        <w:rPr>
          <w:rFonts w:ascii="Arial" w:hAnsi="Arial" w:cs="Arial"/>
        </w:rPr>
        <w:t xml:space="preserve"> which was decreased to HUF 201,500,000 (EUR 671,670) for 2010.</w:t>
      </w:r>
      <w:r w:rsidRPr="00CD59CC">
        <w:rPr>
          <w:rStyle w:val="FootnoteReference"/>
          <w:rFonts w:ascii="Arial" w:hAnsi="Arial" w:cs="Arial"/>
        </w:rPr>
        <w:footnoteReference w:id="114"/>
      </w:r>
      <w:r w:rsidRPr="00CD59CC">
        <w:rPr>
          <w:rFonts w:ascii="Arial" w:hAnsi="Arial" w:cs="Arial"/>
        </w:rPr>
        <w:t xml:space="preserve"> This was further reduced by Annex 1 of Act CLXXXVIII of 2011 on Hungary’s Central Budget for 2012. HUF 86,700,000 (EUR 289,000) w</w:t>
      </w:r>
      <w:r w:rsidR="00B62B48" w:rsidRPr="00CD59CC">
        <w:rPr>
          <w:rFonts w:ascii="Arial" w:hAnsi="Arial" w:cs="Arial"/>
        </w:rPr>
        <w:t>as</w:t>
      </w:r>
      <w:r w:rsidRPr="00CD59CC">
        <w:rPr>
          <w:rFonts w:ascii="Arial" w:hAnsi="Arial" w:cs="Arial"/>
        </w:rPr>
        <w:t xml:space="preserve"> appropriated for staff costs, as opposed to the 2011 budget, which contained HUF 138,700,000 (EUR 462,330) for such costs. This was a close to 40% decrease. The material costs were also reduced, although to a lesser extent: from HUF 32,900,000 (EUR 109,670) to HUF 25,100,000 (EUR 83,670) constituting a 24% cut. As a result of the cuts, the total number of staff had to be reduced from 31 (on 31 December 2010) to 22, but during the year, the Authority received additional funding, so it could again increase the staff number to the 2010 level.</w:t>
      </w:r>
      <w:r w:rsidRPr="00CD59CC">
        <w:rPr>
          <w:rStyle w:val="FootnoteReference"/>
          <w:rFonts w:ascii="Arial" w:hAnsi="Arial" w:cs="Arial"/>
        </w:rPr>
        <w:footnoteReference w:id="115"/>
      </w:r>
    </w:p>
    <w:p w14:paraId="6C5D3C00" w14:textId="77777777" w:rsidR="002B50DC" w:rsidRPr="00CD59CC" w:rsidRDefault="002B50DC" w:rsidP="00CD59CC">
      <w:pPr>
        <w:rPr>
          <w:rFonts w:ascii="Arial" w:hAnsi="Arial" w:cs="Arial"/>
        </w:rPr>
      </w:pPr>
    </w:p>
    <w:p w14:paraId="4FD3B533" w14:textId="77777777" w:rsidR="0021255F" w:rsidRPr="00CD59CC" w:rsidRDefault="0021255F" w:rsidP="00CD59CC">
      <w:pPr>
        <w:rPr>
          <w:rFonts w:ascii="Arial" w:hAnsi="Arial" w:cs="Arial"/>
        </w:rPr>
      </w:pPr>
      <w:r w:rsidRPr="00CD59CC">
        <w:rPr>
          <w:rFonts w:ascii="Arial" w:hAnsi="Arial" w:cs="Arial"/>
        </w:rPr>
        <w:t>According to Act CCIV of 2012 on Hungary’s Budget for the Year 2013, the Authority’s budget has been increased again to its level in 2010. In the 2013 budget HUF 155,300,000 (EUR 517,670) have been allocated for staff costs, and HUF 52,700,000 (EUR 192,330) for material costs, amounting altogether to HUF 213,000,000 (EUR 710,000).</w:t>
      </w:r>
    </w:p>
    <w:p w14:paraId="07DB4045" w14:textId="77777777" w:rsidR="00B62B48" w:rsidRPr="00CD59CC" w:rsidRDefault="00B62B48" w:rsidP="00CD59CC">
      <w:pPr>
        <w:rPr>
          <w:rFonts w:ascii="Arial" w:hAnsi="Arial" w:cs="Arial"/>
        </w:rPr>
      </w:pPr>
    </w:p>
    <w:p w14:paraId="013D4946" w14:textId="77777777" w:rsidR="00B62B48" w:rsidRPr="00CD59CC" w:rsidRDefault="00B62B48" w:rsidP="00CD59CC">
      <w:pPr>
        <w:rPr>
          <w:rFonts w:ascii="Arial" w:hAnsi="Arial" w:cs="Arial"/>
        </w:rPr>
      </w:pPr>
      <w:r w:rsidRPr="00CD59CC">
        <w:rPr>
          <w:rFonts w:ascii="Arial" w:hAnsi="Arial" w:cs="Arial"/>
        </w:rPr>
        <w:lastRenderedPageBreak/>
        <w:t xml:space="preserve">In terms of Act CCXXX of 2013 on Hungary’s Budget for the Year 2014, HUF 155,600,000 (EUR 518,660) have been allocated for staff costs, and HUF 112,900,000 (EUR 376,330) for material costs. The increase on this line compared to the previous year is due to the fact that the Authority had to move into a new office, however, despite the increased workload (the number of substantive complaints had increased from cca. 800 to </w:t>
      </w:r>
      <w:r w:rsidR="00ED6A1B" w:rsidRPr="00CD59CC">
        <w:rPr>
          <w:rFonts w:ascii="Arial" w:hAnsi="Arial" w:cs="Arial"/>
        </w:rPr>
        <w:t>cca. 1500 between 2012 and 2013), the budget to be spent on staff costs has remained on the level of the previous year</w:t>
      </w:r>
      <w:r w:rsidRPr="00CD59CC">
        <w:rPr>
          <w:rFonts w:ascii="Arial" w:hAnsi="Arial" w:cs="Arial"/>
        </w:rPr>
        <w:t xml:space="preserve">. </w:t>
      </w:r>
    </w:p>
    <w:p w14:paraId="2730AA5E" w14:textId="77777777" w:rsidR="0021255F" w:rsidRPr="00CD59CC" w:rsidRDefault="0021255F" w:rsidP="00CD59CC">
      <w:pPr>
        <w:rPr>
          <w:rFonts w:ascii="Arial" w:hAnsi="Arial" w:cs="Arial"/>
        </w:rPr>
      </w:pPr>
    </w:p>
    <w:p w14:paraId="1104AAE0" w14:textId="77777777" w:rsidR="0021255F" w:rsidRPr="00CD59CC" w:rsidRDefault="0021255F" w:rsidP="00CD59CC">
      <w:pPr>
        <w:rPr>
          <w:rFonts w:ascii="Arial" w:hAnsi="Arial" w:cs="Arial"/>
        </w:rPr>
      </w:pPr>
      <w:r w:rsidRPr="00CD59CC">
        <w:rPr>
          <w:rFonts w:ascii="Arial" w:hAnsi="Arial" w:cs="Arial"/>
        </w:rPr>
        <w:t xml:space="preserve">It has to be noted that in 2009 the Authority received additional funds of HUF 911 million (EUR 3,036,670) in the form of a grant financed by the European Social Fund and the Hungarian State. The grant is to be used over 4 years, and is to be spent on the setting up of (i) a regional system of lawyers providing potential complainants with legal advice and assistance in formulating their petitions; (ii) research activities; as well as (iii) training and awareness raising (for details see Section 8.1). </w:t>
      </w:r>
    </w:p>
    <w:p w14:paraId="7B1C005E" w14:textId="77777777" w:rsidR="0021255F" w:rsidRPr="00CD59CC" w:rsidRDefault="0021255F" w:rsidP="00CD59CC">
      <w:pPr>
        <w:rPr>
          <w:rFonts w:ascii="Arial" w:hAnsi="Arial" w:cs="Arial"/>
        </w:rPr>
      </w:pPr>
    </w:p>
    <w:p w14:paraId="237A0455" w14:textId="77777777" w:rsidR="0021255F" w:rsidRPr="00CD59CC" w:rsidRDefault="0021255F" w:rsidP="00CD59CC">
      <w:pPr>
        <w:pStyle w:val="Fszveg"/>
        <w:spacing w:line="240" w:lineRule="auto"/>
        <w:jc w:val="left"/>
        <w:rPr>
          <w:rFonts w:ascii="Arial" w:hAnsi="Arial" w:cs="Arial"/>
          <w:sz w:val="24"/>
          <w:szCs w:val="24"/>
          <w:lang w:val="en-GB"/>
        </w:rPr>
      </w:pPr>
      <w:r w:rsidRPr="00CD59CC">
        <w:rPr>
          <w:rFonts w:ascii="Arial" w:hAnsi="Arial" w:cs="Arial"/>
          <w:sz w:val="24"/>
          <w:szCs w:val="24"/>
          <w:lang w:val="en-GB"/>
        </w:rPr>
        <w:t xml:space="preserve">Before 1 February 2012, the Authority performed most of its duties in co-operation with an advisory board (the Equal Treatment Advisory Board, hereinafter: Advisory Board) whose members had extensive experience in the protection of human rights and in enforcing the principle of equal treatment. The primary role of the Board was to assist the Authority’s work with legal opinions on issues arising in the Authority’s practice. The mandate of the previous Board expired in May 2011, and although new members should have been appointed by the Prime Minister within 30 days of the expiry, no steps were taken to do so. </w:t>
      </w:r>
    </w:p>
    <w:p w14:paraId="1B04EC13" w14:textId="77777777" w:rsidR="0021255F" w:rsidRPr="00CD59CC" w:rsidRDefault="0021255F" w:rsidP="00CD59CC">
      <w:pPr>
        <w:pStyle w:val="Fszveg"/>
        <w:spacing w:line="240" w:lineRule="auto"/>
        <w:jc w:val="left"/>
        <w:rPr>
          <w:rFonts w:ascii="Arial" w:hAnsi="Arial" w:cs="Arial"/>
          <w:sz w:val="24"/>
          <w:szCs w:val="24"/>
          <w:lang w:val="en-GB"/>
        </w:rPr>
      </w:pPr>
    </w:p>
    <w:p w14:paraId="26E15B69" w14:textId="77777777" w:rsidR="0021255F" w:rsidRPr="00CD59CC" w:rsidRDefault="0021255F" w:rsidP="00CD59CC">
      <w:pPr>
        <w:pStyle w:val="Fszveg"/>
        <w:spacing w:line="240" w:lineRule="auto"/>
        <w:jc w:val="left"/>
        <w:rPr>
          <w:rFonts w:ascii="Arial" w:hAnsi="Arial" w:cs="Arial"/>
          <w:sz w:val="24"/>
          <w:szCs w:val="24"/>
          <w:lang w:val="en-GB"/>
        </w:rPr>
      </w:pPr>
      <w:r w:rsidRPr="00CD59CC">
        <w:rPr>
          <w:rFonts w:ascii="Arial" w:hAnsi="Arial" w:cs="Arial"/>
          <w:sz w:val="24"/>
          <w:szCs w:val="24"/>
          <w:lang w:val="en-GB"/>
        </w:rPr>
        <w:t>Act CLXXIV of 2011 (adopted in December 2011) completely abolished the Equal Treatment Advisory Board as of 1 February 2012. The reasons attached to the amending Act state: “by now the opinions of the Board have provided guidance in all those issues that might have triggered debates in the Authority’s work in relation to the ETA’s application in the past years. In addition, the Metropolitan Court and The Supreme Court also set forth firm opinions on the provisions of the ETA in their judgments, so the courts play an important role in the ETA’s interpretation, so there is no need for the Advisory Board.”</w:t>
      </w:r>
    </w:p>
    <w:p w14:paraId="2E7CA210" w14:textId="77777777" w:rsidR="0021255F" w:rsidRPr="00CD59CC" w:rsidRDefault="0021255F" w:rsidP="00CD59CC">
      <w:pPr>
        <w:pStyle w:val="Fszveg"/>
        <w:spacing w:line="240" w:lineRule="auto"/>
        <w:jc w:val="left"/>
        <w:rPr>
          <w:rFonts w:ascii="Arial" w:hAnsi="Arial" w:cs="Arial"/>
          <w:sz w:val="24"/>
          <w:szCs w:val="24"/>
          <w:lang w:val="en-GB"/>
        </w:rPr>
      </w:pPr>
    </w:p>
    <w:p w14:paraId="7E620E42" w14:textId="298EAD3B" w:rsidR="0021255F" w:rsidRDefault="0021255F" w:rsidP="00CD59CC">
      <w:pPr>
        <w:pStyle w:val="BodyText"/>
        <w:rPr>
          <w:rFonts w:ascii="Arial" w:hAnsi="Arial" w:cs="Arial"/>
          <w:i w:val="0"/>
          <w:lang w:val="en-GB"/>
        </w:rPr>
      </w:pPr>
      <w:r w:rsidRPr="00CD59CC">
        <w:rPr>
          <w:rFonts w:ascii="Arial" w:hAnsi="Arial" w:cs="Arial"/>
          <w:i w:val="0"/>
          <w:lang w:val="en-GB"/>
        </w:rPr>
        <w:t>This reasoning is questionable, as in the changing legal and social context, new problems may always emerge. Under the old rules, members of the Board were appointed following consultation with public bodies and NGO</w:t>
      </w:r>
      <w:r w:rsidR="003034A9" w:rsidRPr="00CD59CC">
        <w:rPr>
          <w:rFonts w:ascii="Arial" w:hAnsi="Arial" w:cs="Arial"/>
          <w:i w:val="0"/>
          <w:lang w:val="en-GB"/>
        </w:rPr>
        <w:t>’</w:t>
      </w:r>
      <w:r w:rsidRPr="00CD59CC">
        <w:rPr>
          <w:rFonts w:ascii="Arial" w:hAnsi="Arial" w:cs="Arial"/>
          <w:i w:val="0"/>
          <w:lang w:val="en-GB"/>
        </w:rPr>
        <w:t>s participating in the implementation of equal treatment. As a result of this, some Board members came from the NGO community, which made it possible to channel the specific and very direct experience and knowledge of anti-discrimination NGO’s into the work of the Board, and thus of the Authority. This possibility is not there anymore.</w:t>
      </w:r>
    </w:p>
    <w:p w14:paraId="12CA0100" w14:textId="77777777" w:rsidR="002B50DC" w:rsidRPr="00CD59CC" w:rsidRDefault="002B50DC" w:rsidP="00BB4E9F">
      <w:pPr>
        <w:pStyle w:val="BodyText"/>
        <w:rPr>
          <w:rFonts w:ascii="Arial" w:hAnsi="Arial" w:cs="Arial"/>
          <w:i w:val="0"/>
          <w:lang w:val="en-GB"/>
        </w:rPr>
      </w:pPr>
    </w:p>
    <w:p w14:paraId="6A951CC3" w14:textId="77777777" w:rsidR="002B5BCD" w:rsidRPr="00CD59CC" w:rsidRDefault="002B5BCD" w:rsidP="00CD59CC">
      <w:pPr>
        <w:pStyle w:val="BodyText"/>
        <w:numPr>
          <w:ilvl w:val="0"/>
          <w:numId w:val="24"/>
        </w:numPr>
        <w:ind w:left="567" w:hanging="567"/>
        <w:rPr>
          <w:rFonts w:ascii="Arial" w:hAnsi="Arial" w:cs="Arial"/>
          <w:lang w:val="en-GB"/>
        </w:rPr>
      </w:pPr>
      <w:r w:rsidRPr="00CD59CC">
        <w:rPr>
          <w:rFonts w:ascii="Arial" w:hAnsi="Arial" w:cs="Arial"/>
          <w:lang w:val="en-GB"/>
        </w:rPr>
        <w:t>Describe the competences of this body (or bodies), including a reference to whether it deals with other grounds of discrimination and/or wider human rights issues.</w:t>
      </w:r>
    </w:p>
    <w:p w14:paraId="757D54C8" w14:textId="77777777" w:rsidR="002B5BCD" w:rsidRPr="00CD59CC" w:rsidRDefault="002B5BCD" w:rsidP="00CD59CC">
      <w:pPr>
        <w:pStyle w:val="BodyText"/>
        <w:ind w:left="567" w:hanging="567"/>
        <w:rPr>
          <w:rFonts w:ascii="Arial" w:hAnsi="Arial" w:cs="Arial"/>
          <w:i w:val="0"/>
          <w:lang w:val="en-GB"/>
        </w:rPr>
      </w:pPr>
    </w:p>
    <w:p w14:paraId="642A64BB" w14:textId="77777777" w:rsidR="00ED6A1B" w:rsidRPr="00CD59CC" w:rsidRDefault="00ED6A1B" w:rsidP="00CD59CC">
      <w:pPr>
        <w:pStyle w:val="BodyText"/>
        <w:rPr>
          <w:rFonts w:ascii="Arial" w:hAnsi="Arial" w:cs="Arial"/>
          <w:i w:val="0"/>
          <w:lang w:val="en-GB"/>
        </w:rPr>
      </w:pPr>
      <w:r w:rsidRPr="00CD59CC">
        <w:rPr>
          <w:rFonts w:ascii="Arial" w:hAnsi="Arial" w:cs="Arial"/>
          <w:i w:val="0"/>
          <w:lang w:val="en-GB"/>
        </w:rPr>
        <w:lastRenderedPageBreak/>
        <w:t>The Authority is authorised and obliged to act against any discriminatory act irrespective of the ground of discrimination (sex, race, age, etc.) or the field concerned (employment, education, access to goods, etc.). The Authority’s scope of competence extends to all the grounds and fields covered by the ETA (see above, under the relevant sections).</w:t>
      </w:r>
    </w:p>
    <w:p w14:paraId="49673F50" w14:textId="77777777" w:rsidR="00ED6A1B" w:rsidRPr="00CD59CC" w:rsidRDefault="00ED6A1B" w:rsidP="00CD59CC">
      <w:pPr>
        <w:pStyle w:val="BodyText"/>
        <w:rPr>
          <w:rFonts w:ascii="Arial" w:hAnsi="Arial" w:cs="Arial"/>
          <w:i w:val="0"/>
          <w:lang w:val="en-GB"/>
        </w:rPr>
      </w:pPr>
    </w:p>
    <w:p w14:paraId="18F4B0B0" w14:textId="619876B7" w:rsidR="00ED6A1B" w:rsidRDefault="00ED6A1B" w:rsidP="00CD59CC">
      <w:pPr>
        <w:pStyle w:val="BodyText"/>
        <w:rPr>
          <w:rFonts w:ascii="Arial" w:hAnsi="Arial" w:cs="Arial"/>
          <w:i w:val="0"/>
          <w:lang w:val="en-GB"/>
        </w:rPr>
      </w:pPr>
      <w:r w:rsidRPr="00CD59CC">
        <w:rPr>
          <w:rFonts w:ascii="Arial" w:hAnsi="Arial" w:cs="Arial"/>
          <w:i w:val="0"/>
          <w:lang w:val="en-GB"/>
        </w:rPr>
        <w:t>The competences of the Authority are set forth by Article 14 of the ETA. They include the following:</w:t>
      </w:r>
    </w:p>
    <w:p w14:paraId="7E2B147E" w14:textId="77777777" w:rsidR="00E54402" w:rsidRPr="00CD59CC" w:rsidRDefault="00E54402" w:rsidP="00BB4E9F">
      <w:pPr>
        <w:pStyle w:val="BodyText"/>
        <w:ind w:left="567" w:hanging="567"/>
        <w:rPr>
          <w:rFonts w:ascii="Arial" w:hAnsi="Arial" w:cs="Arial"/>
          <w:i w:val="0"/>
          <w:lang w:val="en-GB"/>
        </w:rPr>
      </w:pPr>
    </w:p>
    <w:p w14:paraId="55BE2DB1" w14:textId="77777777" w:rsidR="00ED6A1B" w:rsidRPr="00CD59CC" w:rsidRDefault="00ED6A1B" w:rsidP="00075524">
      <w:pPr>
        <w:pStyle w:val="BodyText"/>
        <w:ind w:left="567" w:hanging="567"/>
        <w:rPr>
          <w:rFonts w:ascii="Arial" w:hAnsi="Arial" w:cs="Arial"/>
          <w:i w:val="0"/>
          <w:lang w:val="en-GB"/>
        </w:rPr>
      </w:pPr>
      <w:r w:rsidRPr="00CD59CC">
        <w:rPr>
          <w:rFonts w:ascii="Arial" w:hAnsi="Arial" w:cs="Arial"/>
          <w:i w:val="0"/>
          <w:lang w:val="en-GB"/>
        </w:rPr>
        <w:t>(a)</w:t>
      </w:r>
      <w:r w:rsidRPr="00CD59CC">
        <w:rPr>
          <w:rFonts w:ascii="Arial" w:hAnsi="Arial" w:cs="Arial"/>
          <w:i w:val="0"/>
          <w:lang w:val="en-GB"/>
        </w:rPr>
        <w:tab/>
        <w:t>based on a complaint or ex officio, the Authority shall conduct an investigation to establish whether the principle of equal treatment has been violated, or based on a complaint conduct an investigation to establish whether employers obliged to adopt an equal opportunities plan have abided by this duty, and deliver a decision on the basis of the investigation;</w:t>
      </w:r>
    </w:p>
    <w:p w14:paraId="7BEBCC51" w14:textId="310F32DB" w:rsidR="00ED6A1B" w:rsidRPr="00CD59CC" w:rsidRDefault="00ED6A1B" w:rsidP="00075524">
      <w:pPr>
        <w:pStyle w:val="BodyText"/>
        <w:ind w:left="567" w:hanging="567"/>
        <w:rPr>
          <w:rFonts w:ascii="Arial" w:hAnsi="Arial" w:cs="Arial"/>
          <w:i w:val="0"/>
          <w:lang w:val="en-GB"/>
        </w:rPr>
      </w:pPr>
      <w:r w:rsidRPr="00CD59CC">
        <w:rPr>
          <w:rFonts w:ascii="Arial" w:hAnsi="Arial" w:cs="Arial"/>
          <w:i w:val="0"/>
          <w:lang w:val="en-GB"/>
        </w:rPr>
        <w:t>(b)</w:t>
      </w:r>
      <w:r w:rsidRPr="00CD59CC">
        <w:rPr>
          <w:rFonts w:ascii="Arial" w:hAnsi="Arial" w:cs="Arial"/>
          <w:i w:val="0"/>
          <w:lang w:val="en-GB"/>
        </w:rPr>
        <w:tab/>
        <w:t xml:space="preserve">may initiate an </w:t>
      </w:r>
      <w:r w:rsidRPr="00CD59CC">
        <w:rPr>
          <w:rFonts w:ascii="Arial" w:hAnsi="Arial" w:cs="Arial"/>
          <w:lang w:val="en-GB"/>
        </w:rPr>
        <w:t>actio popularis</w:t>
      </w:r>
      <w:r w:rsidRPr="00CD59CC">
        <w:rPr>
          <w:rFonts w:ascii="Arial" w:hAnsi="Arial" w:cs="Arial"/>
          <w:i w:val="0"/>
          <w:lang w:val="en-GB"/>
        </w:rPr>
        <w:t xml:space="preserve"> claim</w:t>
      </w:r>
      <w:r w:rsidR="007B7640" w:rsidRPr="00CD59CC">
        <w:rPr>
          <w:rFonts w:ascii="Arial" w:hAnsi="Arial" w:cs="Arial"/>
          <w:i w:val="0"/>
          <w:lang w:val="en-GB"/>
        </w:rPr>
        <w:t xml:space="preserve"> </w:t>
      </w:r>
      <w:r w:rsidRPr="00CD59CC">
        <w:rPr>
          <w:rFonts w:ascii="Arial" w:hAnsi="Arial" w:cs="Arial"/>
          <w:i w:val="0"/>
          <w:lang w:val="en-GB"/>
        </w:rPr>
        <w:t>with a view to protecting the rights of persons and groups whose rights have been violated;</w:t>
      </w:r>
    </w:p>
    <w:p w14:paraId="200A4AA5" w14:textId="77777777" w:rsidR="00ED6A1B" w:rsidRPr="00CD59CC" w:rsidRDefault="00ED6A1B" w:rsidP="00075524">
      <w:pPr>
        <w:pStyle w:val="BodyText"/>
        <w:ind w:left="567" w:hanging="567"/>
        <w:rPr>
          <w:rFonts w:ascii="Arial" w:hAnsi="Arial" w:cs="Arial"/>
          <w:i w:val="0"/>
          <w:lang w:val="en-GB"/>
        </w:rPr>
      </w:pPr>
      <w:r w:rsidRPr="00CD59CC">
        <w:rPr>
          <w:rFonts w:ascii="Arial" w:hAnsi="Arial" w:cs="Arial"/>
          <w:i w:val="0"/>
          <w:lang w:val="en-GB"/>
        </w:rPr>
        <w:t>(c)</w:t>
      </w:r>
      <w:r w:rsidRPr="00CD59CC">
        <w:rPr>
          <w:rFonts w:ascii="Arial" w:hAnsi="Arial" w:cs="Arial"/>
          <w:i w:val="0"/>
          <w:lang w:val="en-GB"/>
        </w:rPr>
        <w:tab/>
        <w:t>review and comment on drafts of legal acts and reports concerning equal treatment;</w:t>
      </w:r>
    </w:p>
    <w:p w14:paraId="45DE624D" w14:textId="77777777" w:rsidR="00ED6A1B" w:rsidRPr="00CD59CC" w:rsidRDefault="00ED6A1B" w:rsidP="00075524">
      <w:pPr>
        <w:pStyle w:val="BodyText"/>
        <w:ind w:left="567" w:hanging="567"/>
        <w:rPr>
          <w:rFonts w:ascii="Arial" w:hAnsi="Arial" w:cs="Arial"/>
          <w:i w:val="0"/>
          <w:lang w:val="en-GB"/>
        </w:rPr>
      </w:pPr>
      <w:r w:rsidRPr="00CD59CC">
        <w:rPr>
          <w:rFonts w:ascii="Arial" w:hAnsi="Arial" w:cs="Arial"/>
          <w:i w:val="0"/>
          <w:lang w:val="en-GB"/>
        </w:rPr>
        <w:t>(d)</w:t>
      </w:r>
      <w:r w:rsidRPr="00CD59CC">
        <w:rPr>
          <w:rFonts w:ascii="Arial" w:hAnsi="Arial" w:cs="Arial"/>
          <w:i w:val="0"/>
          <w:lang w:val="en-GB"/>
        </w:rPr>
        <w:tab/>
        <w:t>make proposals concerning governmental decisions and legislation pertaining to equal treatment;</w:t>
      </w:r>
    </w:p>
    <w:p w14:paraId="7F6DECF3" w14:textId="77777777" w:rsidR="00ED6A1B" w:rsidRPr="00CD59CC" w:rsidRDefault="00ED6A1B" w:rsidP="00075524">
      <w:pPr>
        <w:pStyle w:val="BodyText"/>
        <w:ind w:left="567" w:hanging="567"/>
        <w:rPr>
          <w:rFonts w:ascii="Arial" w:hAnsi="Arial" w:cs="Arial"/>
          <w:i w:val="0"/>
          <w:lang w:val="en-GB"/>
        </w:rPr>
      </w:pPr>
      <w:r w:rsidRPr="00CD59CC">
        <w:rPr>
          <w:rFonts w:ascii="Arial" w:hAnsi="Arial" w:cs="Arial"/>
          <w:i w:val="0"/>
          <w:lang w:val="en-GB"/>
        </w:rPr>
        <w:t>(e)</w:t>
      </w:r>
      <w:r w:rsidRPr="00CD59CC">
        <w:rPr>
          <w:rFonts w:ascii="Arial" w:hAnsi="Arial" w:cs="Arial"/>
          <w:i w:val="0"/>
          <w:lang w:val="en-GB"/>
        </w:rPr>
        <w:tab/>
        <w:t>regularly inform the public and the Parliament about the situation concerning the enforcement of equal treatment;</w:t>
      </w:r>
    </w:p>
    <w:p w14:paraId="37282355" w14:textId="2F1ED65F" w:rsidR="00ED6A1B" w:rsidRPr="00CD59CC" w:rsidRDefault="00ED6A1B" w:rsidP="00075524">
      <w:pPr>
        <w:pStyle w:val="BodyText"/>
        <w:ind w:left="567" w:hanging="567"/>
        <w:rPr>
          <w:rFonts w:ascii="Arial" w:hAnsi="Arial" w:cs="Arial"/>
          <w:i w:val="0"/>
          <w:lang w:val="en-GB"/>
        </w:rPr>
      </w:pPr>
      <w:r w:rsidRPr="00CD59CC">
        <w:rPr>
          <w:rFonts w:ascii="Arial" w:hAnsi="Arial" w:cs="Arial"/>
          <w:i w:val="0"/>
          <w:lang w:val="en-GB"/>
        </w:rPr>
        <w:t>(f)</w:t>
      </w:r>
      <w:r w:rsidRPr="00CD59CC">
        <w:rPr>
          <w:rFonts w:ascii="Arial" w:hAnsi="Arial" w:cs="Arial"/>
          <w:i w:val="0"/>
          <w:lang w:val="en-GB"/>
        </w:rPr>
        <w:tab/>
        <w:t>in the course of performing its duties, co-operate with the non-governmental and interest representation organisations and the relevant state bodies;</w:t>
      </w:r>
    </w:p>
    <w:p w14:paraId="19E053DD" w14:textId="77777777" w:rsidR="00ED6A1B" w:rsidRPr="00CD59CC" w:rsidRDefault="00ED6A1B" w:rsidP="00075524">
      <w:pPr>
        <w:pStyle w:val="BodyText"/>
        <w:ind w:left="567" w:hanging="567"/>
        <w:rPr>
          <w:rFonts w:ascii="Arial" w:hAnsi="Arial" w:cs="Arial"/>
          <w:i w:val="0"/>
          <w:lang w:val="en-GB"/>
        </w:rPr>
      </w:pPr>
      <w:r w:rsidRPr="00CD59CC">
        <w:rPr>
          <w:rFonts w:ascii="Arial" w:hAnsi="Arial" w:cs="Arial"/>
          <w:i w:val="0"/>
          <w:lang w:val="en-GB"/>
        </w:rPr>
        <w:t>(g)</w:t>
      </w:r>
      <w:r w:rsidRPr="00CD59CC">
        <w:rPr>
          <w:rFonts w:ascii="Arial" w:hAnsi="Arial" w:cs="Arial"/>
          <w:i w:val="0"/>
          <w:lang w:val="en-GB"/>
        </w:rPr>
        <w:tab/>
        <w:t>continually provide information to those concerned and provide them with assistance in acting against the violation of equal treatment;</w:t>
      </w:r>
    </w:p>
    <w:p w14:paraId="4DFE12E9" w14:textId="77777777" w:rsidR="00ED6A1B" w:rsidRPr="00CD59CC" w:rsidRDefault="00ED6A1B" w:rsidP="00075524">
      <w:pPr>
        <w:pStyle w:val="BodyText"/>
        <w:ind w:left="567" w:hanging="567"/>
        <w:rPr>
          <w:rFonts w:ascii="Arial" w:hAnsi="Arial" w:cs="Arial"/>
          <w:i w:val="0"/>
          <w:lang w:val="en-GB"/>
        </w:rPr>
      </w:pPr>
      <w:r w:rsidRPr="00CD59CC">
        <w:rPr>
          <w:rFonts w:ascii="Arial" w:hAnsi="Arial" w:cs="Arial"/>
          <w:i w:val="0"/>
          <w:lang w:val="en-GB"/>
        </w:rPr>
        <w:t>(h)</w:t>
      </w:r>
      <w:r w:rsidRPr="00CD59CC">
        <w:rPr>
          <w:rFonts w:ascii="Arial" w:hAnsi="Arial" w:cs="Arial"/>
          <w:i w:val="0"/>
          <w:lang w:val="en-GB"/>
        </w:rPr>
        <w:tab/>
        <w:t>provide assistance in the preparation of governmental reports to international organizations, especially to the Council of Europe concerning the principle of equal treatment;</w:t>
      </w:r>
    </w:p>
    <w:p w14:paraId="27285561" w14:textId="4D12DA0B" w:rsidR="00ED6A1B" w:rsidRPr="00CD59CC" w:rsidRDefault="00ED6A1B" w:rsidP="00075524">
      <w:pPr>
        <w:pStyle w:val="BodyText"/>
        <w:ind w:left="567" w:hanging="567"/>
        <w:rPr>
          <w:rFonts w:ascii="Arial" w:hAnsi="Arial" w:cs="Arial"/>
          <w:i w:val="0"/>
          <w:lang w:val="en-GB"/>
        </w:rPr>
      </w:pPr>
      <w:r w:rsidRPr="00CD59CC">
        <w:rPr>
          <w:rFonts w:ascii="Arial" w:hAnsi="Arial" w:cs="Arial"/>
          <w:i w:val="0"/>
          <w:lang w:val="en-GB"/>
        </w:rPr>
        <w:t>(i)</w:t>
      </w:r>
      <w:r w:rsidRPr="00CD59CC">
        <w:rPr>
          <w:rFonts w:ascii="Arial" w:hAnsi="Arial" w:cs="Arial"/>
          <w:i w:val="0"/>
          <w:lang w:val="en-GB"/>
        </w:rPr>
        <w:tab/>
        <w:t>provide assistance in the preparation of the reports for the Commission of the European Union concerning the harmonisation of</w:t>
      </w:r>
      <w:r w:rsidR="002B50DC">
        <w:rPr>
          <w:rFonts w:ascii="Arial" w:hAnsi="Arial" w:cs="Arial"/>
          <w:i w:val="0"/>
          <w:lang w:val="en-GB"/>
        </w:rPr>
        <w:t xml:space="preserve"> directives on equal treatment.</w:t>
      </w:r>
    </w:p>
    <w:p w14:paraId="516030D2" w14:textId="77777777" w:rsidR="00ED6A1B" w:rsidRPr="00CD59CC" w:rsidRDefault="00ED6A1B" w:rsidP="00CD59CC">
      <w:pPr>
        <w:pStyle w:val="BodyText"/>
        <w:ind w:left="567" w:hanging="567"/>
        <w:rPr>
          <w:rFonts w:ascii="Arial" w:hAnsi="Arial" w:cs="Arial"/>
          <w:i w:val="0"/>
          <w:lang w:val="en-GB"/>
        </w:rPr>
      </w:pPr>
    </w:p>
    <w:p w14:paraId="723DC62C" w14:textId="6743C889" w:rsidR="006410BF" w:rsidRPr="00CD59CC" w:rsidRDefault="002B5BCD" w:rsidP="00CD59CC">
      <w:pPr>
        <w:pStyle w:val="BodyText"/>
        <w:numPr>
          <w:ilvl w:val="0"/>
          <w:numId w:val="24"/>
        </w:numPr>
        <w:ind w:left="567" w:hanging="567"/>
        <w:rPr>
          <w:rFonts w:ascii="Arial" w:hAnsi="Arial" w:cs="Arial"/>
          <w:lang w:val="en-GB"/>
        </w:rPr>
      </w:pPr>
      <w:r w:rsidRPr="00CD59CC">
        <w:rPr>
          <w:rFonts w:ascii="Arial" w:hAnsi="Arial" w:cs="Arial"/>
          <w:lang w:val="en-GB"/>
        </w:rPr>
        <w:t>Does it / do they have the competence to provide independent assistance to victims, conduct independent surveys and publish independent reports, and issue recommendations on discrimination issues?</w:t>
      </w:r>
    </w:p>
    <w:p w14:paraId="46E876AD" w14:textId="77777777" w:rsidR="006410BF" w:rsidRPr="00E34CF1" w:rsidRDefault="006410BF" w:rsidP="00BB4E9F">
      <w:pPr>
        <w:pStyle w:val="ListParagraph"/>
        <w:ind w:left="0"/>
        <w:rPr>
          <w:rFonts w:ascii="Arial" w:hAnsi="Arial"/>
          <w:i/>
        </w:rPr>
      </w:pPr>
    </w:p>
    <w:p w14:paraId="5F1DABE1" w14:textId="77777777" w:rsidR="00ED6A1B" w:rsidRPr="00CD59CC" w:rsidRDefault="00ED6A1B" w:rsidP="00CD59CC">
      <w:pPr>
        <w:pStyle w:val="BodyText"/>
        <w:rPr>
          <w:rFonts w:ascii="Arial" w:hAnsi="Arial" w:cs="Arial"/>
          <w:i w:val="0"/>
          <w:lang w:val="en-GB"/>
        </w:rPr>
      </w:pPr>
      <w:r w:rsidRPr="00CD59CC">
        <w:rPr>
          <w:rFonts w:ascii="Arial" w:hAnsi="Arial" w:cs="Arial"/>
          <w:i w:val="0"/>
          <w:lang w:val="en-GB"/>
        </w:rPr>
        <w:t xml:space="preserve">Article 14 Paragraph (1) Point (g) of the ETA gives the mandate to provide independent assistance to victims of discrimination (the Authority shall “continually provide information to those concerned and provide them with assistance in acting against the violation of equal treatment”). </w:t>
      </w:r>
    </w:p>
    <w:p w14:paraId="1057B933" w14:textId="77777777" w:rsidR="00ED6A1B" w:rsidRPr="00CD59CC" w:rsidRDefault="00ED6A1B" w:rsidP="00CD59CC">
      <w:pPr>
        <w:pStyle w:val="BodyText"/>
        <w:rPr>
          <w:rFonts w:ascii="Arial" w:hAnsi="Arial" w:cs="Arial"/>
          <w:i w:val="0"/>
          <w:lang w:val="en-GB"/>
        </w:rPr>
      </w:pPr>
    </w:p>
    <w:p w14:paraId="10688091" w14:textId="77777777" w:rsidR="00064E70" w:rsidRPr="00CD59CC" w:rsidRDefault="00ED6A1B" w:rsidP="00CD59CC">
      <w:pPr>
        <w:pStyle w:val="BodyText"/>
        <w:rPr>
          <w:rFonts w:ascii="Arial" w:hAnsi="Arial" w:cs="Arial"/>
          <w:i w:val="0"/>
          <w:lang w:val="en-GB"/>
        </w:rPr>
      </w:pPr>
      <w:r w:rsidRPr="00CD59CC">
        <w:rPr>
          <w:rFonts w:ascii="Arial" w:hAnsi="Arial" w:cs="Arial"/>
          <w:i w:val="0"/>
          <w:lang w:val="en-GB"/>
        </w:rPr>
        <w:t xml:space="preserve">The right to conduct independent surveys is not explicitly formulated, but the possibility to do so is implicitly included in the ETA. In terms of Article 14 Paragraph (1) Point (e), the Authority shall “regularly inform the public and the Parliament about the situation concerning the enforcement of equal treatment”. Article 14 Paragraph (1) Point (h) claims that the Authority shall “provide assistance in the preparation of </w:t>
      </w:r>
      <w:r w:rsidRPr="00CD59CC">
        <w:rPr>
          <w:rFonts w:ascii="Arial" w:hAnsi="Arial" w:cs="Arial"/>
          <w:i w:val="0"/>
          <w:lang w:val="en-GB"/>
        </w:rPr>
        <w:lastRenderedPageBreak/>
        <w:t>governmental reports to international organizations, especially to the Council of Europe concerning the principle of equal treatment”, in terms of Point (i) of the same Article, the Authority shall “provide assistance in the preparation of the reports for the Commission of the European Union concerning the harmonisation of directives on equal treatment”. This is obviously only possible if the Authority possesses information about the nationwide situation concerning discrimination. Therefore, in the author’s view, the Authority’s right to carry out such surveys is not to be questioned. As to the practical possibility (financial and human resources), the circumstances for a long time prevented the Authority from fulfilling this task. This situation was changed by a 4-year grant of HUF 911 million (EUR 3,036,670) from the European Social Fund and the Hungarian State, in the framework of which altogether seven researches have been or will be carried out. The following ones have already been accomplished: (i) Gender Wage Gap and Segregation in Contemporary Hungary;</w:t>
      </w:r>
      <w:r w:rsidRPr="00CD59CC">
        <w:rPr>
          <w:rStyle w:val="FootnoteReference"/>
          <w:rFonts w:ascii="Arial" w:hAnsi="Arial" w:cs="Arial"/>
          <w:i w:val="0"/>
          <w:lang w:val="en-GB"/>
        </w:rPr>
        <w:footnoteReference w:id="116"/>
      </w:r>
      <w:r w:rsidRPr="00CD59CC">
        <w:rPr>
          <w:rFonts w:ascii="Arial" w:hAnsi="Arial" w:cs="Arial"/>
          <w:i w:val="0"/>
          <w:lang w:val="en-GB"/>
        </w:rPr>
        <w:t xml:space="preserve"> (ii) Employee Selection Practices in the Light of Discrimination;</w:t>
      </w:r>
      <w:r w:rsidRPr="00CD59CC">
        <w:rPr>
          <w:rStyle w:val="FootnoteReference"/>
          <w:rFonts w:ascii="Arial" w:hAnsi="Arial" w:cs="Arial"/>
          <w:i w:val="0"/>
          <w:lang w:val="en-GB"/>
        </w:rPr>
        <w:footnoteReference w:id="117"/>
      </w:r>
      <w:r w:rsidRPr="00CD59CC">
        <w:rPr>
          <w:rFonts w:ascii="Arial" w:hAnsi="Arial" w:cs="Arial"/>
          <w:i w:val="0"/>
          <w:lang w:val="en-GB"/>
        </w:rPr>
        <w:t xml:space="preserve"> (iii) Impact of the Equal Opportunity Plan;</w:t>
      </w:r>
      <w:r w:rsidRPr="00CD59CC">
        <w:rPr>
          <w:rStyle w:val="FootnoteReference"/>
          <w:rFonts w:ascii="Arial" w:hAnsi="Arial" w:cs="Arial"/>
          <w:i w:val="0"/>
          <w:lang w:val="en-GB"/>
        </w:rPr>
        <w:footnoteReference w:id="118"/>
      </w:r>
      <w:r w:rsidRPr="00CD59CC">
        <w:rPr>
          <w:rFonts w:ascii="Arial" w:hAnsi="Arial" w:cs="Arial"/>
          <w:i w:val="0"/>
          <w:lang w:val="en-GB"/>
        </w:rPr>
        <w:t xml:space="preserve"> (iv) Relations between Employers’ Attitudes, Labour Market Employment of Employees with Protected Characteristics and Insuring Proper Working Conditions;</w:t>
      </w:r>
      <w:r w:rsidRPr="00CD59CC">
        <w:rPr>
          <w:rStyle w:val="FootnoteReference"/>
          <w:rFonts w:ascii="Arial" w:hAnsi="Arial" w:cs="Arial"/>
          <w:i w:val="0"/>
          <w:lang w:val="en-GB"/>
        </w:rPr>
        <w:footnoteReference w:id="119"/>
      </w:r>
      <w:r w:rsidRPr="00CD59CC">
        <w:rPr>
          <w:rFonts w:ascii="Arial" w:hAnsi="Arial" w:cs="Arial"/>
          <w:i w:val="0"/>
          <w:lang w:val="en-GB"/>
        </w:rPr>
        <w:t xml:space="preserve"> (v) Extent of Gaining Knowledge of One’s Rights as a Victim of Discrimination – With Special Focus on Women, Roma, People wit</w:t>
      </w:r>
      <w:r w:rsidR="00064E70" w:rsidRPr="00CD59CC">
        <w:rPr>
          <w:rFonts w:ascii="Arial" w:hAnsi="Arial" w:cs="Arial"/>
          <w:i w:val="0"/>
          <w:lang w:val="en-GB"/>
        </w:rPr>
        <w:t>h Disabilities, and LGBT people;</w:t>
      </w:r>
      <w:r w:rsidRPr="00CD59CC">
        <w:rPr>
          <w:rStyle w:val="FootnoteReference"/>
          <w:rFonts w:ascii="Arial" w:hAnsi="Arial" w:cs="Arial"/>
          <w:i w:val="0"/>
          <w:lang w:val="en-GB"/>
        </w:rPr>
        <w:footnoteReference w:id="120"/>
      </w:r>
      <w:r w:rsidR="00064E70" w:rsidRPr="00CD59CC">
        <w:rPr>
          <w:rFonts w:ascii="Arial" w:hAnsi="Arial" w:cs="Arial"/>
          <w:i w:val="0"/>
          <w:lang w:val="en-GB"/>
        </w:rPr>
        <w:t xml:space="preserve"> Discriminative mechanisms in public administration and legislation at the municipal level.</w:t>
      </w:r>
      <w:r w:rsidR="00064E70" w:rsidRPr="00CD59CC">
        <w:rPr>
          <w:rStyle w:val="FootnoteReference"/>
          <w:rFonts w:ascii="Arial" w:hAnsi="Arial" w:cs="Arial"/>
          <w:i w:val="0"/>
          <w:lang w:val="en-GB"/>
        </w:rPr>
        <w:footnoteReference w:id="121"/>
      </w:r>
    </w:p>
    <w:p w14:paraId="14190682" w14:textId="77777777" w:rsidR="00064E70" w:rsidRPr="00CD59CC" w:rsidRDefault="00064E70" w:rsidP="00CD59CC">
      <w:pPr>
        <w:pStyle w:val="BodyText"/>
        <w:rPr>
          <w:rFonts w:ascii="Arial" w:hAnsi="Arial" w:cs="Arial"/>
          <w:i w:val="0"/>
          <w:lang w:val="en-GB"/>
        </w:rPr>
      </w:pPr>
    </w:p>
    <w:p w14:paraId="1F1B55D0" w14:textId="4023D238" w:rsidR="00ED6A1B" w:rsidRPr="00CD59CC" w:rsidRDefault="00ED6A1B" w:rsidP="00CD59CC">
      <w:pPr>
        <w:pStyle w:val="BodyText"/>
        <w:rPr>
          <w:rFonts w:ascii="Arial" w:hAnsi="Arial" w:cs="Arial"/>
          <w:i w:val="0"/>
          <w:lang w:val="en-GB"/>
        </w:rPr>
      </w:pPr>
      <w:r w:rsidRPr="00CD59CC">
        <w:rPr>
          <w:rFonts w:ascii="Arial" w:hAnsi="Arial" w:cs="Arial"/>
          <w:i w:val="0"/>
          <w:lang w:val="en-GB"/>
        </w:rPr>
        <w:t>The mandate to publish independent reports and make recommendations concerning discrimination are set forth by Article 14 Paragraph (1) Point (d) of the ETA (The Authority shall “make proposals concerning Governmental decisions and legislation pertaining to equal treatment”), Article 14 Paragraph (1) Point (e) of the ETA (The Authority shall “regularly inform the public and the Parliament about the situation concerning the enforcement of equal treatment”, and finally Article 1</w:t>
      </w:r>
      <w:r w:rsidR="00064E70" w:rsidRPr="00CD59CC">
        <w:rPr>
          <w:rFonts w:ascii="Arial" w:hAnsi="Arial" w:cs="Arial"/>
          <w:i w:val="0"/>
          <w:lang w:val="en-GB"/>
        </w:rPr>
        <w:t>4</w:t>
      </w:r>
      <w:r w:rsidRPr="00CD59CC">
        <w:rPr>
          <w:rFonts w:ascii="Arial" w:hAnsi="Arial" w:cs="Arial"/>
          <w:i w:val="0"/>
          <w:lang w:val="en-GB"/>
        </w:rPr>
        <w:t xml:space="preserve"> Paragraph (</w:t>
      </w:r>
      <w:r w:rsidR="00064E70" w:rsidRPr="00CD59CC">
        <w:rPr>
          <w:rFonts w:ascii="Arial" w:hAnsi="Arial" w:cs="Arial"/>
          <w:i w:val="0"/>
          <w:lang w:val="en-GB"/>
        </w:rPr>
        <w:t>2</w:t>
      </w:r>
      <w:r w:rsidRPr="00CD59CC">
        <w:rPr>
          <w:rFonts w:ascii="Arial" w:hAnsi="Arial" w:cs="Arial"/>
          <w:i w:val="0"/>
          <w:lang w:val="en-GB"/>
        </w:rPr>
        <w:t xml:space="preserve">) of the ETA (“In order to continuously inform the public, the Authority shall on its website regularly publish its reports, proposals and detailed information concerning its activities”). </w:t>
      </w:r>
    </w:p>
    <w:p w14:paraId="76B7C2F5" w14:textId="77777777" w:rsidR="00ED6A1B" w:rsidRPr="00CD59CC" w:rsidRDefault="00ED6A1B" w:rsidP="00CD59CC">
      <w:pPr>
        <w:pStyle w:val="BodyText"/>
        <w:rPr>
          <w:rFonts w:ascii="Arial" w:hAnsi="Arial" w:cs="Arial"/>
          <w:i w:val="0"/>
          <w:lang w:val="en-GB"/>
        </w:rPr>
      </w:pPr>
    </w:p>
    <w:p w14:paraId="02BF2C44" w14:textId="39448137" w:rsidR="00ED6A1B" w:rsidRPr="00CD59CC" w:rsidRDefault="00ED6A1B" w:rsidP="00CD59CC">
      <w:pPr>
        <w:pStyle w:val="BodyText"/>
        <w:rPr>
          <w:rFonts w:ascii="Arial" w:hAnsi="Arial" w:cs="Arial"/>
          <w:i w:val="0"/>
          <w:lang w:val="en-GB"/>
        </w:rPr>
      </w:pPr>
      <w:r w:rsidRPr="00CD59CC">
        <w:rPr>
          <w:rFonts w:ascii="Arial" w:hAnsi="Arial" w:cs="Arial"/>
          <w:i w:val="0"/>
          <w:lang w:val="en-GB"/>
        </w:rPr>
        <w:t xml:space="preserve">The key element of the Authority’s activity is none of the three tasks envisioned by the Racial Equality Directive, but investigating into and deciding on individual instances of discrimination. In terms of </w:t>
      </w:r>
      <w:r w:rsidR="00064E70" w:rsidRPr="00CD59CC">
        <w:rPr>
          <w:rFonts w:ascii="Arial" w:hAnsi="Arial" w:cs="Arial"/>
          <w:i w:val="0"/>
          <w:lang w:val="en-GB"/>
        </w:rPr>
        <w:t>Article 14 Paragraph (1) Point (a)</w:t>
      </w:r>
      <w:r w:rsidRPr="00CD59CC">
        <w:rPr>
          <w:rFonts w:ascii="Arial" w:hAnsi="Arial" w:cs="Arial"/>
          <w:i w:val="0"/>
          <w:lang w:val="en-GB"/>
        </w:rPr>
        <w:t xml:space="preserve">, the Authority has the mandate to conduct independent investigations both ex officio and also based on individual complaints (“The Authority shall, based on a complaint or – in cases defined herein – ex officio, conduct an investigation to establish whether the principle of equal treatment has been violated, [...] and make a decision on the basis of the investigation”). </w:t>
      </w:r>
    </w:p>
    <w:p w14:paraId="7B11D888" w14:textId="77777777" w:rsidR="00ED6A1B" w:rsidRPr="00CD59CC" w:rsidRDefault="00ED6A1B" w:rsidP="00CD59CC">
      <w:pPr>
        <w:pStyle w:val="BodyText"/>
        <w:rPr>
          <w:rFonts w:ascii="Arial" w:hAnsi="Arial" w:cs="Arial"/>
          <w:i w:val="0"/>
          <w:lang w:val="en-GB"/>
        </w:rPr>
      </w:pPr>
    </w:p>
    <w:p w14:paraId="76ACE393" w14:textId="77777777" w:rsidR="00ED6A1B" w:rsidRPr="00CD59CC" w:rsidRDefault="00ED6A1B" w:rsidP="00CD59CC">
      <w:pPr>
        <w:pStyle w:val="BodyText"/>
        <w:rPr>
          <w:rFonts w:ascii="Arial" w:hAnsi="Arial" w:cs="Arial"/>
          <w:i w:val="0"/>
          <w:lang w:val="en-GB"/>
        </w:rPr>
      </w:pPr>
      <w:r w:rsidRPr="00CD59CC">
        <w:rPr>
          <w:rFonts w:ascii="Arial" w:hAnsi="Arial" w:cs="Arial"/>
          <w:i w:val="0"/>
          <w:lang w:val="en-GB"/>
        </w:rPr>
        <w:lastRenderedPageBreak/>
        <w:t xml:space="preserve">This is a quasi judicial function, so in this regard the service provided by the Authority goes beyond simple assistance in asserting claims. On the other hand, due to the scarce financial and human resources this function may in practice prevent the Authority from actually fulfilling the other tasks (with the exception of the annual report, the preparation of which is an obligation). </w:t>
      </w:r>
    </w:p>
    <w:p w14:paraId="61A36D38" w14:textId="77777777" w:rsidR="00ED6A1B" w:rsidRPr="00CD59CC" w:rsidRDefault="00ED6A1B" w:rsidP="00CD59CC">
      <w:pPr>
        <w:pStyle w:val="BodyText"/>
        <w:rPr>
          <w:rFonts w:ascii="Arial" w:hAnsi="Arial" w:cs="Arial"/>
          <w:i w:val="0"/>
          <w:lang w:val="en-GB"/>
        </w:rPr>
      </w:pPr>
    </w:p>
    <w:p w14:paraId="55A1F00F" w14:textId="77777777" w:rsidR="00ED6A1B" w:rsidRPr="00CD59CC" w:rsidRDefault="00ED6A1B" w:rsidP="00CD59CC">
      <w:pPr>
        <w:pStyle w:val="BodyText"/>
        <w:rPr>
          <w:rFonts w:ascii="Arial" w:hAnsi="Arial" w:cs="Arial"/>
          <w:i w:val="0"/>
          <w:lang w:val="en-GB"/>
        </w:rPr>
      </w:pPr>
      <w:r w:rsidRPr="00CD59CC">
        <w:rPr>
          <w:rFonts w:ascii="Arial" w:hAnsi="Arial" w:cs="Arial"/>
          <w:i w:val="0"/>
          <w:lang w:val="en-GB"/>
        </w:rPr>
        <w:t>As to the legal sanctions applicable if the Authority has established that the provisions ensuring the principle of equal treatment have been violated, see Section 6.5.</w:t>
      </w:r>
    </w:p>
    <w:p w14:paraId="40834CCF" w14:textId="77777777" w:rsidR="006410BF" w:rsidRPr="00BB4E9F" w:rsidRDefault="006410BF" w:rsidP="00BB4E9F">
      <w:pPr>
        <w:pStyle w:val="BodyText"/>
        <w:rPr>
          <w:rFonts w:ascii="Arial" w:hAnsi="Arial"/>
          <w:lang w:val="en-GB"/>
        </w:rPr>
      </w:pPr>
    </w:p>
    <w:p w14:paraId="0826877B" w14:textId="77777777" w:rsidR="002B5BCD" w:rsidRPr="00CD59CC" w:rsidRDefault="002B5BCD" w:rsidP="00CD59CC">
      <w:pPr>
        <w:numPr>
          <w:ilvl w:val="0"/>
          <w:numId w:val="24"/>
        </w:numPr>
        <w:autoSpaceDE w:val="0"/>
        <w:autoSpaceDN w:val="0"/>
        <w:adjustRightInd w:val="0"/>
        <w:ind w:left="567" w:hanging="567"/>
        <w:rPr>
          <w:rFonts w:ascii="Arial" w:hAnsi="Arial" w:cs="Arial"/>
          <w:i/>
        </w:rPr>
      </w:pPr>
      <w:r w:rsidRPr="00CD59CC">
        <w:rPr>
          <w:rFonts w:ascii="Arial" w:hAnsi="Arial" w:cs="Arial"/>
          <w:i/>
        </w:rPr>
        <w:t xml:space="preserve">Are the tasks undertaken by the body/bodies independently (notably those listed in the Directive 2000/43; </w:t>
      </w:r>
      <w:r w:rsidRPr="00BB4E9F">
        <w:rPr>
          <w:rFonts w:ascii="Arial" w:hAnsi="Arial"/>
          <w:i/>
          <w:lang w:val="en-US"/>
        </w:rPr>
        <w:t>providing independent assistance to victims of discrimination in pursuing their complaints about discrimination, conducting independent surveys concerning discrimination and publishing independent reports).</w:t>
      </w:r>
    </w:p>
    <w:p w14:paraId="49282AD6" w14:textId="77777777" w:rsidR="002B5BCD" w:rsidRPr="00CD59CC" w:rsidRDefault="002B5BCD" w:rsidP="00CD59CC">
      <w:pPr>
        <w:pStyle w:val="BodyText"/>
        <w:ind w:left="567" w:hanging="567"/>
        <w:rPr>
          <w:rFonts w:ascii="Arial" w:hAnsi="Arial" w:cs="Arial"/>
          <w:i w:val="0"/>
          <w:lang w:val="en-GB"/>
        </w:rPr>
      </w:pPr>
    </w:p>
    <w:p w14:paraId="25003394" w14:textId="77777777" w:rsidR="001948DC" w:rsidRPr="00CD59CC" w:rsidRDefault="001948DC" w:rsidP="00BB4E9F">
      <w:pPr>
        <w:pStyle w:val="Fszveg"/>
        <w:autoSpaceDE/>
        <w:autoSpaceDN w:val="0"/>
        <w:spacing w:line="240" w:lineRule="auto"/>
        <w:jc w:val="left"/>
        <w:rPr>
          <w:rFonts w:ascii="Arial" w:hAnsi="Arial" w:cs="Arial"/>
          <w:sz w:val="24"/>
          <w:szCs w:val="24"/>
          <w:lang w:val="en-GB"/>
        </w:rPr>
      </w:pPr>
      <w:r w:rsidRPr="00CD59CC">
        <w:rPr>
          <w:rFonts w:ascii="Arial" w:hAnsi="Arial" w:cs="Arial"/>
          <w:sz w:val="24"/>
          <w:szCs w:val="24"/>
          <w:lang w:val="en-GB"/>
        </w:rPr>
        <w:t>Some of the most severe problems related to the Authority’s independence (e.g. the status of its President) have been sufficiently dealt with. Others, such as the issue of funding have been partly solved: on the level of the legal framework, a significant step has been made by placing the Authority’s budget under the Parliament, however, the amount of funding is still insufficient, which raises concerns in relation to independence. A third problem is posed by the Authority’s place within the governmental structure. While it may not be instructed in relation to its quasi judicial function, the ETAD still sets forth that it functions under the supervision of the Minister responsible for social inclusion. While it is difficult to demonstrate with scientific accuracy that these ties to the governmental structure have an impact on the actual functioning of the Authority, it gives rise to concerns that – as opposed to companies and other private entities – state bodies and local councils have not been fined in the recent years even if the violation found was very severe (for an example see the case of the visually impaired civil servant under Section 6.5 above).</w:t>
      </w:r>
    </w:p>
    <w:p w14:paraId="13C77475" w14:textId="77777777" w:rsidR="001948DC" w:rsidRPr="00CD59CC" w:rsidRDefault="001948DC" w:rsidP="00CD59CC">
      <w:pPr>
        <w:pStyle w:val="BodyText"/>
        <w:ind w:left="567" w:hanging="567"/>
        <w:rPr>
          <w:rFonts w:ascii="Arial" w:hAnsi="Arial" w:cs="Arial"/>
          <w:i w:val="0"/>
          <w:lang w:val="en-GB"/>
        </w:rPr>
      </w:pPr>
    </w:p>
    <w:p w14:paraId="65CB6F1D" w14:textId="77777777" w:rsidR="002B5BCD" w:rsidRPr="00CD59CC" w:rsidRDefault="002B5BCD" w:rsidP="00CD59CC">
      <w:pPr>
        <w:pStyle w:val="BodyText"/>
        <w:numPr>
          <w:ilvl w:val="0"/>
          <w:numId w:val="24"/>
        </w:numPr>
        <w:ind w:left="567" w:hanging="567"/>
        <w:rPr>
          <w:rFonts w:ascii="Arial" w:hAnsi="Arial" w:cs="Arial"/>
          <w:lang w:val="en-GB"/>
        </w:rPr>
      </w:pPr>
      <w:r w:rsidRPr="00CD59CC">
        <w:rPr>
          <w:rFonts w:ascii="Arial" w:hAnsi="Arial" w:cs="Arial"/>
          <w:lang w:val="en-GB"/>
        </w:rPr>
        <w:t>Does the body (or bodies) have legal standing to bring discrimination complaints or to intervene in legal cases concerning discrimination?</w:t>
      </w:r>
    </w:p>
    <w:p w14:paraId="487297BB" w14:textId="77777777" w:rsidR="002B5BCD" w:rsidRPr="00CD59CC" w:rsidRDefault="002B5BCD" w:rsidP="00CD59CC">
      <w:pPr>
        <w:pStyle w:val="BodyText"/>
        <w:ind w:left="567" w:hanging="567"/>
        <w:rPr>
          <w:rFonts w:ascii="Arial" w:hAnsi="Arial" w:cs="Arial"/>
          <w:i w:val="0"/>
          <w:lang w:val="en-GB"/>
        </w:rPr>
      </w:pPr>
    </w:p>
    <w:p w14:paraId="6F33C5DC" w14:textId="77777777" w:rsidR="001948DC" w:rsidRPr="00CD59CC" w:rsidRDefault="001948DC" w:rsidP="00CD59CC">
      <w:pPr>
        <w:rPr>
          <w:rFonts w:ascii="Arial" w:hAnsi="Arial" w:cs="Arial"/>
        </w:rPr>
      </w:pPr>
      <w:r w:rsidRPr="00CD59CC">
        <w:rPr>
          <w:rFonts w:ascii="Arial" w:hAnsi="Arial" w:cs="Arial"/>
        </w:rPr>
        <w:t>This possibility exists.</w:t>
      </w:r>
      <w:r w:rsidRPr="00CD59CC">
        <w:rPr>
          <w:rFonts w:ascii="Arial" w:hAnsi="Arial" w:cs="Arial"/>
          <w:i/>
        </w:rPr>
        <w:t xml:space="preserve"> </w:t>
      </w:r>
      <w:r w:rsidRPr="00CD59CC">
        <w:rPr>
          <w:rFonts w:ascii="Arial" w:hAnsi="Arial" w:cs="Arial"/>
        </w:rPr>
        <w:t xml:space="preserve">Under Article 14 Paragraph (1) (g) of the ETA, the Authority “shall continuously provide information to those concerned and provide assistance with regard to acting against the violation of equal treatment” </w:t>
      </w:r>
    </w:p>
    <w:p w14:paraId="303A7C76" w14:textId="77777777" w:rsidR="001948DC" w:rsidRPr="00CD59CC" w:rsidRDefault="001948DC" w:rsidP="00CD59CC">
      <w:pPr>
        <w:rPr>
          <w:rFonts w:ascii="Arial" w:hAnsi="Arial" w:cs="Arial"/>
        </w:rPr>
      </w:pPr>
    </w:p>
    <w:p w14:paraId="4EC5984D" w14:textId="77777777" w:rsidR="001948DC" w:rsidRPr="00CD59CC" w:rsidRDefault="001948DC" w:rsidP="00CD59CC">
      <w:pPr>
        <w:pStyle w:val="BodyText"/>
        <w:rPr>
          <w:rFonts w:ascii="Arial" w:hAnsi="Arial" w:cs="Arial"/>
          <w:i w:val="0"/>
          <w:iCs w:val="0"/>
          <w:lang w:val="en-GB"/>
        </w:rPr>
      </w:pPr>
      <w:r w:rsidRPr="00CD59CC">
        <w:rPr>
          <w:rFonts w:ascii="Arial" w:hAnsi="Arial" w:cs="Arial"/>
          <w:i w:val="0"/>
          <w:lang w:val="en-GB"/>
        </w:rPr>
        <w:t>Under Article 18 of the ETA, unless stipulated otherwise by the law</w:t>
      </w:r>
      <w:r w:rsidRPr="00CD59CC">
        <w:rPr>
          <w:rFonts w:ascii="Arial" w:hAnsi="Arial" w:cs="Arial"/>
          <w:i w:val="0"/>
          <w:iCs w:val="0"/>
          <w:lang w:val="en-GB"/>
        </w:rPr>
        <w:t xml:space="preserve">, based on an authorisation from the victim, the Authority may engage on behalf of the victim in proceedings initiated due to the infringement of the requirement of equal treatment. </w:t>
      </w:r>
    </w:p>
    <w:p w14:paraId="0D70AF39" w14:textId="77777777" w:rsidR="001948DC" w:rsidRPr="00CD59CC" w:rsidRDefault="001948DC" w:rsidP="00CD59CC">
      <w:pPr>
        <w:pStyle w:val="BodyText"/>
        <w:rPr>
          <w:rFonts w:ascii="Arial" w:hAnsi="Arial" w:cs="Arial"/>
          <w:i w:val="0"/>
          <w:iCs w:val="0"/>
          <w:lang w:val="en-GB"/>
        </w:rPr>
      </w:pPr>
    </w:p>
    <w:p w14:paraId="36FECABD" w14:textId="77777777" w:rsidR="001948DC" w:rsidRPr="00CD59CC" w:rsidRDefault="001948DC" w:rsidP="00CD59CC">
      <w:pPr>
        <w:pStyle w:val="BodyText"/>
        <w:rPr>
          <w:rFonts w:ascii="Arial" w:hAnsi="Arial" w:cs="Arial"/>
          <w:i w:val="0"/>
          <w:iCs w:val="0"/>
          <w:lang w:val="en-GB"/>
        </w:rPr>
      </w:pPr>
      <w:r w:rsidRPr="00CD59CC">
        <w:rPr>
          <w:rFonts w:ascii="Arial" w:hAnsi="Arial" w:cs="Arial"/>
          <w:i w:val="0"/>
          <w:iCs w:val="0"/>
          <w:lang w:val="en-GB"/>
        </w:rPr>
        <w:t xml:space="preserve">Furthermore, in administrative proceedings launched due to the violation of the principle of equal treatment, the Authority shall be entitled to exercise the rights of a party. </w:t>
      </w:r>
    </w:p>
    <w:p w14:paraId="67B494DE" w14:textId="77777777" w:rsidR="001948DC" w:rsidRPr="00CD59CC" w:rsidRDefault="001948DC" w:rsidP="00CD59CC">
      <w:pPr>
        <w:pStyle w:val="BodyText"/>
        <w:rPr>
          <w:rFonts w:ascii="Arial" w:hAnsi="Arial" w:cs="Arial"/>
          <w:i w:val="0"/>
          <w:iCs w:val="0"/>
          <w:lang w:val="en-GB"/>
        </w:rPr>
      </w:pPr>
    </w:p>
    <w:p w14:paraId="15BFEB2F" w14:textId="77777777" w:rsidR="001948DC" w:rsidRPr="00CD59CC" w:rsidRDefault="001948DC" w:rsidP="00CD59CC">
      <w:pPr>
        <w:pStyle w:val="BodyText"/>
        <w:rPr>
          <w:rFonts w:ascii="Arial" w:hAnsi="Arial" w:cs="Arial"/>
          <w:i w:val="0"/>
          <w:iCs w:val="0"/>
          <w:lang w:val="en-GB"/>
        </w:rPr>
      </w:pPr>
      <w:r w:rsidRPr="00CD59CC">
        <w:rPr>
          <w:rFonts w:ascii="Arial" w:hAnsi="Arial" w:cs="Arial"/>
          <w:i w:val="0"/>
          <w:iCs w:val="0"/>
          <w:lang w:val="en-GB"/>
        </w:rPr>
        <w:lastRenderedPageBreak/>
        <w:t xml:space="preserve">As was outlined above, in terms of Article 20 of the ETA, if the principle of equal treatment is violated, a lawsuit for the infringement of inherent rights or a labour lawsuit may be brought by – among others – the Authority, provided that the violation of the principle of equal treatment was based on a characteristic that is an essential feature of the individual, and the violation affects a larger group of persons that cannot be determined accurately. </w:t>
      </w:r>
    </w:p>
    <w:p w14:paraId="7EAE1814" w14:textId="77777777" w:rsidR="001948DC" w:rsidRPr="00CD59CC" w:rsidRDefault="001948DC" w:rsidP="00CD59CC">
      <w:pPr>
        <w:pStyle w:val="BodyText"/>
        <w:rPr>
          <w:rFonts w:ascii="Arial" w:hAnsi="Arial" w:cs="Arial"/>
          <w:i w:val="0"/>
          <w:iCs w:val="0"/>
          <w:lang w:val="en-GB"/>
        </w:rPr>
      </w:pPr>
    </w:p>
    <w:p w14:paraId="77DEA555" w14:textId="77777777" w:rsidR="001948DC" w:rsidRPr="00CD59CC" w:rsidRDefault="001948DC" w:rsidP="00CD59CC">
      <w:pPr>
        <w:pStyle w:val="BodyText"/>
        <w:rPr>
          <w:rFonts w:ascii="Arial" w:hAnsi="Arial" w:cs="Arial"/>
          <w:i w:val="0"/>
          <w:lang w:val="en-GB"/>
        </w:rPr>
      </w:pPr>
      <w:r w:rsidRPr="00CD59CC">
        <w:rPr>
          <w:rFonts w:ascii="Arial" w:hAnsi="Arial" w:cs="Arial"/>
          <w:i w:val="0"/>
          <w:iCs w:val="0"/>
          <w:lang w:val="en-GB"/>
        </w:rPr>
        <w:t xml:space="preserve">Due to the above outlined problems of staffing, these types of activities are rather rare. The Authority has never launched an </w:t>
      </w:r>
      <w:r w:rsidRPr="00CD59CC">
        <w:rPr>
          <w:rFonts w:ascii="Arial" w:hAnsi="Arial" w:cs="Arial"/>
          <w:lang w:val="en-GB"/>
        </w:rPr>
        <w:t>actio popularis</w:t>
      </w:r>
      <w:r w:rsidRPr="00CD59CC">
        <w:rPr>
          <w:rFonts w:ascii="Arial" w:hAnsi="Arial" w:cs="Arial"/>
          <w:i w:val="0"/>
          <w:iCs w:val="0"/>
          <w:lang w:val="en-GB"/>
        </w:rPr>
        <w:t xml:space="preserve"> lawsuit, and intervened in only one case during its history.</w:t>
      </w:r>
      <w:r w:rsidRPr="00CD59CC">
        <w:rPr>
          <w:rStyle w:val="FootnoteReference"/>
          <w:rFonts w:ascii="Arial" w:hAnsi="Arial" w:cs="Arial"/>
          <w:i w:val="0"/>
          <w:lang w:val="en-GB"/>
        </w:rPr>
        <w:footnoteReference w:id="122"/>
      </w:r>
    </w:p>
    <w:p w14:paraId="3379A7A3" w14:textId="77777777" w:rsidR="001948DC" w:rsidRPr="00CD59CC" w:rsidRDefault="001948DC" w:rsidP="00CD59CC">
      <w:pPr>
        <w:pStyle w:val="BodyText"/>
        <w:ind w:left="567" w:hanging="567"/>
        <w:rPr>
          <w:rFonts w:ascii="Arial" w:hAnsi="Arial" w:cs="Arial"/>
          <w:i w:val="0"/>
          <w:lang w:val="en-GB"/>
        </w:rPr>
      </w:pPr>
    </w:p>
    <w:p w14:paraId="5D20F87F" w14:textId="141DF0C7" w:rsidR="002B5BCD" w:rsidRPr="00CD59CC" w:rsidRDefault="002B5BCD" w:rsidP="00CD59CC">
      <w:pPr>
        <w:pStyle w:val="BodyText"/>
        <w:numPr>
          <w:ilvl w:val="0"/>
          <w:numId w:val="24"/>
        </w:numPr>
        <w:ind w:left="567" w:hanging="567"/>
        <w:rPr>
          <w:rFonts w:ascii="Arial" w:hAnsi="Arial" w:cs="Arial"/>
          <w:lang w:val="en-GB"/>
        </w:rPr>
      </w:pPr>
      <w:r w:rsidRPr="00CD59CC">
        <w:rPr>
          <w:rFonts w:ascii="Arial" w:hAnsi="Arial" w:cs="Arial"/>
          <w:lang w:val="en-GB"/>
        </w:rPr>
        <w:t xml:space="preserve">Is / are the body / bodies a quasi-judicial institution? Please briefly describe how this functions. Are the decisions binding? Does the body /bodies have the power to impose sanctions? Is an appeal possible? To the body itself? To courts? Are the decisions well respected? (Please illustrate with examples/decisions). </w:t>
      </w:r>
    </w:p>
    <w:p w14:paraId="54EA09A3" w14:textId="77777777" w:rsidR="00E1549E" w:rsidRPr="00BB4E9F" w:rsidRDefault="00E1549E" w:rsidP="00BB4E9F">
      <w:pPr>
        <w:pStyle w:val="ListParagraph"/>
        <w:rPr>
          <w:rFonts w:ascii="Arial" w:hAnsi="Arial"/>
        </w:rPr>
      </w:pPr>
    </w:p>
    <w:p w14:paraId="31808277" w14:textId="3EEC79A9" w:rsidR="0039702F" w:rsidRPr="00CD59CC" w:rsidRDefault="0039702F" w:rsidP="00CD59CC">
      <w:pPr>
        <w:rPr>
          <w:rFonts w:ascii="Arial" w:hAnsi="Arial" w:cs="Arial"/>
        </w:rPr>
      </w:pPr>
      <w:r w:rsidRPr="00CD59CC">
        <w:rPr>
          <w:rFonts w:ascii="Arial" w:hAnsi="Arial" w:cs="Arial"/>
        </w:rPr>
        <w:t>As outlined above, under Article 14 of the ETA,</w:t>
      </w:r>
      <w:r w:rsidRPr="00CD59CC">
        <w:rPr>
          <w:rFonts w:ascii="Arial" w:hAnsi="Arial" w:cs="Arial"/>
          <w:i/>
        </w:rPr>
        <w:t xml:space="preserve"> </w:t>
      </w:r>
      <w:r w:rsidRPr="00CD59CC">
        <w:rPr>
          <w:rFonts w:ascii="Arial" w:hAnsi="Arial" w:cs="Arial"/>
        </w:rPr>
        <w:t xml:space="preserve">the Authority shall, based on a complaint or ex officio, conduct an investigation to establish whether the principle of equal treatment has been violated, and deliver a decision on the basis of the investigation. </w:t>
      </w:r>
    </w:p>
    <w:p w14:paraId="2A19D750" w14:textId="77777777" w:rsidR="0039702F" w:rsidRPr="00CD59CC" w:rsidRDefault="0039702F" w:rsidP="00CD59CC">
      <w:pPr>
        <w:rPr>
          <w:rFonts w:ascii="Arial" w:hAnsi="Arial" w:cs="Arial"/>
        </w:rPr>
      </w:pPr>
    </w:p>
    <w:p w14:paraId="3C65E7DD" w14:textId="0C64086B" w:rsidR="0039702F" w:rsidRPr="00CD59CC" w:rsidRDefault="0039702F" w:rsidP="00CD59CC">
      <w:pPr>
        <w:rPr>
          <w:rFonts w:ascii="Arial" w:hAnsi="Arial" w:cs="Arial"/>
        </w:rPr>
      </w:pPr>
      <w:r w:rsidRPr="00CD59CC">
        <w:rPr>
          <w:rFonts w:ascii="Arial" w:hAnsi="Arial" w:cs="Arial"/>
        </w:rPr>
        <w:t>The proceeding usually starts with a complaint (ex officio investigations are rare, their number is 1-4 per year on average),</w:t>
      </w:r>
      <w:r w:rsidRPr="00CD59CC">
        <w:rPr>
          <w:rStyle w:val="FootnoteReference"/>
          <w:rFonts w:ascii="Arial" w:hAnsi="Arial" w:cs="Arial"/>
        </w:rPr>
        <w:footnoteReference w:id="123"/>
      </w:r>
      <w:r w:rsidRPr="00CD59CC">
        <w:rPr>
          <w:rFonts w:ascii="Arial" w:hAnsi="Arial" w:cs="Arial"/>
        </w:rPr>
        <w:t xml:space="preserve"> which the Authority communicates to the other party, who reacts to the complaint in writing. The complainant has the possibility to put forth comments in relation to the other party’s reaction, and usually at this point the Authority holds a hearing where both parties are present. A decision may also be delivered without a hearing, but under Article 16 of the ETA, this is an exceptional possibility.</w:t>
      </w:r>
      <w:r w:rsidR="007B7640" w:rsidRPr="00CD59CC">
        <w:rPr>
          <w:rFonts w:ascii="Arial" w:hAnsi="Arial" w:cs="Arial"/>
        </w:rPr>
        <w:t xml:space="preserve"> </w:t>
      </w:r>
      <w:r w:rsidRPr="00CD59CC">
        <w:rPr>
          <w:rFonts w:ascii="Arial" w:hAnsi="Arial" w:cs="Arial"/>
        </w:rPr>
        <w:t xml:space="preserve"> </w:t>
      </w:r>
    </w:p>
    <w:p w14:paraId="2C7CCDEC" w14:textId="77777777" w:rsidR="0039702F" w:rsidRPr="00CD59CC" w:rsidRDefault="0039702F" w:rsidP="00CD59CC">
      <w:pPr>
        <w:pStyle w:val="BodyText"/>
        <w:ind w:left="567" w:hanging="567"/>
        <w:rPr>
          <w:rFonts w:ascii="Arial" w:hAnsi="Arial" w:cs="Arial"/>
          <w:i w:val="0"/>
          <w:lang w:val="en-GB"/>
        </w:rPr>
      </w:pPr>
    </w:p>
    <w:p w14:paraId="4AF498E5" w14:textId="77777777" w:rsidR="0039702F" w:rsidRDefault="0039702F" w:rsidP="00CD59CC">
      <w:pPr>
        <w:pStyle w:val="BodyText"/>
        <w:rPr>
          <w:rFonts w:ascii="Arial" w:hAnsi="Arial" w:cs="Arial"/>
          <w:i w:val="0"/>
          <w:lang w:val="en-GB"/>
        </w:rPr>
      </w:pPr>
      <w:r w:rsidRPr="00CD59CC">
        <w:rPr>
          <w:rFonts w:ascii="Arial" w:hAnsi="Arial" w:cs="Arial"/>
          <w:i w:val="0"/>
          <w:lang w:val="en-GB"/>
        </w:rPr>
        <w:t xml:space="preserve">The Authority is obliged by law to fully discover and establish the facts of the case, so it does not only rely on evidence put forth by the parties. It may resort to different sources of evidence, witnesses, documents and expert opinions being the most frequently applied methods. </w:t>
      </w:r>
    </w:p>
    <w:p w14:paraId="3E525ABF" w14:textId="77777777" w:rsidR="00DA0744" w:rsidRPr="00CD59CC" w:rsidRDefault="00DA0744" w:rsidP="00CD59CC">
      <w:pPr>
        <w:pStyle w:val="BodyText"/>
        <w:rPr>
          <w:rFonts w:ascii="Arial" w:hAnsi="Arial" w:cs="Arial"/>
          <w:i w:val="0"/>
          <w:lang w:val="en-GB"/>
        </w:rPr>
      </w:pPr>
    </w:p>
    <w:p w14:paraId="541201D7" w14:textId="42DF5348" w:rsidR="0039702F" w:rsidRPr="00CD59CC" w:rsidRDefault="0039702F" w:rsidP="00CD59CC">
      <w:pPr>
        <w:pStyle w:val="BodyText"/>
        <w:rPr>
          <w:rFonts w:ascii="Arial" w:hAnsi="Arial" w:cs="Arial"/>
          <w:i w:val="0"/>
          <w:lang w:val="en-GB"/>
        </w:rPr>
      </w:pPr>
      <w:r w:rsidRPr="00CD59CC">
        <w:rPr>
          <w:rFonts w:ascii="Arial" w:hAnsi="Arial" w:cs="Arial"/>
          <w:i w:val="0"/>
          <w:lang w:val="en-GB"/>
        </w:rPr>
        <w:t xml:space="preserve">Based on the results of the proceeding, the Authority delivers a decision. Under Article 17/A of the ETA, if the Authority has established that the provisions ensuring the principle of equal treatment have been violated, it may a) order that the situation constituting a violation of law be terminated; b) prohibit the future continuation of the conduct constituting a violation of law, c) order that its decision establishing the violation of law be published, d) impose a fine, e) apply a sanction determined in a special act. </w:t>
      </w:r>
    </w:p>
    <w:p w14:paraId="51DD8665" w14:textId="77777777" w:rsidR="0039702F" w:rsidRPr="00CD59CC" w:rsidRDefault="0039702F" w:rsidP="00CD59CC">
      <w:pPr>
        <w:pStyle w:val="BodyText"/>
        <w:rPr>
          <w:rFonts w:ascii="Arial" w:hAnsi="Arial" w:cs="Arial"/>
          <w:i w:val="0"/>
          <w:lang w:val="en-GB"/>
        </w:rPr>
      </w:pPr>
    </w:p>
    <w:p w14:paraId="3A79C31C" w14:textId="0C8AD796" w:rsidR="0039702F" w:rsidRPr="00CD59CC" w:rsidRDefault="0039702F" w:rsidP="00BB4E9F">
      <w:pPr>
        <w:pStyle w:val="Fszveg"/>
        <w:autoSpaceDE/>
        <w:autoSpaceDN w:val="0"/>
        <w:spacing w:line="240" w:lineRule="auto"/>
        <w:jc w:val="left"/>
        <w:rPr>
          <w:rFonts w:ascii="Arial" w:hAnsi="Arial" w:cs="Arial"/>
          <w:sz w:val="24"/>
          <w:szCs w:val="24"/>
          <w:lang w:val="en-GB"/>
        </w:rPr>
      </w:pPr>
      <w:r w:rsidRPr="00CD59CC">
        <w:rPr>
          <w:rFonts w:ascii="Arial" w:hAnsi="Arial" w:cs="Arial"/>
          <w:sz w:val="24"/>
          <w:szCs w:val="24"/>
          <w:lang w:val="en-GB"/>
        </w:rPr>
        <w:lastRenderedPageBreak/>
        <w:t xml:space="preserve">Paragraph (3) prescribes that the legal consequences set out in Paragraph (1) shall be determined taking into consideration all circumstances of the case, with particular regard to those who have been affected by the violation of law, the consequences of the violation of law, the duration of the situation constituting a violation of law, the repeated demonstration of conduct constituting a violation of law and the financial standing of the person or entity committing such a violation. The sanctions can be applied jointly. </w:t>
      </w:r>
    </w:p>
    <w:p w14:paraId="6C3ECAA8" w14:textId="77777777" w:rsidR="0039702F" w:rsidRPr="00CD59CC" w:rsidRDefault="0039702F" w:rsidP="00BB4E9F">
      <w:pPr>
        <w:pStyle w:val="Fszveg"/>
        <w:autoSpaceDE/>
        <w:autoSpaceDN w:val="0"/>
        <w:spacing w:line="240" w:lineRule="auto"/>
        <w:jc w:val="left"/>
        <w:rPr>
          <w:rFonts w:ascii="Arial" w:hAnsi="Arial" w:cs="Arial"/>
          <w:sz w:val="24"/>
          <w:szCs w:val="24"/>
          <w:lang w:val="en-GB"/>
        </w:rPr>
      </w:pPr>
    </w:p>
    <w:p w14:paraId="3FF185CB" w14:textId="457D5495" w:rsidR="0039702F" w:rsidRPr="00CD59CC" w:rsidRDefault="0039702F" w:rsidP="00BB4E9F">
      <w:pPr>
        <w:pStyle w:val="Fszveg"/>
        <w:autoSpaceDE/>
        <w:autoSpaceDN w:val="0"/>
        <w:spacing w:line="240" w:lineRule="auto"/>
        <w:jc w:val="left"/>
        <w:rPr>
          <w:rFonts w:ascii="Arial" w:hAnsi="Arial" w:cs="Arial"/>
          <w:sz w:val="24"/>
          <w:szCs w:val="24"/>
          <w:lang w:val="en-GB"/>
        </w:rPr>
      </w:pPr>
      <w:r w:rsidRPr="00CD59CC">
        <w:rPr>
          <w:rFonts w:ascii="Arial" w:hAnsi="Arial" w:cs="Arial"/>
          <w:sz w:val="24"/>
          <w:szCs w:val="24"/>
          <w:lang w:val="en-GB"/>
        </w:rPr>
        <w:t xml:space="preserve">Under Paragraph (5), the sum of the fine imposed by the Authority can range from HUF 50,000 (EUR 167) to HUF 6,000,000 (EUR 20,000). </w:t>
      </w:r>
    </w:p>
    <w:p w14:paraId="2FA692D7" w14:textId="77777777" w:rsidR="0039702F" w:rsidRPr="00CD59CC" w:rsidRDefault="0039702F" w:rsidP="00BB4E9F">
      <w:pPr>
        <w:pStyle w:val="Fszveg"/>
        <w:autoSpaceDE/>
        <w:autoSpaceDN w:val="0"/>
        <w:spacing w:line="240" w:lineRule="auto"/>
        <w:jc w:val="left"/>
        <w:rPr>
          <w:rFonts w:ascii="Arial" w:hAnsi="Arial" w:cs="Arial"/>
          <w:sz w:val="24"/>
          <w:szCs w:val="24"/>
          <w:lang w:val="en-GB"/>
        </w:rPr>
      </w:pPr>
    </w:p>
    <w:p w14:paraId="245C10A2" w14:textId="7422AFB8" w:rsidR="0039702F" w:rsidRPr="00CD59CC" w:rsidRDefault="0039702F" w:rsidP="00BB4E9F">
      <w:pPr>
        <w:pStyle w:val="Fszveg"/>
        <w:autoSpaceDE/>
        <w:autoSpaceDN w:val="0"/>
        <w:spacing w:line="240" w:lineRule="auto"/>
        <w:jc w:val="left"/>
        <w:rPr>
          <w:rFonts w:ascii="Arial" w:hAnsi="Arial" w:cs="Arial"/>
          <w:sz w:val="24"/>
          <w:szCs w:val="24"/>
          <w:lang w:val="en-GB"/>
        </w:rPr>
      </w:pPr>
      <w:r w:rsidRPr="00CD59CC">
        <w:rPr>
          <w:rFonts w:ascii="Arial" w:hAnsi="Arial" w:cs="Arial"/>
          <w:sz w:val="24"/>
          <w:szCs w:val="24"/>
          <w:lang w:val="en-GB"/>
        </w:rPr>
        <w:t xml:space="preserve">Under Article 17/B, the decision of the Authority may not be appealed within a public administrative procedure, but in accordance with the general rules applicable to public administrative decisions, the judicial review of the Authority’s decision is possible. The lawsuit falls within the scope of authority and exclusive competence of the Metropolitan Administrative and Labour Court. </w:t>
      </w:r>
    </w:p>
    <w:p w14:paraId="7AF6D81C" w14:textId="77777777" w:rsidR="0039702F" w:rsidRPr="00CD59CC" w:rsidRDefault="0039702F" w:rsidP="00BB4E9F">
      <w:pPr>
        <w:pStyle w:val="Fszveg"/>
        <w:autoSpaceDE/>
        <w:autoSpaceDN w:val="0"/>
        <w:spacing w:line="240" w:lineRule="auto"/>
        <w:jc w:val="left"/>
        <w:rPr>
          <w:rFonts w:ascii="Arial" w:hAnsi="Arial" w:cs="Arial"/>
          <w:sz w:val="24"/>
          <w:szCs w:val="24"/>
          <w:lang w:val="en-GB"/>
        </w:rPr>
      </w:pPr>
    </w:p>
    <w:p w14:paraId="6ACDB264" w14:textId="563DF7DF" w:rsidR="0039702F" w:rsidRPr="00CD59CC" w:rsidRDefault="0039702F" w:rsidP="00BB4E9F">
      <w:pPr>
        <w:pStyle w:val="Fszveg"/>
        <w:autoSpaceDE/>
        <w:autoSpaceDN w:val="0"/>
        <w:spacing w:line="240" w:lineRule="auto"/>
        <w:jc w:val="left"/>
        <w:rPr>
          <w:rFonts w:ascii="Arial" w:hAnsi="Arial" w:cs="Arial"/>
          <w:sz w:val="24"/>
          <w:szCs w:val="24"/>
          <w:lang w:val="en-GB"/>
        </w:rPr>
      </w:pPr>
      <w:r w:rsidRPr="00CD59CC">
        <w:rPr>
          <w:rFonts w:ascii="Arial" w:hAnsi="Arial" w:cs="Arial"/>
          <w:sz w:val="24"/>
          <w:szCs w:val="24"/>
          <w:lang w:val="en-GB"/>
        </w:rPr>
        <w:t xml:space="preserve">Under Article 16 of the ETA, the costs of the proceeding are advanced by the Authority and (with regard to its own costs) the respondent. If the complaint is rejected, the complainant is only obliged to pay the procedural costs if he/she has acted in bad faith. </w:t>
      </w:r>
    </w:p>
    <w:p w14:paraId="704188DB" w14:textId="77777777" w:rsidR="0039702F" w:rsidRPr="00CD59CC" w:rsidRDefault="0039702F" w:rsidP="00BB4E9F">
      <w:pPr>
        <w:pStyle w:val="Fszveg"/>
        <w:autoSpaceDE/>
        <w:autoSpaceDN w:val="0"/>
        <w:spacing w:line="240" w:lineRule="auto"/>
        <w:jc w:val="left"/>
        <w:rPr>
          <w:rFonts w:ascii="Arial" w:hAnsi="Arial" w:cs="Arial"/>
          <w:sz w:val="24"/>
          <w:szCs w:val="24"/>
          <w:lang w:val="en-GB"/>
        </w:rPr>
      </w:pPr>
    </w:p>
    <w:p w14:paraId="1D2C345E" w14:textId="77777777" w:rsidR="0039702F" w:rsidRPr="00CD59CC" w:rsidRDefault="0039702F" w:rsidP="00CD59CC">
      <w:pPr>
        <w:rPr>
          <w:rFonts w:ascii="Arial" w:hAnsi="Arial" w:cs="Arial"/>
        </w:rPr>
      </w:pPr>
      <w:r w:rsidRPr="00CD59CC">
        <w:rPr>
          <w:rFonts w:ascii="Arial" w:hAnsi="Arial" w:cs="Arial"/>
        </w:rPr>
        <w:t>In the court phase, the court fee is advanced by the state. If the plaintiff’s (either the complainant or the respondent’s) claim is rejected he/she has to repay both the court fee and the costs of the other party/parties (the Authority as defendant and the other party in the original proceeding as intervener).</w:t>
      </w:r>
    </w:p>
    <w:p w14:paraId="43E1C8E6" w14:textId="77777777" w:rsidR="0039702F" w:rsidRPr="006F0AF2" w:rsidRDefault="0039702F" w:rsidP="00BB4E9F">
      <w:pPr>
        <w:pStyle w:val="ListParagraph"/>
        <w:rPr>
          <w:rFonts w:ascii="Arial" w:hAnsi="Arial"/>
        </w:rPr>
      </w:pPr>
    </w:p>
    <w:p w14:paraId="47E4F5B9" w14:textId="225B0F70" w:rsidR="00E1549E" w:rsidRPr="00CD59CC" w:rsidRDefault="00E1549E" w:rsidP="00CD59CC">
      <w:pPr>
        <w:pStyle w:val="BodyText"/>
        <w:numPr>
          <w:ilvl w:val="0"/>
          <w:numId w:val="24"/>
        </w:numPr>
        <w:ind w:left="567" w:hanging="567"/>
        <w:rPr>
          <w:rFonts w:ascii="Arial" w:hAnsi="Arial" w:cs="Arial"/>
          <w:lang w:val="en-GB"/>
        </w:rPr>
      </w:pPr>
      <w:r w:rsidRPr="00CD59CC">
        <w:rPr>
          <w:rFonts w:ascii="Arial" w:hAnsi="Arial" w:cs="Arial"/>
          <w:lang w:val="en-GB"/>
        </w:rPr>
        <w:t>Does the body register the number of complaints and decisions? (by ground, field, type of discrimination</w:t>
      </w:r>
      <w:r w:rsidR="002D5344" w:rsidRPr="00CD59CC">
        <w:rPr>
          <w:rFonts w:ascii="Arial" w:hAnsi="Arial" w:cs="Arial"/>
          <w:lang w:val="en-GB"/>
        </w:rPr>
        <w:t>, etc.?</w:t>
      </w:r>
      <w:r w:rsidRPr="00CD59CC">
        <w:rPr>
          <w:rFonts w:ascii="Arial" w:hAnsi="Arial" w:cs="Arial"/>
          <w:lang w:val="en-GB"/>
        </w:rPr>
        <w:t>)</w:t>
      </w:r>
      <w:r w:rsidR="002D5344" w:rsidRPr="00CD59CC">
        <w:rPr>
          <w:rFonts w:ascii="Arial" w:hAnsi="Arial" w:cs="Arial"/>
          <w:lang w:val="en-GB"/>
        </w:rPr>
        <w:t xml:space="preserve"> Are these data available to the public?</w:t>
      </w:r>
    </w:p>
    <w:p w14:paraId="35B38FB3" w14:textId="77777777" w:rsidR="002B5BCD" w:rsidRPr="00CD59CC" w:rsidRDefault="002B5BCD" w:rsidP="00CD59CC">
      <w:pPr>
        <w:rPr>
          <w:rFonts w:ascii="Arial" w:hAnsi="Arial" w:cs="Arial"/>
          <w:i/>
        </w:rPr>
      </w:pPr>
    </w:p>
    <w:p w14:paraId="449CA988" w14:textId="77777777" w:rsidR="0039702F" w:rsidRPr="00CD59CC" w:rsidRDefault="0039702F" w:rsidP="00CD59CC">
      <w:pPr>
        <w:rPr>
          <w:rFonts w:ascii="Arial" w:hAnsi="Arial" w:cs="Arial"/>
        </w:rPr>
      </w:pPr>
      <w:r w:rsidRPr="00CD59CC">
        <w:rPr>
          <w:rFonts w:ascii="Arial" w:hAnsi="Arial" w:cs="Arial"/>
        </w:rPr>
        <w:t>Yes, it does. These data are available on the Authority’s website (they are presented in the Authority’s annual report).</w:t>
      </w:r>
    </w:p>
    <w:p w14:paraId="4920A8A3" w14:textId="77777777" w:rsidR="002B5BCD" w:rsidRPr="00CD59CC" w:rsidRDefault="002B5BCD" w:rsidP="00CD59CC">
      <w:pPr>
        <w:rPr>
          <w:rFonts w:ascii="Arial" w:hAnsi="Arial" w:cs="Arial"/>
        </w:rPr>
      </w:pPr>
    </w:p>
    <w:p w14:paraId="04F25414" w14:textId="77777777" w:rsidR="002B5BCD" w:rsidRPr="00CD59CC" w:rsidRDefault="002B5BCD" w:rsidP="00BB4E9F">
      <w:pPr>
        <w:pStyle w:val="BodyText"/>
        <w:numPr>
          <w:ilvl w:val="0"/>
          <w:numId w:val="24"/>
        </w:numPr>
        <w:ind w:left="567" w:hanging="567"/>
        <w:rPr>
          <w:rFonts w:ascii="Arial" w:hAnsi="Arial" w:cs="Arial"/>
          <w:lang w:val="en-GB"/>
        </w:rPr>
      </w:pPr>
      <w:r w:rsidRPr="00CD59CC">
        <w:rPr>
          <w:rFonts w:ascii="Arial" w:hAnsi="Arial" w:cs="Arial"/>
          <w:lang w:val="en-GB"/>
        </w:rPr>
        <w:t>Does the body treat Roma and Travellers as a priority issue? If so, please summarise its approach relating to Roma and Travellers.</w:t>
      </w:r>
    </w:p>
    <w:p w14:paraId="5F903517" w14:textId="77777777" w:rsidR="006410BF" w:rsidRPr="00BB4E9F" w:rsidRDefault="006410BF" w:rsidP="00BB4E9F">
      <w:pPr>
        <w:pStyle w:val="BodyText"/>
        <w:rPr>
          <w:rFonts w:ascii="Arial" w:hAnsi="Arial"/>
          <w:lang w:val="en-GB"/>
        </w:rPr>
      </w:pPr>
    </w:p>
    <w:p w14:paraId="3A51AB8B" w14:textId="77777777" w:rsidR="00BE0CC2" w:rsidRPr="00CD59CC" w:rsidRDefault="00BE0CC2" w:rsidP="00CD59CC">
      <w:pPr>
        <w:rPr>
          <w:rFonts w:ascii="Arial" w:hAnsi="Arial" w:cs="Arial"/>
        </w:rPr>
      </w:pPr>
      <w:r w:rsidRPr="00CD59CC">
        <w:rPr>
          <w:rFonts w:ascii="Arial" w:hAnsi="Arial" w:cs="Arial"/>
        </w:rPr>
        <w:t xml:space="preserve">As was outlined above, the Authority is an administrative decision-making body investigating complaints, delivering decisions on them and imposing sanctions on the perpetrators. Therefore, it does not set its own agenda and priority issues, it acts retroactively – in accordance with the types of complaints addressed to it. Consequently, we may not speak about a consistent approach on the part of the Equal Treatment Authority, though due to the structural characteristics of discrimination in Hungary, a large proportion of its complainants come from the Roma minority (see the quotes from the Authority’s annual reports). </w:t>
      </w:r>
    </w:p>
    <w:p w14:paraId="6A2EB475" w14:textId="1A6C04F8" w:rsidR="00BE0CC2" w:rsidRPr="00CD59CC" w:rsidRDefault="00BE0CC2" w:rsidP="00CD59CC">
      <w:pPr>
        <w:tabs>
          <w:tab w:val="left" w:pos="1500"/>
        </w:tabs>
        <w:rPr>
          <w:rFonts w:ascii="Arial" w:hAnsi="Arial" w:cs="Arial"/>
        </w:rPr>
      </w:pPr>
    </w:p>
    <w:p w14:paraId="1CCDD8DA" w14:textId="77777777" w:rsidR="00BE0CC2" w:rsidRPr="00CD59CC" w:rsidRDefault="00BE0CC2" w:rsidP="00CD59CC">
      <w:pPr>
        <w:rPr>
          <w:rFonts w:ascii="Arial" w:hAnsi="Arial" w:cs="Arial"/>
        </w:rPr>
      </w:pPr>
      <w:r w:rsidRPr="00CD59CC">
        <w:rPr>
          <w:rFonts w:ascii="Arial" w:hAnsi="Arial" w:cs="Arial"/>
        </w:rPr>
        <w:lastRenderedPageBreak/>
        <w:t>Furthermore, the researches mentioned under point d) focused greatly on the situation of the Roma in the labour market, which demonstrates that the Authority is aware of the special situation of the Roma.</w:t>
      </w:r>
    </w:p>
    <w:p w14:paraId="786C6AF5" w14:textId="77777777" w:rsidR="002B5BCD" w:rsidRPr="00CD59CC" w:rsidRDefault="006F754F" w:rsidP="00CD59CC">
      <w:pPr>
        <w:pStyle w:val="Heading1"/>
        <w:rPr>
          <w:rFonts w:cs="Arial"/>
        </w:rPr>
      </w:pPr>
      <w:r w:rsidRPr="00BB4E9F">
        <w:rPr>
          <w:lang w:val="en-GB"/>
        </w:rPr>
        <w:br w:type="page"/>
      </w:r>
      <w:bookmarkStart w:id="315" w:name="_Toc220221184"/>
      <w:bookmarkStart w:id="316" w:name="_Toc392758754"/>
      <w:bookmarkStart w:id="317" w:name="_Toc329163646"/>
      <w:bookmarkStart w:id="318" w:name="_Toc366846364"/>
      <w:r w:rsidR="002B5BCD" w:rsidRPr="00CD59CC">
        <w:rPr>
          <w:rFonts w:cs="Arial"/>
        </w:rPr>
        <w:lastRenderedPageBreak/>
        <w:t>IMPLEMENTATION ISSUES</w:t>
      </w:r>
      <w:bookmarkEnd w:id="315"/>
      <w:bookmarkEnd w:id="316"/>
      <w:bookmarkEnd w:id="317"/>
      <w:bookmarkEnd w:id="318"/>
      <w:r w:rsidR="002B5BCD" w:rsidRPr="00CD59CC">
        <w:rPr>
          <w:rFonts w:cs="Arial"/>
        </w:rPr>
        <w:t xml:space="preserve"> </w:t>
      </w:r>
    </w:p>
    <w:p w14:paraId="72503D66" w14:textId="3D076A4C" w:rsidR="002B5BCD" w:rsidRPr="00CD59CC" w:rsidRDefault="002B5BCD" w:rsidP="00CD59CC">
      <w:pPr>
        <w:rPr>
          <w:rFonts w:ascii="Arial" w:eastAsia="Arial Unicode MS" w:hAnsi="Arial" w:cs="Arial"/>
        </w:rPr>
      </w:pPr>
    </w:p>
    <w:p w14:paraId="0B5070C3" w14:textId="77777777" w:rsidR="002B5BCD" w:rsidRPr="00CD59CC" w:rsidRDefault="002B5BCD" w:rsidP="00CD59CC">
      <w:pPr>
        <w:pStyle w:val="Heading2"/>
        <w:rPr>
          <w:rFonts w:cs="Arial"/>
        </w:rPr>
      </w:pPr>
      <w:bookmarkStart w:id="319" w:name="_Toc220221185"/>
      <w:r w:rsidRPr="00CD59CC">
        <w:rPr>
          <w:rFonts w:cs="Arial"/>
        </w:rPr>
        <w:tab/>
      </w:r>
      <w:bookmarkStart w:id="320" w:name="_Toc392758755"/>
      <w:bookmarkStart w:id="321" w:name="_Toc329163647"/>
      <w:bookmarkStart w:id="322" w:name="_Toc366846365"/>
      <w:r w:rsidRPr="00CD59CC">
        <w:rPr>
          <w:rFonts w:cs="Arial"/>
        </w:rPr>
        <w:t>Dissemination of information, dialogue with NGOs and between social partners</w:t>
      </w:r>
      <w:bookmarkEnd w:id="319"/>
      <w:bookmarkEnd w:id="320"/>
      <w:bookmarkEnd w:id="321"/>
      <w:bookmarkEnd w:id="322"/>
    </w:p>
    <w:p w14:paraId="2802A250" w14:textId="77777777" w:rsidR="002B5BCD" w:rsidRPr="00CD59CC" w:rsidRDefault="002B5BCD" w:rsidP="00CD59CC">
      <w:pPr>
        <w:rPr>
          <w:rFonts w:ascii="Arial" w:hAnsi="Arial" w:cs="Arial"/>
        </w:rPr>
      </w:pPr>
    </w:p>
    <w:p w14:paraId="081996C1" w14:textId="77777777" w:rsidR="002B5BCD" w:rsidRPr="00CD59CC" w:rsidRDefault="002B5BCD" w:rsidP="00CD59CC">
      <w:pPr>
        <w:rPr>
          <w:rFonts w:ascii="Arial" w:hAnsi="Arial" w:cs="Arial"/>
          <w:i/>
        </w:rPr>
      </w:pPr>
      <w:r w:rsidRPr="00CD59CC">
        <w:rPr>
          <w:rFonts w:ascii="Arial" w:hAnsi="Arial" w:cs="Arial"/>
          <w:i/>
        </w:rPr>
        <w:t xml:space="preserve">Describe </w:t>
      </w:r>
      <w:r w:rsidRPr="00CD59CC">
        <w:rPr>
          <w:rFonts w:ascii="Arial" w:hAnsi="Arial" w:cs="Arial"/>
          <w:i/>
          <w:u w:val="single"/>
        </w:rPr>
        <w:t>briefly</w:t>
      </w:r>
      <w:r w:rsidRPr="00CD59CC">
        <w:rPr>
          <w:rFonts w:ascii="Arial" w:hAnsi="Arial" w:cs="Arial"/>
          <w:i/>
        </w:rPr>
        <w:t xml:space="preserve"> the action taken by the Member State </w:t>
      </w:r>
    </w:p>
    <w:p w14:paraId="58B92CB9" w14:textId="77777777" w:rsidR="002B5BCD" w:rsidRPr="00CD59CC" w:rsidRDefault="002B5BCD" w:rsidP="00CD59CC">
      <w:pPr>
        <w:rPr>
          <w:rFonts w:ascii="Arial" w:hAnsi="Arial" w:cs="Arial"/>
          <w:i/>
        </w:rPr>
      </w:pPr>
    </w:p>
    <w:p w14:paraId="52F5A167" w14:textId="77777777" w:rsidR="002B5BCD" w:rsidRPr="00CD59CC" w:rsidRDefault="002B5BCD" w:rsidP="00CD59CC">
      <w:pPr>
        <w:numPr>
          <w:ilvl w:val="0"/>
          <w:numId w:val="25"/>
        </w:numPr>
        <w:ind w:left="567" w:hanging="567"/>
        <w:rPr>
          <w:rFonts w:ascii="Arial" w:hAnsi="Arial" w:cs="Arial"/>
          <w:i/>
        </w:rPr>
      </w:pPr>
      <w:r w:rsidRPr="00CD59CC">
        <w:rPr>
          <w:rFonts w:ascii="Arial" w:hAnsi="Arial" w:cs="Arial"/>
          <w:i/>
        </w:rPr>
        <w:t xml:space="preserve">to disseminate information about legal protection against discrimination (Article 10 Directive 2000/43 and Article 12 Directive 2000/78) </w:t>
      </w:r>
    </w:p>
    <w:p w14:paraId="343DD159" w14:textId="77777777" w:rsidR="002B5BCD" w:rsidRPr="00CD59CC" w:rsidRDefault="002B5BCD" w:rsidP="00CD59CC">
      <w:pPr>
        <w:ind w:left="567" w:hanging="567"/>
        <w:rPr>
          <w:rFonts w:ascii="Arial" w:hAnsi="Arial" w:cs="Arial"/>
        </w:rPr>
      </w:pPr>
    </w:p>
    <w:p w14:paraId="42951082" w14:textId="6085B508" w:rsidR="005F3EF3" w:rsidRPr="00CD59CC" w:rsidRDefault="005F3EF3" w:rsidP="00CD59CC">
      <w:pPr>
        <w:rPr>
          <w:rFonts w:ascii="Arial" w:hAnsi="Arial" w:cs="Arial"/>
        </w:rPr>
      </w:pPr>
      <w:r w:rsidRPr="00CD59CC">
        <w:rPr>
          <w:rFonts w:ascii="Arial" w:hAnsi="Arial" w:cs="Arial"/>
        </w:rPr>
        <w:t xml:space="preserve">Since it was established, the Authority – which as a governmental agency is working under the supervision of the Government – has been active in disseminating information about the legal protection against discrimination. The President and staff of the Authority have been open towards initiatives aimed at informing the wider public about the Authority’s work as well as the possible remedies available for victims of discriminatory acts. </w:t>
      </w:r>
    </w:p>
    <w:p w14:paraId="6BA72883" w14:textId="77777777" w:rsidR="005F3EF3" w:rsidRPr="00CD59CC" w:rsidRDefault="005F3EF3" w:rsidP="00CD59CC">
      <w:pPr>
        <w:rPr>
          <w:rFonts w:ascii="Arial" w:hAnsi="Arial" w:cs="Arial"/>
        </w:rPr>
      </w:pPr>
    </w:p>
    <w:p w14:paraId="06CA08E7" w14:textId="77777777" w:rsidR="005F3EF3" w:rsidRPr="00CD59CC" w:rsidRDefault="005F3EF3" w:rsidP="00CD59CC">
      <w:pPr>
        <w:rPr>
          <w:rFonts w:ascii="Arial" w:hAnsi="Arial" w:cs="Arial"/>
        </w:rPr>
      </w:pPr>
      <w:r w:rsidRPr="00CD59CC">
        <w:rPr>
          <w:rFonts w:ascii="Arial" w:hAnsi="Arial" w:cs="Arial"/>
        </w:rPr>
        <w:t xml:space="preserve">The Authority’s website (www.egyenlobanasmod.hu) contains a lot of information, including the relevant legislation, a brief and clearly formulated description of the Authority’s scope of competence and the Authority’s case law. </w:t>
      </w:r>
    </w:p>
    <w:p w14:paraId="0FC43B32" w14:textId="77777777" w:rsidR="005F3EF3" w:rsidRPr="00CD59CC" w:rsidRDefault="005F3EF3" w:rsidP="00CD59CC">
      <w:pPr>
        <w:rPr>
          <w:rFonts w:ascii="Arial" w:hAnsi="Arial" w:cs="Arial"/>
        </w:rPr>
      </w:pPr>
    </w:p>
    <w:p w14:paraId="761FA642" w14:textId="047EE26E" w:rsidR="005F3EF3" w:rsidRPr="00CD59CC" w:rsidRDefault="005F3EF3" w:rsidP="00CD59CC">
      <w:pPr>
        <w:rPr>
          <w:rFonts w:ascii="Arial" w:hAnsi="Arial" w:cs="Arial"/>
        </w:rPr>
      </w:pPr>
      <w:r w:rsidRPr="00CD59CC">
        <w:rPr>
          <w:rFonts w:ascii="Arial" w:hAnsi="Arial" w:cs="Arial"/>
        </w:rPr>
        <w:t xml:space="preserve">Mention has to be made of a grant provided to the Authority with the aim of enhancing its effectiveness and accessibility in the framework of the so-called Social Renewal Operative </w:t>
      </w:r>
      <w:r w:rsidR="007B7640" w:rsidRPr="00CD59CC">
        <w:rPr>
          <w:rFonts w:ascii="Arial" w:hAnsi="Arial" w:cs="Arial"/>
        </w:rPr>
        <w:t xml:space="preserve">Programme </w:t>
      </w:r>
      <w:r w:rsidRPr="00CD59CC">
        <w:rPr>
          <w:rFonts w:ascii="Arial" w:hAnsi="Arial" w:cs="Arial"/>
        </w:rPr>
        <w:t>5.5.5 (hereafter: TÁMOP project). The TÁMOP project is financed by the European Social Fund and the Hungarian State, it lasts for 46 months, and was started in 2009.</w:t>
      </w:r>
      <w:r w:rsidRPr="00CD59CC">
        <w:rPr>
          <w:rStyle w:val="FootnoteReference"/>
          <w:rFonts w:ascii="Arial" w:hAnsi="Arial" w:cs="Arial"/>
        </w:rPr>
        <w:footnoteReference w:id="124"/>
      </w:r>
      <w:r w:rsidRPr="00CD59CC">
        <w:rPr>
          <w:rFonts w:ascii="Arial" w:hAnsi="Arial" w:cs="Arial"/>
        </w:rPr>
        <w:t xml:space="preserve"> The total TÁMOP project budget is HUF 911 million (EUR 3,036,670). </w:t>
      </w:r>
    </w:p>
    <w:p w14:paraId="373A1B8D" w14:textId="77777777" w:rsidR="005F3EF3" w:rsidRPr="00CD59CC" w:rsidRDefault="005F3EF3" w:rsidP="00CD59CC">
      <w:pPr>
        <w:rPr>
          <w:rFonts w:ascii="Arial" w:hAnsi="Arial" w:cs="Arial"/>
        </w:rPr>
      </w:pPr>
    </w:p>
    <w:p w14:paraId="4B3FC784" w14:textId="77777777" w:rsidR="005F3EF3" w:rsidRPr="00CD59CC" w:rsidRDefault="005F3EF3" w:rsidP="00CD59CC">
      <w:pPr>
        <w:rPr>
          <w:rFonts w:ascii="Arial" w:hAnsi="Arial" w:cs="Arial"/>
        </w:rPr>
      </w:pPr>
      <w:r w:rsidRPr="00CD59CC">
        <w:rPr>
          <w:rFonts w:ascii="Arial" w:hAnsi="Arial" w:cs="Arial"/>
        </w:rPr>
        <w:t>As the first element of the project, an equal treatment referee system was established in September 2009. The 20 referees (lawyers, attorneys at law) are seated in the so-called Houses of Opportunities (a regional equal opportunities network) in every county and in the capital. They are forwarding discrimination complaints, provide assistance to the complainants in formulating their petitions and operate as a kind of filtering system. In 2010, 1226 complainants were served by the system,</w:t>
      </w:r>
      <w:r w:rsidRPr="00CD59CC">
        <w:rPr>
          <w:rStyle w:val="FootnoteReference"/>
          <w:rFonts w:ascii="Arial" w:hAnsi="Arial" w:cs="Arial"/>
        </w:rPr>
        <w:footnoteReference w:id="125"/>
      </w:r>
      <w:r w:rsidRPr="00CD59CC">
        <w:rPr>
          <w:rFonts w:ascii="Arial" w:hAnsi="Arial" w:cs="Arial"/>
        </w:rPr>
        <w:t xml:space="preserve"> whereas in 2011, 2,936 persons turned to the referees for assistance.</w:t>
      </w:r>
      <w:r w:rsidRPr="00CD59CC">
        <w:rPr>
          <w:rStyle w:val="FootnoteReference"/>
          <w:rFonts w:ascii="Arial" w:hAnsi="Arial" w:cs="Arial"/>
        </w:rPr>
        <w:footnoteReference w:id="126"/>
      </w:r>
      <w:r w:rsidRPr="00CD59CC">
        <w:rPr>
          <w:rFonts w:ascii="Arial" w:hAnsi="Arial" w:cs="Arial"/>
        </w:rPr>
        <w:t xml:space="preserve"> In 2013, the referee system served 2730 clients and forwarded 173 complaints to the Authority.</w:t>
      </w:r>
      <w:r w:rsidRPr="00CD59CC">
        <w:rPr>
          <w:rStyle w:val="FootnoteReference"/>
          <w:rFonts w:ascii="Arial" w:hAnsi="Arial" w:cs="Arial"/>
        </w:rPr>
        <w:footnoteReference w:id="127"/>
      </w:r>
      <w:r w:rsidRPr="00CD59CC">
        <w:rPr>
          <w:rFonts w:ascii="Arial" w:hAnsi="Arial" w:cs="Arial"/>
        </w:rPr>
        <w:t xml:space="preserve"> </w:t>
      </w:r>
    </w:p>
    <w:p w14:paraId="68D5DDE1" w14:textId="77777777" w:rsidR="005F3EF3" w:rsidRPr="00CD59CC" w:rsidRDefault="005F3EF3" w:rsidP="00CD59CC">
      <w:pPr>
        <w:rPr>
          <w:rFonts w:ascii="Arial" w:hAnsi="Arial" w:cs="Arial"/>
        </w:rPr>
      </w:pPr>
    </w:p>
    <w:p w14:paraId="6FADF327" w14:textId="77777777" w:rsidR="005F3EF3" w:rsidRPr="00CD59CC" w:rsidRDefault="005F3EF3" w:rsidP="00CD59CC">
      <w:pPr>
        <w:rPr>
          <w:rFonts w:ascii="Arial" w:hAnsi="Arial" w:cs="Arial"/>
        </w:rPr>
      </w:pPr>
      <w:r w:rsidRPr="00CD59CC">
        <w:rPr>
          <w:rFonts w:ascii="Arial" w:hAnsi="Arial" w:cs="Arial"/>
        </w:rPr>
        <w:t xml:space="preserve">The TÁMOP project consists of three further elements. The first element is a series of campaigns, aimed at sensitising the general public. </w:t>
      </w:r>
    </w:p>
    <w:p w14:paraId="22581B5E" w14:textId="77777777" w:rsidR="005F3EF3" w:rsidRPr="00CD59CC" w:rsidRDefault="005F3EF3" w:rsidP="00CD59CC">
      <w:pPr>
        <w:rPr>
          <w:rFonts w:ascii="Arial" w:hAnsi="Arial" w:cs="Arial"/>
        </w:rPr>
      </w:pPr>
      <w:r w:rsidRPr="00CD59CC">
        <w:rPr>
          <w:rFonts w:ascii="Arial" w:hAnsi="Arial" w:cs="Arial"/>
        </w:rPr>
        <w:lastRenderedPageBreak/>
        <w:t>The second element consists of trainings held by the Authority for teachers, social workers and the media, combined with workshops with NGOs and public administration staff members. A training module has been developed and by the end of 2010, 152 persons,</w:t>
      </w:r>
      <w:r w:rsidRPr="00CD59CC">
        <w:rPr>
          <w:rStyle w:val="FootnoteReference"/>
          <w:rFonts w:ascii="Arial" w:hAnsi="Arial" w:cs="Arial"/>
        </w:rPr>
        <w:footnoteReference w:id="128"/>
      </w:r>
      <w:r w:rsidRPr="00CD59CC">
        <w:rPr>
          <w:rFonts w:ascii="Arial" w:hAnsi="Arial" w:cs="Arial"/>
        </w:rPr>
        <w:t xml:space="preserve"> in 2011 another 463,</w:t>
      </w:r>
      <w:r w:rsidRPr="00CD59CC">
        <w:rPr>
          <w:rStyle w:val="FootnoteReference"/>
          <w:rFonts w:ascii="Arial" w:hAnsi="Arial" w:cs="Arial"/>
        </w:rPr>
        <w:footnoteReference w:id="129"/>
      </w:r>
      <w:r w:rsidRPr="00CD59CC">
        <w:rPr>
          <w:rFonts w:ascii="Arial" w:hAnsi="Arial" w:cs="Arial"/>
        </w:rPr>
        <w:t xml:space="preserve"> in 2012 196</w:t>
      </w:r>
      <w:r w:rsidRPr="00CD59CC">
        <w:rPr>
          <w:rStyle w:val="FootnoteReference"/>
          <w:rFonts w:ascii="Arial" w:hAnsi="Arial" w:cs="Arial"/>
        </w:rPr>
        <w:footnoteReference w:id="130"/>
      </w:r>
      <w:r w:rsidRPr="00CD59CC">
        <w:rPr>
          <w:rFonts w:ascii="Arial" w:hAnsi="Arial" w:cs="Arial"/>
        </w:rPr>
        <w:t xml:space="preserve"> persons accomplished the Authority’s training, which is a combination of sensitisation and legal knowledge transfer. The series of trainings ended in </w:t>
      </w:r>
      <w:r w:rsidR="00367A10" w:rsidRPr="00CD59CC">
        <w:rPr>
          <w:rFonts w:ascii="Arial" w:hAnsi="Arial" w:cs="Arial"/>
        </w:rPr>
        <w:t>March 2014</w:t>
      </w:r>
      <w:r w:rsidRPr="00CD59CC">
        <w:rPr>
          <w:rFonts w:ascii="Arial" w:hAnsi="Arial" w:cs="Arial"/>
        </w:rPr>
        <w:t xml:space="preserve">, numbers concerning the year 2013 are not available yet. </w:t>
      </w:r>
    </w:p>
    <w:p w14:paraId="291EA2D1" w14:textId="77777777" w:rsidR="005F3EF3" w:rsidRPr="00CD59CC" w:rsidRDefault="005F3EF3" w:rsidP="00CD59CC">
      <w:pPr>
        <w:rPr>
          <w:rFonts w:ascii="Arial" w:hAnsi="Arial" w:cs="Arial"/>
        </w:rPr>
      </w:pPr>
    </w:p>
    <w:p w14:paraId="1758F236" w14:textId="12C1465E" w:rsidR="005F3EF3" w:rsidRPr="00CD59CC" w:rsidRDefault="005F3EF3" w:rsidP="00CD59CC">
      <w:pPr>
        <w:rPr>
          <w:rFonts w:ascii="Arial" w:hAnsi="Arial" w:cs="Arial"/>
        </w:rPr>
      </w:pPr>
      <w:r w:rsidRPr="00CD59CC">
        <w:rPr>
          <w:rFonts w:ascii="Arial" w:hAnsi="Arial" w:cs="Arial"/>
        </w:rPr>
        <w:t xml:space="preserve">As it was also mentioned above, seven researches and a final study constitutes the third element of the project: four researches have dealt with discrimination in the field of employment, one has analysed clients’ awareness of their rights and the remaining two have looked into discriminatory practices within the system of public administration. In the framework of the project surveys have been and will be conducted testing the social attitudes towards non-discrimination and diversity. </w:t>
      </w:r>
    </w:p>
    <w:p w14:paraId="4A50C3A1" w14:textId="77777777" w:rsidR="005F3EF3" w:rsidRPr="00CD59CC" w:rsidRDefault="005F3EF3" w:rsidP="00CD59CC">
      <w:pPr>
        <w:rPr>
          <w:rFonts w:ascii="Arial" w:hAnsi="Arial" w:cs="Arial"/>
        </w:rPr>
      </w:pPr>
    </w:p>
    <w:p w14:paraId="176DD24E" w14:textId="77777777" w:rsidR="005F3EF3" w:rsidRPr="00CD59CC" w:rsidRDefault="005F3EF3" w:rsidP="00CD59CC">
      <w:pPr>
        <w:rPr>
          <w:rFonts w:ascii="Arial" w:hAnsi="Arial" w:cs="Arial"/>
        </w:rPr>
      </w:pPr>
      <w:r w:rsidRPr="00CD59CC">
        <w:rPr>
          <w:rFonts w:ascii="Arial" w:hAnsi="Arial" w:cs="Arial"/>
        </w:rPr>
        <w:t>The project also contains a travelling exhibition of works of young people related to the issue of non-discrimination. The exhibition’s aim is to raise the awareness of youth about this problem.</w:t>
      </w:r>
      <w:r w:rsidRPr="00CD59CC">
        <w:rPr>
          <w:rStyle w:val="FootnoteReference"/>
          <w:rFonts w:ascii="Arial" w:hAnsi="Arial" w:cs="Arial"/>
        </w:rPr>
        <w:footnoteReference w:id="131"/>
      </w:r>
    </w:p>
    <w:p w14:paraId="6B29B381" w14:textId="77777777" w:rsidR="005F3EF3" w:rsidRPr="00CD59CC" w:rsidRDefault="005F3EF3" w:rsidP="00CD59CC">
      <w:pPr>
        <w:ind w:left="567" w:hanging="567"/>
        <w:rPr>
          <w:rFonts w:ascii="Arial" w:hAnsi="Arial" w:cs="Arial"/>
        </w:rPr>
      </w:pPr>
    </w:p>
    <w:p w14:paraId="39D84C68" w14:textId="77777777" w:rsidR="002B5BCD" w:rsidRPr="00CD59CC" w:rsidRDefault="002B5BCD" w:rsidP="00CD59CC">
      <w:pPr>
        <w:numPr>
          <w:ilvl w:val="0"/>
          <w:numId w:val="25"/>
        </w:numPr>
        <w:ind w:left="567" w:hanging="567"/>
        <w:rPr>
          <w:rFonts w:ascii="Arial" w:hAnsi="Arial" w:cs="Arial"/>
          <w:i/>
        </w:rPr>
      </w:pPr>
      <w:r w:rsidRPr="00CD59CC">
        <w:rPr>
          <w:rFonts w:ascii="Arial" w:hAnsi="Arial" w:cs="Arial"/>
          <w:i/>
        </w:rPr>
        <w:t>to encourage dialogue with NGOs with a view to promoting the principle of equal treatment (Article 12 Directive 2000/43 and Article 14 Directive 2000/78) and</w:t>
      </w:r>
    </w:p>
    <w:p w14:paraId="39F80507" w14:textId="77777777" w:rsidR="002B5BCD" w:rsidRPr="00CD59CC" w:rsidRDefault="002B5BCD" w:rsidP="00CD59CC">
      <w:pPr>
        <w:ind w:left="567" w:hanging="567"/>
        <w:rPr>
          <w:rFonts w:ascii="Arial" w:hAnsi="Arial" w:cs="Arial"/>
        </w:rPr>
      </w:pPr>
    </w:p>
    <w:p w14:paraId="7AE5AFD0" w14:textId="77777777" w:rsidR="005F3EF3" w:rsidRPr="00CD59CC" w:rsidRDefault="005F3EF3" w:rsidP="00CD59CC">
      <w:pPr>
        <w:rPr>
          <w:rFonts w:ascii="Arial" w:hAnsi="Arial" w:cs="Arial"/>
        </w:rPr>
      </w:pPr>
      <w:r w:rsidRPr="00CD59CC">
        <w:rPr>
          <w:rFonts w:ascii="Arial" w:hAnsi="Arial" w:cs="Arial"/>
        </w:rPr>
        <w:t xml:space="preserve">The Authority has been quite active in dialogue with NGOs as well. Its President and other staff members have participated in several NGO forums and trainings disseminating information about the Authority’s work and practices, and trying to establish contacts with NGO representatives. </w:t>
      </w:r>
    </w:p>
    <w:p w14:paraId="5896A956" w14:textId="77777777" w:rsidR="005F3EF3" w:rsidRPr="00CD59CC" w:rsidRDefault="005F3EF3" w:rsidP="00CD59CC">
      <w:pPr>
        <w:ind w:left="567" w:hanging="567"/>
        <w:rPr>
          <w:rFonts w:ascii="Arial" w:hAnsi="Arial" w:cs="Arial"/>
        </w:rPr>
      </w:pPr>
    </w:p>
    <w:p w14:paraId="26EB1BF0" w14:textId="1BB544AA" w:rsidR="005F3EF3" w:rsidRPr="00CD59CC" w:rsidRDefault="005F3EF3" w:rsidP="00CD59CC">
      <w:pPr>
        <w:tabs>
          <w:tab w:val="left" w:pos="0"/>
        </w:tabs>
        <w:rPr>
          <w:rFonts w:ascii="Arial" w:hAnsi="Arial" w:cs="Arial"/>
        </w:rPr>
      </w:pPr>
      <w:r w:rsidRPr="00CD59CC">
        <w:rPr>
          <w:rFonts w:ascii="Arial" w:hAnsi="Arial" w:cs="Arial"/>
        </w:rPr>
        <w:t xml:space="preserve">NGO activists have participated in significant numbers in the training </w:t>
      </w:r>
      <w:r w:rsidR="007B7640" w:rsidRPr="00CD59CC">
        <w:rPr>
          <w:rFonts w:ascii="Arial" w:hAnsi="Arial" w:cs="Arial"/>
        </w:rPr>
        <w:t xml:space="preserve">programme </w:t>
      </w:r>
      <w:r w:rsidRPr="00CD59CC">
        <w:rPr>
          <w:rFonts w:ascii="Arial" w:hAnsi="Arial" w:cs="Arial"/>
        </w:rPr>
        <w:t>described above under point a).</w:t>
      </w:r>
    </w:p>
    <w:p w14:paraId="249B9BE8" w14:textId="77777777" w:rsidR="005F3EF3" w:rsidRPr="00CD59CC" w:rsidRDefault="005F3EF3" w:rsidP="00CD59CC">
      <w:pPr>
        <w:ind w:left="567" w:hanging="567"/>
        <w:rPr>
          <w:rFonts w:ascii="Arial" w:hAnsi="Arial" w:cs="Arial"/>
        </w:rPr>
      </w:pPr>
    </w:p>
    <w:p w14:paraId="00B8E555" w14:textId="77777777" w:rsidR="002B5BCD" w:rsidRPr="00CD59CC" w:rsidRDefault="002B5BCD" w:rsidP="00CD59CC">
      <w:pPr>
        <w:numPr>
          <w:ilvl w:val="0"/>
          <w:numId w:val="25"/>
        </w:numPr>
        <w:ind w:left="567" w:hanging="567"/>
        <w:rPr>
          <w:rFonts w:ascii="Arial" w:hAnsi="Arial" w:cs="Arial"/>
          <w:i/>
        </w:rPr>
      </w:pPr>
      <w:r w:rsidRPr="00CD59CC">
        <w:rPr>
          <w:rFonts w:ascii="Arial" w:hAnsi="Arial" w:cs="Arial"/>
          <w:i/>
        </w:rPr>
        <w:t>to promote dialogue between social partners to give effect to the principle of equal treatment within workplace practices, codes of practice, workforce monitoring (Article 11 Directive 2000/43 and Article 13 Directive 2000/78)</w:t>
      </w:r>
    </w:p>
    <w:p w14:paraId="50429D62" w14:textId="77777777" w:rsidR="002B5BCD" w:rsidRPr="00CD59CC" w:rsidRDefault="002B5BCD" w:rsidP="00CD59CC">
      <w:pPr>
        <w:ind w:left="567" w:hanging="567"/>
        <w:rPr>
          <w:rFonts w:ascii="Arial" w:hAnsi="Arial" w:cs="Arial"/>
        </w:rPr>
      </w:pPr>
    </w:p>
    <w:p w14:paraId="269C9896" w14:textId="1417F04C" w:rsidR="00206FFB" w:rsidRPr="00CD59CC" w:rsidRDefault="00206FFB" w:rsidP="00CD59CC">
      <w:pPr>
        <w:rPr>
          <w:rFonts w:ascii="Arial" w:hAnsi="Arial" w:cs="Arial"/>
        </w:rPr>
      </w:pPr>
      <w:r w:rsidRPr="00CD59CC">
        <w:rPr>
          <w:rFonts w:ascii="Arial" w:hAnsi="Arial" w:cs="Arial"/>
        </w:rPr>
        <w:t xml:space="preserve">Trade union representatives have participated in significant numbers in the training </w:t>
      </w:r>
      <w:r w:rsidR="007B7640" w:rsidRPr="00CD59CC">
        <w:rPr>
          <w:rFonts w:ascii="Arial" w:hAnsi="Arial" w:cs="Arial"/>
        </w:rPr>
        <w:t xml:space="preserve">programme </w:t>
      </w:r>
      <w:r w:rsidRPr="00CD59CC">
        <w:rPr>
          <w:rFonts w:ascii="Arial" w:hAnsi="Arial" w:cs="Arial"/>
        </w:rPr>
        <w:t xml:space="preserve">described above under point (a), but apart from that little has been done in this area. </w:t>
      </w:r>
    </w:p>
    <w:p w14:paraId="60968B95" w14:textId="77777777" w:rsidR="005F3EF3" w:rsidRPr="00CD59CC" w:rsidRDefault="005F3EF3" w:rsidP="00BB4E9F">
      <w:pPr>
        <w:ind w:left="567" w:hanging="567"/>
        <w:rPr>
          <w:rFonts w:ascii="Arial" w:hAnsi="Arial" w:cs="Arial"/>
        </w:rPr>
      </w:pPr>
    </w:p>
    <w:p w14:paraId="0A75ABD9" w14:textId="77777777" w:rsidR="005F3EF3" w:rsidRPr="00CD59CC" w:rsidRDefault="005F3EF3" w:rsidP="00CD59CC">
      <w:pPr>
        <w:ind w:left="567" w:hanging="567"/>
        <w:rPr>
          <w:rFonts w:ascii="Arial" w:hAnsi="Arial" w:cs="Arial"/>
        </w:rPr>
      </w:pPr>
    </w:p>
    <w:p w14:paraId="5F4E59B4" w14:textId="77777777" w:rsidR="002B5BCD" w:rsidRPr="00CD59CC" w:rsidRDefault="002B5BCD" w:rsidP="00CD59CC">
      <w:pPr>
        <w:numPr>
          <w:ilvl w:val="0"/>
          <w:numId w:val="25"/>
        </w:numPr>
        <w:ind w:left="567" w:hanging="567"/>
        <w:rPr>
          <w:rFonts w:ascii="Arial" w:hAnsi="Arial" w:cs="Arial"/>
          <w:i/>
        </w:rPr>
      </w:pPr>
      <w:r w:rsidRPr="00CD59CC">
        <w:rPr>
          <w:rFonts w:ascii="Arial" w:hAnsi="Arial" w:cs="Arial"/>
          <w:i/>
        </w:rPr>
        <w:lastRenderedPageBreak/>
        <w:t>to specifically address the situation of Roma and Travellers. Is there any specific body or organ appointed on the national level to address Roma issues?</w:t>
      </w:r>
    </w:p>
    <w:p w14:paraId="5BD43F3B" w14:textId="77777777" w:rsidR="002B5BCD" w:rsidRPr="00CD59CC" w:rsidRDefault="002B5BCD" w:rsidP="00BB4E9F">
      <w:pPr>
        <w:rPr>
          <w:rFonts w:ascii="Arial" w:hAnsi="Arial" w:cs="Arial"/>
        </w:rPr>
      </w:pPr>
    </w:p>
    <w:p w14:paraId="788AA966" w14:textId="77777777" w:rsidR="00206FFB" w:rsidRPr="00CD59CC" w:rsidRDefault="00206FFB" w:rsidP="00CD59CC">
      <w:pPr>
        <w:rPr>
          <w:rFonts w:ascii="Arial" w:hAnsi="Arial" w:cs="Arial"/>
        </w:rPr>
      </w:pPr>
      <w:r w:rsidRPr="00CD59CC">
        <w:rPr>
          <w:rFonts w:ascii="Arial" w:hAnsi="Arial" w:cs="Arial"/>
        </w:rPr>
        <w:t>After the change of government, a Secretary of State for Social Inclusion has been appointed, who operates within the Ministry of Human Resources.</w:t>
      </w:r>
      <w:r w:rsidRPr="00CD59CC">
        <w:rPr>
          <w:rStyle w:val="FootnoteReference"/>
          <w:rFonts w:ascii="Arial" w:hAnsi="Arial" w:cs="Arial"/>
        </w:rPr>
        <w:footnoteReference w:id="132"/>
      </w:r>
      <w:r w:rsidRPr="00CD59CC">
        <w:rPr>
          <w:rFonts w:ascii="Arial" w:hAnsi="Arial" w:cs="Arial"/>
        </w:rPr>
        <w:t xml:space="preserve"> He is responsible for the social inclusion of the Roma, but also of people living in disadvantaged regions, people with low level education and persons who cannot be employed due to their health status.</w:t>
      </w:r>
    </w:p>
    <w:p w14:paraId="7A91AEA1" w14:textId="77777777" w:rsidR="00206FFB" w:rsidRPr="00CD59CC" w:rsidRDefault="00206FFB" w:rsidP="00CD59CC">
      <w:pPr>
        <w:rPr>
          <w:rFonts w:ascii="Arial" w:hAnsi="Arial" w:cs="Arial"/>
        </w:rPr>
      </w:pPr>
    </w:p>
    <w:p w14:paraId="41E54B01" w14:textId="756A5279" w:rsidR="00206FFB" w:rsidRPr="00CD59CC" w:rsidRDefault="00206FFB" w:rsidP="00CD59CC">
      <w:pPr>
        <w:rPr>
          <w:rFonts w:ascii="Arial" w:hAnsi="Arial" w:cs="Arial"/>
        </w:rPr>
      </w:pPr>
      <w:r w:rsidRPr="00CD59CC">
        <w:rPr>
          <w:rFonts w:ascii="Arial" w:hAnsi="Arial" w:cs="Arial"/>
        </w:rPr>
        <w:t xml:space="preserve">According to its website, the State Secretariat sees the Roma education grant </w:t>
      </w:r>
      <w:r w:rsidR="007B7640" w:rsidRPr="00CD59CC">
        <w:rPr>
          <w:rFonts w:ascii="Arial" w:hAnsi="Arial" w:cs="Arial"/>
        </w:rPr>
        <w:t xml:space="preserve">programmes </w:t>
      </w:r>
      <w:r w:rsidRPr="00CD59CC">
        <w:rPr>
          <w:rFonts w:ascii="Arial" w:hAnsi="Arial" w:cs="Arial"/>
        </w:rPr>
        <w:t xml:space="preserve">and other educational initiatives as its top priority. </w:t>
      </w:r>
    </w:p>
    <w:p w14:paraId="147B2A3A" w14:textId="77777777" w:rsidR="00206FFB" w:rsidRPr="00CD59CC" w:rsidRDefault="00206FFB" w:rsidP="00CD59CC">
      <w:pPr>
        <w:rPr>
          <w:rFonts w:ascii="Arial" w:hAnsi="Arial" w:cs="Arial"/>
        </w:rPr>
      </w:pPr>
    </w:p>
    <w:p w14:paraId="540FA3C6" w14:textId="087EE5AE" w:rsidR="00206FFB" w:rsidRPr="00CD59CC" w:rsidRDefault="00206FFB" w:rsidP="00CD59CC">
      <w:pPr>
        <w:rPr>
          <w:rFonts w:ascii="Arial" w:hAnsi="Arial" w:cs="Arial"/>
        </w:rPr>
      </w:pPr>
      <w:r w:rsidRPr="00CD59CC">
        <w:rPr>
          <w:rFonts w:ascii="Arial" w:hAnsi="Arial" w:cs="Arial"/>
        </w:rPr>
        <w:t xml:space="preserve">The secretariat has launched a number of initiatives to improve the situation of the Roma (specifically, or in the framework of </w:t>
      </w:r>
      <w:r w:rsidR="007B7640" w:rsidRPr="00CD59CC">
        <w:rPr>
          <w:rFonts w:ascii="Arial" w:hAnsi="Arial" w:cs="Arial"/>
        </w:rPr>
        <w:t xml:space="preserve">programmes </w:t>
      </w:r>
      <w:r w:rsidRPr="00CD59CC">
        <w:rPr>
          <w:rFonts w:ascii="Arial" w:hAnsi="Arial" w:cs="Arial"/>
        </w:rPr>
        <w:t>aimed at marginalised social groups in general). An example is the HUF 275.500.000 (EUR 918,330) support for innovative methods aimed at promoting the successful elementary educ</w:t>
      </w:r>
      <w:r w:rsidR="00E54402">
        <w:rPr>
          <w:rFonts w:ascii="Arial" w:hAnsi="Arial" w:cs="Arial"/>
        </w:rPr>
        <w:t>ation of disadvantaged children</w:t>
      </w:r>
      <w:r w:rsidR="000E3516">
        <w:rPr>
          <w:rFonts w:ascii="Arial" w:hAnsi="Arial" w:cs="Arial"/>
        </w:rPr>
        <w:t>.</w:t>
      </w:r>
      <w:r w:rsidRPr="00CD59CC">
        <w:rPr>
          <w:rStyle w:val="FootnoteReference"/>
          <w:rFonts w:ascii="Arial" w:hAnsi="Arial" w:cs="Arial"/>
        </w:rPr>
        <w:footnoteReference w:id="133"/>
      </w:r>
      <w:r w:rsidRPr="00CD59CC">
        <w:rPr>
          <w:rFonts w:ascii="Arial" w:hAnsi="Arial" w:cs="Arial"/>
        </w:rPr>
        <w:t xml:space="preserve"> In the area of housing, mention may be made of the complex </w:t>
      </w:r>
      <w:r w:rsidR="007B7640" w:rsidRPr="00CD59CC">
        <w:rPr>
          <w:rFonts w:ascii="Arial" w:hAnsi="Arial" w:cs="Arial"/>
        </w:rPr>
        <w:t xml:space="preserve">programme </w:t>
      </w:r>
      <w:r w:rsidRPr="00CD59CC">
        <w:rPr>
          <w:rFonts w:ascii="Arial" w:hAnsi="Arial" w:cs="Arial"/>
        </w:rPr>
        <w:t>aimed at the elimination of segregated Roma settlements distributing HUF 4.7 billion (EUR 15.26 million) from primarily EU sources among 30-50 projects.</w:t>
      </w:r>
      <w:r w:rsidRPr="00CD59CC">
        <w:rPr>
          <w:rStyle w:val="FootnoteReference"/>
          <w:rFonts w:ascii="Arial" w:hAnsi="Arial" w:cs="Arial"/>
        </w:rPr>
        <w:footnoteReference w:id="134"/>
      </w:r>
      <w:r w:rsidRPr="00CD59CC">
        <w:rPr>
          <w:rFonts w:ascii="Arial" w:hAnsi="Arial" w:cs="Arial"/>
        </w:rPr>
        <w:t xml:space="preserve"> </w:t>
      </w:r>
    </w:p>
    <w:p w14:paraId="770ABF50" w14:textId="77777777" w:rsidR="00206FFB" w:rsidRPr="00CD59CC" w:rsidRDefault="00206FFB" w:rsidP="00CD59CC">
      <w:pPr>
        <w:rPr>
          <w:rFonts w:ascii="Arial" w:hAnsi="Arial" w:cs="Arial"/>
        </w:rPr>
      </w:pPr>
    </w:p>
    <w:p w14:paraId="725A5ED7" w14:textId="71847363" w:rsidR="00206FFB" w:rsidRPr="00CD59CC" w:rsidRDefault="00206FFB" w:rsidP="00CD59CC">
      <w:pPr>
        <w:rPr>
          <w:rFonts w:ascii="Arial" w:hAnsi="Arial" w:cs="Arial"/>
        </w:rPr>
      </w:pPr>
      <w:r w:rsidRPr="00CD59CC">
        <w:rPr>
          <w:rFonts w:ascii="Arial" w:hAnsi="Arial" w:cs="Arial"/>
        </w:rPr>
        <w:t>It also needs to be mentioned that on 2 December 2011, Hungary was the first country to submit its national strategy (the National Social Inclusion Strategy) within the EU framework for National Roma Integration Strategies.</w:t>
      </w:r>
      <w:r w:rsidRPr="00CD59CC">
        <w:rPr>
          <w:rStyle w:val="FootnoteReference"/>
          <w:rFonts w:ascii="Arial" w:hAnsi="Arial" w:cs="Arial"/>
        </w:rPr>
        <w:footnoteReference w:id="135"/>
      </w:r>
      <w:r w:rsidRPr="00CD59CC">
        <w:rPr>
          <w:rFonts w:ascii="Arial" w:hAnsi="Arial" w:cs="Arial"/>
        </w:rPr>
        <w:t xml:space="preserve"> </w:t>
      </w:r>
    </w:p>
    <w:p w14:paraId="0FF544D6" w14:textId="77777777" w:rsidR="00206FFB" w:rsidRPr="00CD59CC" w:rsidRDefault="00206FFB" w:rsidP="00CD59CC">
      <w:pPr>
        <w:rPr>
          <w:rFonts w:ascii="Arial" w:hAnsi="Arial" w:cs="Arial"/>
        </w:rPr>
      </w:pPr>
    </w:p>
    <w:p w14:paraId="4F5E7A6B" w14:textId="6B1562C3" w:rsidR="00206FFB" w:rsidRPr="00CD59CC" w:rsidRDefault="00206FFB" w:rsidP="00CD59CC">
      <w:pPr>
        <w:rPr>
          <w:rFonts w:ascii="Arial" w:hAnsi="Arial" w:cs="Arial"/>
        </w:rPr>
      </w:pPr>
      <w:r w:rsidRPr="00CD59CC">
        <w:rPr>
          <w:rFonts w:ascii="Arial" w:hAnsi="Arial" w:cs="Arial"/>
        </w:rPr>
        <w:t xml:space="preserve">On 12 February 2013, the Government established a Consultation Council for Roma Affairs with </w:t>
      </w:r>
      <w:r w:rsidR="00E10B68" w:rsidRPr="00CD59CC">
        <w:rPr>
          <w:rFonts w:ascii="Arial" w:hAnsi="Arial" w:cs="Arial"/>
        </w:rPr>
        <w:t>Resolution</w:t>
      </w:r>
      <w:r w:rsidRPr="00CD59CC">
        <w:rPr>
          <w:rFonts w:ascii="Arial" w:hAnsi="Arial" w:cs="Arial"/>
        </w:rPr>
        <w:t xml:space="preserve"> 1048/2013. The council is a consultative and recommendation making body. It</w:t>
      </w:r>
      <w:r w:rsidR="001A4260" w:rsidRPr="00CD59CC">
        <w:rPr>
          <w:rFonts w:ascii="Arial" w:hAnsi="Arial" w:cs="Arial"/>
        </w:rPr>
        <w:t xml:space="preserve"> i</w:t>
      </w:r>
      <w:r w:rsidRPr="00CD59CC">
        <w:rPr>
          <w:rFonts w:ascii="Arial" w:hAnsi="Arial" w:cs="Arial"/>
        </w:rPr>
        <w:t xml:space="preserve">s chaired by the Prime Minister and co-chaired by the President of the National Roma Self-government. Its members are the Minister of Human Resources, the Minister of Interior, the Minister of Economy and the State Secretary heading the Prime Minister’s Office. The Chair is entitled to invite any other person whose presence seems to be necessary. </w:t>
      </w:r>
    </w:p>
    <w:p w14:paraId="768B28F2" w14:textId="77777777" w:rsidR="00206FFB" w:rsidRPr="00CD59CC" w:rsidRDefault="00206FFB" w:rsidP="00CD59CC">
      <w:pPr>
        <w:rPr>
          <w:rFonts w:ascii="Arial" w:hAnsi="Arial" w:cs="Arial"/>
        </w:rPr>
      </w:pPr>
    </w:p>
    <w:p w14:paraId="6FA65D03" w14:textId="77777777" w:rsidR="00206FFB" w:rsidRPr="00CD59CC" w:rsidRDefault="00206FFB" w:rsidP="00CD59CC">
      <w:pPr>
        <w:rPr>
          <w:rFonts w:ascii="Arial" w:hAnsi="Arial" w:cs="Arial"/>
        </w:rPr>
      </w:pPr>
      <w:r w:rsidRPr="00CD59CC">
        <w:rPr>
          <w:rFonts w:ascii="Arial" w:hAnsi="Arial" w:cs="Arial"/>
        </w:rPr>
        <w:t>While welcoming the effort</w:t>
      </w:r>
      <w:r w:rsidR="001A4260" w:rsidRPr="00CD59CC">
        <w:rPr>
          <w:rFonts w:ascii="Arial" w:hAnsi="Arial" w:cs="Arial"/>
        </w:rPr>
        <w:t>s</w:t>
      </w:r>
      <w:r w:rsidRPr="00CD59CC">
        <w:rPr>
          <w:rFonts w:ascii="Arial" w:hAnsi="Arial" w:cs="Arial"/>
        </w:rPr>
        <w:t xml:space="preserve">, NGO’s active in the field prepared a critical analysis of the </w:t>
      </w:r>
      <w:r w:rsidR="001A4260" w:rsidRPr="00CD59CC">
        <w:rPr>
          <w:rFonts w:ascii="Arial" w:hAnsi="Arial" w:cs="Arial"/>
        </w:rPr>
        <w:t>National Social Inclusion Strategy and the related governmental measures</w:t>
      </w:r>
      <w:r w:rsidRPr="00CD59CC">
        <w:rPr>
          <w:rFonts w:ascii="Arial" w:hAnsi="Arial" w:cs="Arial"/>
        </w:rPr>
        <w:t xml:space="preserve"> and </w:t>
      </w:r>
      <w:r w:rsidR="001A4260" w:rsidRPr="00CD59CC">
        <w:rPr>
          <w:rFonts w:ascii="Arial" w:hAnsi="Arial" w:cs="Arial"/>
        </w:rPr>
        <w:lastRenderedPageBreak/>
        <w:t xml:space="preserve">put forth a number of recommendations as well as </w:t>
      </w:r>
      <w:r w:rsidRPr="00CD59CC">
        <w:rPr>
          <w:rFonts w:ascii="Arial" w:hAnsi="Arial" w:cs="Arial"/>
        </w:rPr>
        <w:t>suggested changes to the National Social Inclusion Strategy.</w:t>
      </w:r>
      <w:r w:rsidRPr="00CD59CC">
        <w:rPr>
          <w:rStyle w:val="FootnoteReference"/>
          <w:rFonts w:ascii="Arial" w:hAnsi="Arial" w:cs="Arial"/>
        </w:rPr>
        <w:footnoteReference w:id="136"/>
      </w:r>
    </w:p>
    <w:p w14:paraId="5C4B2331" w14:textId="77777777" w:rsidR="00206FFB" w:rsidRPr="00CD59CC" w:rsidRDefault="00206FFB" w:rsidP="00CD59CC">
      <w:pPr>
        <w:rPr>
          <w:rFonts w:ascii="Arial" w:hAnsi="Arial" w:cs="Arial"/>
        </w:rPr>
      </w:pPr>
    </w:p>
    <w:p w14:paraId="4991E63E" w14:textId="77777777" w:rsidR="001A4BF7" w:rsidRPr="00CD59CC" w:rsidRDefault="001A4BF7" w:rsidP="00CD59CC">
      <w:pPr>
        <w:rPr>
          <w:rFonts w:ascii="Arial" w:hAnsi="Arial" w:cs="Arial"/>
        </w:rPr>
      </w:pPr>
      <w:r w:rsidRPr="00CD59CC">
        <w:rPr>
          <w:rFonts w:ascii="Arial" w:hAnsi="Arial" w:cs="Arial"/>
        </w:rPr>
        <w:t xml:space="preserve">They claim among others that while “research has shown that Roma in Hungary are discriminated against in almost all fields of life, and the general public, the political forces and decision-makers do little to protect the Roma as a vulnerable social group. Policy changes, such as abolishing the institution of the Parliamentary Commissioner for the Rights of National and Ethnic Minorities and moving this function to the </w:t>
      </w:r>
      <w:r w:rsidR="00761FE7" w:rsidRPr="00CD59CC">
        <w:rPr>
          <w:rFonts w:ascii="Arial" w:hAnsi="Arial" w:cs="Arial"/>
        </w:rPr>
        <w:t>p</w:t>
      </w:r>
      <w:r w:rsidRPr="00CD59CC">
        <w:rPr>
          <w:rFonts w:ascii="Arial" w:hAnsi="Arial" w:cs="Arial"/>
        </w:rPr>
        <w:t>ortfolio</w:t>
      </w:r>
      <w:r w:rsidR="00761FE7" w:rsidRPr="00CD59CC">
        <w:rPr>
          <w:rFonts w:ascii="Arial" w:hAnsi="Arial" w:cs="Arial"/>
        </w:rPr>
        <w:t xml:space="preserve"> </w:t>
      </w:r>
      <w:r w:rsidRPr="00CD59CC">
        <w:rPr>
          <w:rFonts w:ascii="Arial" w:hAnsi="Arial" w:cs="Arial"/>
        </w:rPr>
        <w:t>of the deputy of the Commissioner for Fundamental Rights, have resulted in far less powerful institutional tools for combating discrimination. […] At the local level, the powerless position of minority self-governments has been further weakened: their consent is not obligatory any longer to decide</w:t>
      </w:r>
      <w:r w:rsidR="007B7640" w:rsidRPr="00CD59CC">
        <w:rPr>
          <w:rFonts w:ascii="Arial" w:hAnsi="Arial" w:cs="Arial"/>
        </w:rPr>
        <w:t xml:space="preserve"> </w:t>
      </w:r>
      <w:r w:rsidRPr="00CD59CC">
        <w:rPr>
          <w:rFonts w:ascii="Arial" w:hAnsi="Arial" w:cs="Arial"/>
        </w:rPr>
        <w:t>on matters affecting the local Romani community […].”</w:t>
      </w:r>
      <w:r w:rsidRPr="00CD59CC">
        <w:rPr>
          <w:rStyle w:val="FootnoteReference"/>
          <w:rFonts w:ascii="Arial" w:hAnsi="Arial" w:cs="Arial"/>
        </w:rPr>
        <w:footnoteReference w:id="137"/>
      </w:r>
      <w:r w:rsidRPr="00CD59CC">
        <w:rPr>
          <w:rFonts w:ascii="Arial" w:hAnsi="Arial" w:cs="Arial"/>
        </w:rPr>
        <w:t xml:space="preserve"> </w:t>
      </w:r>
    </w:p>
    <w:p w14:paraId="7D3AB163" w14:textId="77777777" w:rsidR="001A4BF7" w:rsidRPr="00CD59CC" w:rsidRDefault="001A4BF7" w:rsidP="00CD59CC">
      <w:pPr>
        <w:rPr>
          <w:rFonts w:ascii="Arial" w:hAnsi="Arial" w:cs="Arial"/>
        </w:rPr>
      </w:pPr>
    </w:p>
    <w:p w14:paraId="4FB40D23" w14:textId="77777777" w:rsidR="001A4BF7" w:rsidRPr="00CD59CC" w:rsidRDefault="001A4BF7" w:rsidP="00CD59CC">
      <w:pPr>
        <w:rPr>
          <w:rFonts w:ascii="Arial" w:hAnsi="Arial" w:cs="Arial"/>
        </w:rPr>
      </w:pPr>
      <w:r w:rsidRPr="00CD59CC">
        <w:rPr>
          <w:rFonts w:ascii="Arial" w:hAnsi="Arial" w:cs="Arial"/>
        </w:rPr>
        <w:t>The civilians also pointed out that the “central government’s exclusive Roma partner is the National Roma Self-Government (NRSG) (strongly supported by the current government, heavily based on Lungo Drom representatives, an ally of FIDESZ),</w:t>
      </w:r>
    </w:p>
    <w:p w14:paraId="4968E064" w14:textId="77777777" w:rsidR="001A4BF7" w:rsidRPr="00CD59CC" w:rsidRDefault="001A4BF7" w:rsidP="00CD59CC">
      <w:pPr>
        <w:rPr>
          <w:rFonts w:ascii="Arial" w:hAnsi="Arial" w:cs="Arial"/>
        </w:rPr>
      </w:pPr>
      <w:r w:rsidRPr="00CD59CC">
        <w:rPr>
          <w:rFonts w:ascii="Arial" w:hAnsi="Arial" w:cs="Arial"/>
        </w:rPr>
        <w:t>which is highly problematic because this arrangement excludes a large range of (non-Lungo Drom) Roma interest groups from meaningful participation, thus limiting critical feedback. Moreover, the NRSG has been given, and has undertaken, a number of tasks for which it does not have any capacity, which is made even</w:t>
      </w:r>
    </w:p>
    <w:p w14:paraId="57752CA6" w14:textId="77777777" w:rsidR="001A4BF7" w:rsidRPr="00CD59CC" w:rsidRDefault="001A4BF7" w:rsidP="00CD59CC">
      <w:pPr>
        <w:rPr>
          <w:rFonts w:ascii="Arial" w:hAnsi="Arial" w:cs="Arial"/>
        </w:rPr>
      </w:pPr>
      <w:r w:rsidRPr="00CD59CC">
        <w:rPr>
          <w:rFonts w:ascii="Arial" w:hAnsi="Arial" w:cs="Arial"/>
        </w:rPr>
        <w:t>worse by the circumstance that it is not embedded in the system either (for example, to run certain schools, develop new employment schemes, monitor programmes, etc.).”</w:t>
      </w:r>
      <w:r w:rsidRPr="00CD59CC">
        <w:rPr>
          <w:rStyle w:val="FootnoteReference"/>
          <w:rFonts w:ascii="Arial" w:hAnsi="Arial" w:cs="Arial"/>
        </w:rPr>
        <w:footnoteReference w:id="138"/>
      </w:r>
    </w:p>
    <w:p w14:paraId="453ED1B8" w14:textId="77777777" w:rsidR="00206FFB" w:rsidRPr="00CD59CC" w:rsidRDefault="00206FFB" w:rsidP="00CD59CC">
      <w:pPr>
        <w:rPr>
          <w:rFonts w:ascii="Arial" w:hAnsi="Arial" w:cs="Arial"/>
        </w:rPr>
      </w:pPr>
    </w:p>
    <w:p w14:paraId="16004B86" w14:textId="77777777" w:rsidR="002B5BCD" w:rsidRPr="00CD59CC" w:rsidRDefault="002B5BCD" w:rsidP="00CD59CC">
      <w:pPr>
        <w:pStyle w:val="Heading2"/>
        <w:rPr>
          <w:rFonts w:cs="Arial"/>
        </w:rPr>
      </w:pPr>
      <w:bookmarkStart w:id="342" w:name="_Toc220221186"/>
      <w:r w:rsidRPr="00CD59CC">
        <w:rPr>
          <w:rFonts w:cs="Arial"/>
        </w:rPr>
        <w:tab/>
      </w:r>
      <w:bookmarkStart w:id="343" w:name="_Toc392758756"/>
      <w:bookmarkStart w:id="344" w:name="_Toc329163648"/>
      <w:bookmarkStart w:id="345" w:name="_Toc366846366"/>
      <w:r w:rsidRPr="00CD59CC">
        <w:rPr>
          <w:rFonts w:cs="Arial"/>
        </w:rPr>
        <w:t>Compliance (Article 14 Directive 2000/43, Article 16 Directive 2000/78)</w:t>
      </w:r>
      <w:bookmarkEnd w:id="342"/>
      <w:bookmarkEnd w:id="343"/>
      <w:bookmarkEnd w:id="344"/>
      <w:bookmarkEnd w:id="345"/>
    </w:p>
    <w:p w14:paraId="245E18B1" w14:textId="77777777" w:rsidR="002B5BCD" w:rsidRPr="00BB4E9F" w:rsidRDefault="002B5BCD" w:rsidP="00CD59CC">
      <w:pPr>
        <w:rPr>
          <w:rFonts w:ascii="Arial" w:hAnsi="Arial"/>
          <w:lang w:val="fr-FR"/>
        </w:rPr>
      </w:pPr>
    </w:p>
    <w:p w14:paraId="48E5FCF1" w14:textId="77777777" w:rsidR="002B5BCD" w:rsidRPr="00CD59CC" w:rsidRDefault="002B5BCD" w:rsidP="00CD59CC">
      <w:pPr>
        <w:numPr>
          <w:ilvl w:val="0"/>
          <w:numId w:val="26"/>
        </w:numPr>
        <w:ind w:left="567" w:hanging="567"/>
        <w:rPr>
          <w:rFonts w:ascii="Arial" w:hAnsi="Arial" w:cs="Arial"/>
          <w:i/>
        </w:rPr>
      </w:pPr>
      <w:r w:rsidRPr="00CD59CC">
        <w:rPr>
          <w:rFonts w:ascii="Arial" w:hAnsi="Arial" w:cs="Arial"/>
          <w:i/>
        </w:rPr>
        <w:t>Are there mechanisms to ensure that contracts, collective agreements, internal rules of undertakings and the rules governing independent occupations, professions, workers' associations or employers' associations do not conflict with the principle of equal treatment? These may include general principles of the national system, such as, for example, "lex specialis derogat legi generali (special rules prevail over general rules) and lex posteriori derogat legi priori (more recent rules prevail over less recent rules).</w:t>
      </w:r>
    </w:p>
    <w:p w14:paraId="3A257DB2" w14:textId="77777777" w:rsidR="002B5BCD" w:rsidRPr="00CD59CC" w:rsidRDefault="002B5BCD" w:rsidP="00CD59CC">
      <w:pPr>
        <w:ind w:left="567" w:hanging="567"/>
        <w:rPr>
          <w:rFonts w:ascii="Arial" w:hAnsi="Arial" w:cs="Arial"/>
        </w:rPr>
      </w:pPr>
    </w:p>
    <w:p w14:paraId="4B53EED4" w14:textId="77777777" w:rsidR="001A4BF7" w:rsidRPr="00CD59CC" w:rsidRDefault="001A4BF7" w:rsidP="00CD59CC">
      <w:pPr>
        <w:rPr>
          <w:rFonts w:ascii="Arial" w:hAnsi="Arial" w:cs="Arial"/>
        </w:rPr>
      </w:pPr>
      <w:r w:rsidRPr="00CD59CC">
        <w:rPr>
          <w:rFonts w:ascii="Arial" w:hAnsi="Arial" w:cs="Arial"/>
        </w:rPr>
        <w:t xml:space="preserve">In terms of Article 200 of the Civil Code, contracts that are contrary to a law, or are concluded with the intention of circumventing a legal obligation shall be null and void. Contracts that are manifestly immoral are also null and void. </w:t>
      </w:r>
    </w:p>
    <w:p w14:paraId="6DFE1AB2" w14:textId="77777777" w:rsidR="001A4BF7" w:rsidRPr="00CD59CC" w:rsidRDefault="001A4BF7" w:rsidP="00CD59CC">
      <w:pPr>
        <w:rPr>
          <w:rFonts w:ascii="Arial" w:hAnsi="Arial" w:cs="Arial"/>
        </w:rPr>
      </w:pPr>
    </w:p>
    <w:p w14:paraId="48531D25" w14:textId="77777777" w:rsidR="001A4BF7" w:rsidRPr="00CD59CC" w:rsidRDefault="001A4BF7" w:rsidP="00CD59CC">
      <w:pPr>
        <w:rPr>
          <w:rFonts w:ascii="Arial" w:hAnsi="Arial" w:cs="Arial"/>
        </w:rPr>
      </w:pPr>
      <w:r w:rsidRPr="00CD59CC">
        <w:rPr>
          <w:rFonts w:ascii="Arial" w:hAnsi="Arial" w:cs="Arial"/>
        </w:rPr>
        <w:t xml:space="preserve">Furthermore, under Article 27 of the Labour Code an agreement (individual or collective) that violates labour law regulations shall be null and void. If annulled or </w:t>
      </w:r>
      <w:r w:rsidRPr="00CD59CC">
        <w:rPr>
          <w:rFonts w:ascii="Arial" w:hAnsi="Arial" w:cs="Arial"/>
        </w:rPr>
        <w:lastRenderedPageBreak/>
        <w:t xml:space="preserve">successfully contested, the agreement shall be invalid (Article 28). If invalidity results in damages, these shall be paid (Article 30). </w:t>
      </w:r>
    </w:p>
    <w:p w14:paraId="3791DF4C" w14:textId="77777777" w:rsidR="001A4BF7" w:rsidRPr="00CD59CC" w:rsidRDefault="001A4BF7" w:rsidP="00CD59CC">
      <w:pPr>
        <w:ind w:left="567" w:hanging="567"/>
        <w:rPr>
          <w:rFonts w:ascii="Arial" w:hAnsi="Arial" w:cs="Arial"/>
        </w:rPr>
      </w:pPr>
    </w:p>
    <w:p w14:paraId="72302BB1" w14:textId="77777777" w:rsidR="002B5BCD" w:rsidRPr="00CD59CC" w:rsidRDefault="002B5BCD" w:rsidP="00CD59CC">
      <w:pPr>
        <w:numPr>
          <w:ilvl w:val="0"/>
          <w:numId w:val="26"/>
        </w:numPr>
        <w:ind w:left="567" w:hanging="567"/>
        <w:rPr>
          <w:rFonts w:ascii="Arial" w:hAnsi="Arial" w:cs="Arial"/>
          <w:i/>
        </w:rPr>
      </w:pPr>
      <w:r w:rsidRPr="00CD59CC">
        <w:rPr>
          <w:rFonts w:ascii="Arial" w:hAnsi="Arial" w:cs="Arial"/>
          <w:i/>
        </w:rPr>
        <w:t>Are any laws, regulations or rules that are contrary to the principle of equality still in force?</w:t>
      </w:r>
    </w:p>
    <w:p w14:paraId="3D091146" w14:textId="77777777" w:rsidR="002B5BCD" w:rsidRPr="00CD59CC" w:rsidRDefault="002B5BCD" w:rsidP="00CD59CC">
      <w:pPr>
        <w:ind w:left="567" w:hanging="567"/>
        <w:rPr>
          <w:rFonts w:ascii="Arial" w:hAnsi="Arial" w:cs="Arial"/>
        </w:rPr>
      </w:pPr>
    </w:p>
    <w:p w14:paraId="1FE87A88" w14:textId="77777777" w:rsidR="001A4BF7" w:rsidRPr="00CD59CC" w:rsidRDefault="001A4BF7" w:rsidP="00CD59CC">
      <w:pPr>
        <w:rPr>
          <w:rFonts w:ascii="Arial" w:hAnsi="Arial" w:cs="Arial"/>
        </w:rPr>
      </w:pPr>
      <w:bookmarkStart w:id="346" w:name="_Toc220221187"/>
      <w:r w:rsidRPr="00CD59CC">
        <w:rPr>
          <w:rFonts w:ascii="Arial" w:hAnsi="Arial" w:cs="Arial"/>
        </w:rPr>
        <w:t>There are a number of statutes though with regard to which the infringement of the principle of equal treatment may be argued (for instance, differences in the status of married couples and life partners, taking into consideration the fact that the possibility of getting married is not open for homosexual couples) .</w:t>
      </w:r>
    </w:p>
    <w:p w14:paraId="34B16D8D" w14:textId="77777777" w:rsidR="001A4BF7" w:rsidRPr="00CD59CC" w:rsidRDefault="001A4BF7" w:rsidP="00CD59CC">
      <w:pPr>
        <w:rPr>
          <w:rFonts w:ascii="Arial" w:hAnsi="Arial" w:cs="Arial"/>
        </w:rPr>
      </w:pPr>
    </w:p>
    <w:p w14:paraId="15C49244" w14:textId="77777777" w:rsidR="001A4BF7" w:rsidRPr="00CD59CC" w:rsidRDefault="001A4BF7" w:rsidP="00CD59CC">
      <w:pPr>
        <w:rPr>
          <w:rFonts w:ascii="Arial" w:hAnsi="Arial" w:cs="Arial"/>
        </w:rPr>
      </w:pPr>
      <w:r w:rsidRPr="00CD59CC">
        <w:rPr>
          <w:rFonts w:ascii="Arial" w:hAnsi="Arial" w:cs="Arial"/>
        </w:rPr>
        <w:t xml:space="preserve">The mechanism to eliminate laws that are contrary to the principle of equal treatment is in place. Under the provisions of Act CLI of 2011 on the Constitutional Court, the latter is entitled to subsequently examine the constitutionality of any legal provision (with the exception of certain provisions relating to the central budget and taxes). Any law that is contrary to the constitutional non-discrimination clause is unconstitutional. Under Article 26, any person whose constitutional rights (including the right to non-discrimination) have been violated because the court has applied an unconstitutional norm, or applied a norm in an unconstitutional manner, has the right to petition (within 60 days from the date the decision is served to him/her) the Constitutional Court and ask the court to abolish the provision or quash the judicial decision. If there is no judicial remedy, it is also possible to petition the Constitutional Court within 180 days of the coming into force of the norm in question. The unconstitutional statute loses effect on the day of the publication of the Constitutional Court’s decision and from this day on, it may not be applied. In certain cases the Court may abolish norms retroactively or </w:t>
      </w:r>
      <w:r w:rsidRPr="00CD59CC">
        <w:rPr>
          <w:rFonts w:ascii="Arial" w:hAnsi="Arial" w:cs="Arial"/>
          <w:i/>
        </w:rPr>
        <w:t>pro futuro</w:t>
      </w:r>
      <w:r w:rsidRPr="00CD59CC">
        <w:rPr>
          <w:rFonts w:ascii="Arial" w:hAnsi="Arial" w:cs="Arial"/>
        </w:rPr>
        <w:t xml:space="preserve">, leaving time for the legislator to amend it, or adopt new legislation. </w:t>
      </w:r>
    </w:p>
    <w:p w14:paraId="312BFE97" w14:textId="77777777" w:rsidR="002B5BCD" w:rsidRPr="00CD59CC" w:rsidRDefault="002B5BCD" w:rsidP="00CD59CC">
      <w:pPr>
        <w:pStyle w:val="Heading1"/>
        <w:rPr>
          <w:rFonts w:cs="Arial"/>
        </w:rPr>
      </w:pPr>
      <w:r w:rsidRPr="00BB4E9F">
        <w:br w:type="page"/>
      </w:r>
      <w:bookmarkStart w:id="347" w:name="_Toc392758757"/>
      <w:bookmarkStart w:id="348" w:name="_Toc329163649"/>
      <w:bookmarkStart w:id="349" w:name="_Toc366846367"/>
      <w:r w:rsidRPr="00CD59CC">
        <w:rPr>
          <w:rFonts w:cs="Arial"/>
        </w:rPr>
        <w:lastRenderedPageBreak/>
        <w:t>CO-ORDINATION AT NATIONAL LEVEL</w:t>
      </w:r>
      <w:bookmarkEnd w:id="346"/>
      <w:bookmarkEnd w:id="347"/>
      <w:bookmarkEnd w:id="348"/>
      <w:bookmarkEnd w:id="349"/>
    </w:p>
    <w:p w14:paraId="7FD2B00F" w14:textId="77777777" w:rsidR="002B5BCD" w:rsidRPr="00CD59CC" w:rsidRDefault="002B5BCD" w:rsidP="00CD59CC">
      <w:pPr>
        <w:rPr>
          <w:rFonts w:ascii="Arial" w:hAnsi="Arial" w:cs="Arial"/>
        </w:rPr>
      </w:pPr>
    </w:p>
    <w:p w14:paraId="50B91B0C" w14:textId="77777777" w:rsidR="002B5BCD" w:rsidRPr="00CD59CC" w:rsidRDefault="002B5BCD" w:rsidP="00CD59CC">
      <w:pPr>
        <w:rPr>
          <w:rFonts w:ascii="Arial" w:hAnsi="Arial" w:cs="Arial"/>
          <w:i/>
        </w:rPr>
      </w:pPr>
      <w:r w:rsidRPr="00CD59CC">
        <w:rPr>
          <w:rFonts w:ascii="Arial" w:hAnsi="Arial" w:cs="Arial"/>
          <w:i/>
        </w:rPr>
        <w:t xml:space="preserve">Which government department/ other authority is/ are responsible for dealing with or co-ordinating issues regarding anti-discrimination on the grounds covered by this report? </w:t>
      </w:r>
    </w:p>
    <w:p w14:paraId="684F6EE7" w14:textId="77777777" w:rsidR="002B5BCD" w:rsidRPr="00CD59CC" w:rsidRDefault="002B5BCD" w:rsidP="00CD59CC">
      <w:pPr>
        <w:rPr>
          <w:rFonts w:ascii="Arial" w:hAnsi="Arial" w:cs="Arial"/>
        </w:rPr>
      </w:pPr>
    </w:p>
    <w:p w14:paraId="5B490C90" w14:textId="77777777" w:rsidR="001A4BF7" w:rsidRPr="00CD59CC" w:rsidRDefault="001A4BF7" w:rsidP="00CD59CC">
      <w:pPr>
        <w:rPr>
          <w:rFonts w:ascii="Arial" w:hAnsi="Arial" w:cs="Arial"/>
        </w:rPr>
      </w:pPr>
      <w:bookmarkStart w:id="350" w:name="_Toc220221188"/>
      <w:r w:rsidRPr="00CD59CC">
        <w:rPr>
          <w:rFonts w:ascii="Arial" w:hAnsi="Arial" w:cs="Arial"/>
        </w:rPr>
        <w:t>The Ministry of Administration and Justice, the Ministry of Human Resources and the Equal Treatment Authority are primarily responsible for dealing with or coordinating issues regarding antidiscrimination on the grounds covered by this report.</w:t>
      </w:r>
    </w:p>
    <w:p w14:paraId="1C73D757" w14:textId="77777777" w:rsidR="004D047A" w:rsidRPr="00CD59CC" w:rsidRDefault="004D047A" w:rsidP="00CD59CC">
      <w:pPr>
        <w:rPr>
          <w:rFonts w:ascii="Arial" w:hAnsi="Arial" w:cs="Arial"/>
        </w:rPr>
      </w:pPr>
    </w:p>
    <w:p w14:paraId="2318F515" w14:textId="77777777" w:rsidR="004D047A" w:rsidRPr="00CD59CC" w:rsidRDefault="004D047A" w:rsidP="00CD59CC">
      <w:pPr>
        <w:rPr>
          <w:rFonts w:ascii="Arial" w:hAnsi="Arial" w:cs="Arial"/>
        </w:rPr>
      </w:pPr>
      <w:r w:rsidRPr="00CD59CC">
        <w:rPr>
          <w:rFonts w:ascii="Arial" w:hAnsi="Arial" w:cs="Arial"/>
        </w:rPr>
        <w:t xml:space="preserve">Several different bodies have also been established with the aim of discussing and coordinating issues and activities falling under the scope of this report. Besides the National Disability Council and the Consultation Council for Roma Affairs mentioned above [under Sections 2.6.l) and 8.1.d)] mention may be made of </w:t>
      </w:r>
      <w:r w:rsidR="00E10B68" w:rsidRPr="00CD59CC">
        <w:rPr>
          <w:rFonts w:ascii="Arial" w:hAnsi="Arial" w:cs="Arial"/>
        </w:rPr>
        <w:t>t</w:t>
      </w:r>
      <w:r w:rsidRPr="00CD59CC">
        <w:rPr>
          <w:rFonts w:ascii="Arial" w:hAnsi="Arial" w:cs="Arial"/>
        </w:rPr>
        <w:t xml:space="preserve">he Roma Coordination Council established by Government </w:t>
      </w:r>
      <w:r w:rsidR="00E10B68" w:rsidRPr="00CD59CC">
        <w:rPr>
          <w:rFonts w:ascii="Arial" w:hAnsi="Arial" w:cs="Arial"/>
        </w:rPr>
        <w:t>Resolution</w:t>
      </w:r>
      <w:r w:rsidRPr="00CD59CC">
        <w:rPr>
          <w:rFonts w:ascii="Arial" w:hAnsi="Arial" w:cs="Arial"/>
        </w:rPr>
        <w:t xml:space="preserve"> 1102/2011. (IV.15.) </w:t>
      </w:r>
      <w:r w:rsidR="00E10B68" w:rsidRPr="00CD59CC">
        <w:rPr>
          <w:rFonts w:ascii="Arial" w:hAnsi="Arial" w:cs="Arial"/>
        </w:rPr>
        <w:t>with the aim of monitoring</w:t>
      </w:r>
      <w:r w:rsidRPr="00CD59CC">
        <w:rPr>
          <w:rFonts w:ascii="Arial" w:hAnsi="Arial" w:cs="Arial"/>
        </w:rPr>
        <w:t xml:space="preserve"> the progress of the inclusion polic</w:t>
      </w:r>
      <w:r w:rsidR="00E10B68" w:rsidRPr="00CD59CC">
        <w:rPr>
          <w:rFonts w:ascii="Arial" w:hAnsi="Arial" w:cs="Arial"/>
        </w:rPr>
        <w:t>ies, as well as t</w:t>
      </w:r>
      <w:r w:rsidRPr="00CD59CC">
        <w:rPr>
          <w:rFonts w:ascii="Arial" w:hAnsi="Arial" w:cs="Arial"/>
        </w:rPr>
        <w:t>he Inter-Ministerial Committee for Social Inclusion and Roma Affairs</w:t>
      </w:r>
      <w:r w:rsidR="00E10B68" w:rsidRPr="00CD59CC">
        <w:rPr>
          <w:rFonts w:ascii="Arial" w:hAnsi="Arial" w:cs="Arial"/>
        </w:rPr>
        <w:t>, which</w:t>
      </w:r>
      <w:r w:rsidRPr="00CD59CC">
        <w:rPr>
          <w:rFonts w:ascii="Arial" w:hAnsi="Arial" w:cs="Arial"/>
        </w:rPr>
        <w:t xml:space="preserve"> was </w:t>
      </w:r>
      <w:r w:rsidR="00E10B68" w:rsidRPr="00CD59CC">
        <w:rPr>
          <w:rFonts w:ascii="Arial" w:hAnsi="Arial" w:cs="Arial"/>
        </w:rPr>
        <w:t xml:space="preserve">set up </w:t>
      </w:r>
      <w:r w:rsidRPr="00CD59CC">
        <w:rPr>
          <w:rFonts w:ascii="Arial" w:hAnsi="Arial" w:cs="Arial"/>
        </w:rPr>
        <w:t xml:space="preserve">by Government Resolution </w:t>
      </w:r>
      <w:r w:rsidR="00E10B68" w:rsidRPr="00CD59CC">
        <w:rPr>
          <w:rFonts w:ascii="Arial" w:hAnsi="Arial" w:cs="Arial"/>
        </w:rPr>
        <w:t xml:space="preserve">1199/2010 with the purpose of coordinating </w:t>
      </w:r>
      <w:r w:rsidRPr="00CD59CC">
        <w:rPr>
          <w:rFonts w:ascii="Arial" w:hAnsi="Arial" w:cs="Arial"/>
        </w:rPr>
        <w:t>government activities w</w:t>
      </w:r>
      <w:r w:rsidR="00272E6A" w:rsidRPr="00CD59CC">
        <w:rPr>
          <w:rFonts w:ascii="Arial" w:hAnsi="Arial" w:cs="Arial"/>
        </w:rPr>
        <w:t>h</w:t>
      </w:r>
      <w:r w:rsidRPr="00CD59CC">
        <w:rPr>
          <w:rFonts w:ascii="Arial" w:hAnsi="Arial" w:cs="Arial"/>
        </w:rPr>
        <w:t>i</w:t>
      </w:r>
      <w:r w:rsidR="00272E6A" w:rsidRPr="00CD59CC">
        <w:rPr>
          <w:rFonts w:ascii="Arial" w:hAnsi="Arial" w:cs="Arial"/>
        </w:rPr>
        <w:t xml:space="preserve">ch </w:t>
      </w:r>
      <w:r w:rsidR="00E10B68" w:rsidRPr="00CD59CC">
        <w:rPr>
          <w:rFonts w:ascii="Arial" w:hAnsi="Arial" w:cs="Arial"/>
        </w:rPr>
        <w:t>aim</w:t>
      </w:r>
      <w:r w:rsidR="00272E6A" w:rsidRPr="00CD59CC">
        <w:rPr>
          <w:rFonts w:ascii="Arial" w:hAnsi="Arial" w:cs="Arial"/>
        </w:rPr>
        <w:t xml:space="preserve"> </w:t>
      </w:r>
      <w:r w:rsidR="00E10B68" w:rsidRPr="00CD59CC">
        <w:rPr>
          <w:rFonts w:ascii="Arial" w:hAnsi="Arial" w:cs="Arial"/>
        </w:rPr>
        <w:t>at the</w:t>
      </w:r>
      <w:r w:rsidRPr="00CD59CC">
        <w:rPr>
          <w:rFonts w:ascii="Arial" w:hAnsi="Arial" w:cs="Arial"/>
        </w:rPr>
        <w:t xml:space="preserve"> improv</w:t>
      </w:r>
      <w:r w:rsidR="00E10B68" w:rsidRPr="00CD59CC">
        <w:rPr>
          <w:rFonts w:ascii="Arial" w:hAnsi="Arial" w:cs="Arial"/>
        </w:rPr>
        <w:t>ement of</w:t>
      </w:r>
      <w:r w:rsidRPr="00CD59CC">
        <w:rPr>
          <w:rFonts w:ascii="Arial" w:hAnsi="Arial" w:cs="Arial"/>
        </w:rPr>
        <w:t xml:space="preserve"> the living conditions and social situation and promoting the social integration of people living in extreme poverty.</w:t>
      </w:r>
      <w:r w:rsidR="00E10B68" w:rsidRPr="00CD59CC">
        <w:rPr>
          <w:rFonts w:ascii="Arial" w:hAnsi="Arial" w:cs="Arial"/>
        </w:rPr>
        <w:t xml:space="preserve"> The Committee consists of </w:t>
      </w:r>
      <w:r w:rsidRPr="00CD59CC">
        <w:rPr>
          <w:rFonts w:ascii="Arial" w:hAnsi="Arial" w:cs="Arial"/>
        </w:rPr>
        <w:t>representat</w:t>
      </w:r>
      <w:r w:rsidR="00E10B68" w:rsidRPr="00CD59CC">
        <w:rPr>
          <w:rFonts w:ascii="Arial" w:hAnsi="Arial" w:cs="Arial"/>
        </w:rPr>
        <w:t xml:space="preserve">ives of the relevant ministries and is chaired by the </w:t>
      </w:r>
      <w:r w:rsidRPr="00CD59CC">
        <w:rPr>
          <w:rFonts w:ascii="Arial" w:hAnsi="Arial" w:cs="Arial"/>
        </w:rPr>
        <w:t>Minister of Human Resources</w:t>
      </w:r>
      <w:r w:rsidR="00E10B68" w:rsidRPr="00CD59CC">
        <w:rPr>
          <w:rFonts w:ascii="Arial" w:hAnsi="Arial" w:cs="Arial"/>
        </w:rPr>
        <w:t>. The Committee’s working groups hold consultations with the relevant government agencies on issues including regional development, employment policy, education policy, social policy and health care</w:t>
      </w:r>
    </w:p>
    <w:p w14:paraId="0F7EDD41" w14:textId="77777777" w:rsidR="004D047A" w:rsidRPr="00CD59CC" w:rsidRDefault="004D047A" w:rsidP="00CD59CC">
      <w:pPr>
        <w:rPr>
          <w:rFonts w:ascii="Arial" w:hAnsi="Arial" w:cs="Arial"/>
        </w:rPr>
      </w:pPr>
    </w:p>
    <w:p w14:paraId="10FACA0D" w14:textId="77777777" w:rsidR="004D047A" w:rsidRPr="00CD59CC" w:rsidRDefault="00E10B68" w:rsidP="00CD59CC">
      <w:pPr>
        <w:rPr>
          <w:rFonts w:ascii="Arial" w:hAnsi="Arial" w:cs="Arial"/>
        </w:rPr>
      </w:pPr>
      <w:r w:rsidRPr="00CD59CC">
        <w:rPr>
          <w:rFonts w:ascii="Arial" w:hAnsi="Arial" w:cs="Arial"/>
        </w:rPr>
        <w:t xml:space="preserve">The fact that this abundance of different coordination bodies does not </w:t>
      </w:r>
      <w:r w:rsidR="00106E04" w:rsidRPr="00CD59CC">
        <w:rPr>
          <w:rFonts w:ascii="Arial" w:hAnsi="Arial" w:cs="Arial"/>
        </w:rPr>
        <w:t xml:space="preserve">necessarily entail efficient operation is shown by what happened to the </w:t>
      </w:r>
      <w:r w:rsidR="004D047A" w:rsidRPr="00CD59CC">
        <w:rPr>
          <w:rFonts w:ascii="Arial" w:hAnsi="Arial" w:cs="Arial"/>
        </w:rPr>
        <w:t>Anti-Segregation Roundtable</w:t>
      </w:r>
      <w:r w:rsidR="00106E04" w:rsidRPr="00CD59CC">
        <w:rPr>
          <w:rFonts w:ascii="Arial" w:hAnsi="Arial" w:cs="Arial"/>
        </w:rPr>
        <w:t xml:space="preserve">, which </w:t>
      </w:r>
      <w:r w:rsidR="004D047A" w:rsidRPr="00CD59CC">
        <w:rPr>
          <w:rFonts w:ascii="Arial" w:hAnsi="Arial" w:cs="Arial"/>
        </w:rPr>
        <w:t>was established in June 2013</w:t>
      </w:r>
      <w:r w:rsidR="00106E04" w:rsidRPr="00CD59CC">
        <w:rPr>
          <w:rFonts w:ascii="Arial" w:hAnsi="Arial" w:cs="Arial"/>
        </w:rPr>
        <w:t xml:space="preserve"> with the declared aim of monitoring and discussing important issues related to </w:t>
      </w:r>
      <w:r w:rsidR="004D047A" w:rsidRPr="00CD59CC">
        <w:rPr>
          <w:rFonts w:ascii="Arial" w:hAnsi="Arial" w:cs="Arial"/>
        </w:rPr>
        <w:t>education</w:t>
      </w:r>
      <w:r w:rsidR="00106E04" w:rsidRPr="00CD59CC">
        <w:rPr>
          <w:rFonts w:ascii="Arial" w:hAnsi="Arial" w:cs="Arial"/>
        </w:rPr>
        <w:t>al integration and segregation (participation</w:t>
      </w:r>
      <w:r w:rsidR="00A703CD" w:rsidRPr="00CD59CC">
        <w:rPr>
          <w:rFonts w:ascii="Arial" w:hAnsi="Arial" w:cs="Arial"/>
        </w:rPr>
        <w:t xml:space="preserve"> of civil society and churches</w:t>
      </w:r>
      <w:r w:rsidR="00106E04" w:rsidRPr="00CD59CC">
        <w:rPr>
          <w:rFonts w:ascii="Arial" w:hAnsi="Arial" w:cs="Arial"/>
        </w:rPr>
        <w:t xml:space="preserve">, </w:t>
      </w:r>
      <w:r w:rsidR="004D047A" w:rsidRPr="00CD59CC">
        <w:rPr>
          <w:rFonts w:ascii="Arial" w:hAnsi="Arial" w:cs="Arial"/>
        </w:rPr>
        <w:t>professiona</w:t>
      </w:r>
      <w:r w:rsidR="00A703CD" w:rsidRPr="00CD59CC">
        <w:rPr>
          <w:rFonts w:ascii="Arial" w:hAnsi="Arial" w:cs="Arial"/>
        </w:rPr>
        <w:t xml:space="preserve">l standards, etc.). The roundtable was envisaged to enhance the communication of governmental and civilian actors, however, </w:t>
      </w:r>
      <w:r w:rsidR="00AC347F" w:rsidRPr="00CD59CC">
        <w:rPr>
          <w:rFonts w:ascii="Arial" w:hAnsi="Arial" w:cs="Arial"/>
        </w:rPr>
        <w:t>two representatives of the civil sector, a head of an after-school study centre and the Chance for Children Foundation left the roundtable in July and September 2013 respectively, claiming that the government disregarded their views and demands and that the meetings were not productive at all</w:t>
      </w:r>
      <w:r w:rsidR="003C6BF9" w:rsidRPr="00CD59CC">
        <w:rPr>
          <w:rFonts w:ascii="Arial" w:hAnsi="Arial" w:cs="Arial"/>
        </w:rPr>
        <w:t>.</w:t>
      </w:r>
      <w:r w:rsidR="003C6BF9" w:rsidRPr="00CD59CC">
        <w:rPr>
          <w:rStyle w:val="FootnoteReference"/>
          <w:rFonts w:ascii="Arial" w:hAnsi="Arial" w:cs="Arial"/>
        </w:rPr>
        <w:footnoteReference w:id="139"/>
      </w:r>
    </w:p>
    <w:p w14:paraId="00261A7C" w14:textId="77777777" w:rsidR="001A4BF7" w:rsidRPr="00CD59CC" w:rsidRDefault="001A4BF7" w:rsidP="00CD59CC">
      <w:pPr>
        <w:rPr>
          <w:rFonts w:ascii="Arial" w:hAnsi="Arial" w:cs="Arial"/>
        </w:rPr>
      </w:pPr>
    </w:p>
    <w:p w14:paraId="50D2BEA5" w14:textId="77777777" w:rsidR="00BC7D2E" w:rsidRPr="00CD59CC" w:rsidRDefault="00BC7D2E" w:rsidP="00CD59CC">
      <w:pPr>
        <w:rPr>
          <w:rFonts w:ascii="Arial" w:hAnsi="Arial" w:cs="Arial"/>
          <w:i/>
        </w:rPr>
      </w:pPr>
      <w:r w:rsidRPr="00CD59CC">
        <w:rPr>
          <w:rFonts w:ascii="Arial" w:hAnsi="Arial" w:cs="Arial"/>
          <w:i/>
        </w:rPr>
        <w:t xml:space="preserve">Is there an anti-racism or anti-discrimination National Action Plan? If yes, please describe it briefly. </w:t>
      </w:r>
    </w:p>
    <w:p w14:paraId="3FE8913E" w14:textId="77777777" w:rsidR="00BC7D2E" w:rsidRPr="00CD59CC" w:rsidRDefault="00BC7D2E" w:rsidP="00CD59CC">
      <w:pPr>
        <w:rPr>
          <w:rFonts w:ascii="Arial" w:hAnsi="Arial" w:cs="Arial"/>
        </w:rPr>
      </w:pPr>
    </w:p>
    <w:p w14:paraId="5818BC75" w14:textId="77777777" w:rsidR="001A4BF7" w:rsidRPr="00CD59CC" w:rsidRDefault="001A4BF7" w:rsidP="00CD59CC">
      <w:pPr>
        <w:rPr>
          <w:rFonts w:ascii="Arial" w:hAnsi="Arial" w:cs="Arial"/>
        </w:rPr>
      </w:pPr>
      <w:r w:rsidRPr="00CD59CC">
        <w:rPr>
          <w:rFonts w:ascii="Arial" w:hAnsi="Arial" w:cs="Arial"/>
        </w:rPr>
        <w:t xml:space="preserve">There is no comprehensive anti-racism or anti-discrimination National Action Plan at present. </w:t>
      </w:r>
    </w:p>
    <w:p w14:paraId="2A883066" w14:textId="77777777" w:rsidR="002B5BCD" w:rsidRPr="00CD59CC" w:rsidRDefault="002B5BCD" w:rsidP="00CD59CC">
      <w:pPr>
        <w:pStyle w:val="Heading1"/>
        <w:numPr>
          <w:ilvl w:val="0"/>
          <w:numId w:val="0"/>
        </w:numPr>
        <w:ind w:left="432" w:hanging="432"/>
        <w:rPr>
          <w:rFonts w:cs="Arial"/>
        </w:rPr>
      </w:pPr>
      <w:r w:rsidRPr="00CD59CC">
        <w:rPr>
          <w:rFonts w:cs="Arial"/>
        </w:rPr>
        <w:br w:type="page"/>
      </w:r>
      <w:bookmarkStart w:id="352" w:name="_Toc392758758"/>
      <w:bookmarkStart w:id="353" w:name="_Toc329163650"/>
      <w:bookmarkStart w:id="354" w:name="_Toc366846368"/>
      <w:r w:rsidRPr="00CD59CC">
        <w:rPr>
          <w:rFonts w:cs="Arial"/>
        </w:rPr>
        <w:lastRenderedPageBreak/>
        <w:t>ANNEX</w:t>
      </w:r>
      <w:bookmarkEnd w:id="350"/>
      <w:bookmarkEnd w:id="352"/>
      <w:bookmarkEnd w:id="353"/>
      <w:bookmarkEnd w:id="354"/>
    </w:p>
    <w:p w14:paraId="45B591D8" w14:textId="77777777" w:rsidR="002B5BCD" w:rsidRPr="00CD59CC" w:rsidRDefault="002B5BCD" w:rsidP="00CD59CC">
      <w:pPr>
        <w:rPr>
          <w:rFonts w:ascii="Arial" w:hAnsi="Arial" w:cs="Arial"/>
          <w:b/>
          <w:bCs/>
        </w:rPr>
      </w:pPr>
    </w:p>
    <w:p w14:paraId="61A8EEAC" w14:textId="2E7AD01F" w:rsidR="002B5BCD" w:rsidRPr="00CD59CC" w:rsidRDefault="002B5BCD" w:rsidP="00CD59CC">
      <w:pPr>
        <w:tabs>
          <w:tab w:val="left" w:pos="567"/>
        </w:tabs>
        <w:rPr>
          <w:rFonts w:ascii="Arial" w:hAnsi="Arial" w:cs="Arial"/>
          <w:b/>
          <w:bCs/>
        </w:rPr>
      </w:pPr>
      <w:r w:rsidRPr="00CD59CC">
        <w:rPr>
          <w:rFonts w:ascii="Arial" w:hAnsi="Arial" w:cs="Arial"/>
          <w:b/>
          <w:bCs/>
        </w:rPr>
        <w:t xml:space="preserve">1. </w:t>
      </w:r>
      <w:r w:rsidRPr="00CD59CC">
        <w:rPr>
          <w:rFonts w:ascii="Arial" w:hAnsi="Arial" w:cs="Arial"/>
          <w:b/>
          <w:bCs/>
        </w:rPr>
        <w:tab/>
        <w:t>Table of key national anti-discrimination legislation</w:t>
      </w:r>
      <w:r w:rsidR="007B7640" w:rsidRPr="00CD59CC">
        <w:rPr>
          <w:rFonts w:ascii="Arial" w:hAnsi="Arial" w:cs="Arial"/>
          <w:b/>
          <w:bCs/>
        </w:rPr>
        <w:t xml:space="preserve"> </w:t>
      </w:r>
    </w:p>
    <w:p w14:paraId="28D92935" w14:textId="77777777" w:rsidR="002B5BCD" w:rsidRPr="00CD59CC" w:rsidRDefault="002B5BCD" w:rsidP="00CD59CC">
      <w:pPr>
        <w:tabs>
          <w:tab w:val="left" w:pos="567"/>
        </w:tabs>
        <w:rPr>
          <w:rFonts w:ascii="Arial" w:hAnsi="Arial" w:cs="Arial"/>
          <w:b/>
          <w:bCs/>
        </w:rPr>
      </w:pPr>
      <w:r w:rsidRPr="00CD59CC">
        <w:rPr>
          <w:rFonts w:ascii="Arial" w:hAnsi="Arial" w:cs="Arial"/>
          <w:b/>
          <w:bCs/>
        </w:rPr>
        <w:t xml:space="preserve">2. </w:t>
      </w:r>
      <w:r w:rsidRPr="00CD59CC">
        <w:rPr>
          <w:rFonts w:ascii="Arial" w:hAnsi="Arial" w:cs="Arial"/>
          <w:b/>
          <w:bCs/>
        </w:rPr>
        <w:tab/>
        <w:t>Table of international instruments</w:t>
      </w:r>
    </w:p>
    <w:p w14:paraId="2E0E9F3C" w14:textId="77777777" w:rsidR="002B5BCD" w:rsidRPr="00CD59CC" w:rsidRDefault="002B5BCD" w:rsidP="00CD59CC">
      <w:pPr>
        <w:tabs>
          <w:tab w:val="left" w:pos="567"/>
        </w:tabs>
        <w:rPr>
          <w:rFonts w:ascii="Arial" w:hAnsi="Arial" w:cs="Arial"/>
          <w:b/>
          <w:bCs/>
        </w:rPr>
      </w:pPr>
      <w:r w:rsidRPr="00CD59CC">
        <w:rPr>
          <w:rFonts w:ascii="Arial" w:hAnsi="Arial" w:cs="Arial"/>
          <w:b/>
          <w:bCs/>
        </w:rPr>
        <w:t>3.</w:t>
      </w:r>
      <w:r w:rsidRPr="00CD59CC">
        <w:rPr>
          <w:rFonts w:ascii="Arial" w:hAnsi="Arial" w:cs="Arial"/>
          <w:b/>
          <w:bCs/>
        </w:rPr>
        <w:tab/>
        <w:t xml:space="preserve">Previous case-law </w:t>
      </w:r>
    </w:p>
    <w:p w14:paraId="01FF977E" w14:textId="77777777" w:rsidR="002B5BCD" w:rsidRPr="00CD59CC" w:rsidRDefault="002B5BCD" w:rsidP="00CD59CC">
      <w:pPr>
        <w:rPr>
          <w:rFonts w:ascii="Arial" w:hAnsi="Arial" w:cs="Arial"/>
          <w:b/>
          <w:bCs/>
        </w:rPr>
        <w:sectPr w:rsidR="002B5BCD" w:rsidRPr="00CD59CC" w:rsidSect="00DC2773">
          <w:headerReference w:type="default" r:id="rId20"/>
          <w:footerReference w:type="default" r:id="rId21"/>
          <w:headerReference w:type="first" r:id="rId22"/>
          <w:footerReference w:type="first" r:id="rId23"/>
          <w:pgSz w:w="11906" w:h="16838" w:code="9"/>
          <w:pgMar w:top="1985" w:right="1418" w:bottom="1985" w:left="1418" w:header="794" w:footer="709" w:gutter="0"/>
          <w:pgNumType w:start="0"/>
          <w:cols w:space="708"/>
          <w:titlePg/>
        </w:sectPr>
      </w:pPr>
    </w:p>
    <w:p w14:paraId="45637652" w14:textId="77777777" w:rsidR="002B5BCD" w:rsidRPr="00CD59CC" w:rsidRDefault="002B5BCD" w:rsidP="00CD59CC">
      <w:pPr>
        <w:pStyle w:val="Heading1"/>
        <w:numPr>
          <w:ilvl w:val="0"/>
          <w:numId w:val="0"/>
        </w:numPr>
        <w:ind w:left="432" w:hanging="432"/>
        <w:rPr>
          <w:rFonts w:cs="Arial"/>
        </w:rPr>
      </w:pPr>
      <w:bookmarkStart w:id="355" w:name="_Toc220221189"/>
      <w:bookmarkStart w:id="356" w:name="_Toc392758759"/>
      <w:bookmarkStart w:id="357" w:name="_Toc329163651"/>
      <w:bookmarkStart w:id="358" w:name="_Toc366846369"/>
      <w:r w:rsidRPr="00CD59CC">
        <w:rPr>
          <w:rFonts w:cs="Arial"/>
        </w:rPr>
        <w:lastRenderedPageBreak/>
        <w:t>ANNEX 1: TABLE OF KEY NATIONAL ANTI-DISCRIMINATION LEGISLATION</w:t>
      </w:r>
      <w:bookmarkEnd w:id="355"/>
      <w:bookmarkEnd w:id="356"/>
      <w:bookmarkEnd w:id="357"/>
      <w:bookmarkEnd w:id="358"/>
    </w:p>
    <w:p w14:paraId="13BEEE74" w14:textId="77777777" w:rsidR="002B5BCD" w:rsidRPr="00BB4E9F" w:rsidRDefault="002B5BCD" w:rsidP="00CD59CC">
      <w:pPr>
        <w:rPr>
          <w:rFonts w:ascii="Arial" w:hAnsi="Arial"/>
          <w:lang w:val="en-AU"/>
        </w:rPr>
      </w:pPr>
    </w:p>
    <w:p w14:paraId="1ECE8746" w14:textId="77777777" w:rsidR="002B5BCD" w:rsidRPr="00CD59CC" w:rsidRDefault="002B5BCD" w:rsidP="00CD59CC">
      <w:pPr>
        <w:rPr>
          <w:rFonts w:ascii="Arial" w:hAnsi="Arial" w:cs="Arial"/>
        </w:rPr>
      </w:pPr>
      <w:r w:rsidRPr="00CD59CC">
        <w:rPr>
          <w:rFonts w:ascii="Arial" w:hAnsi="Arial" w:cs="Arial"/>
        </w:rPr>
        <w:t xml:space="preserve">Please list below the </w:t>
      </w:r>
      <w:r w:rsidRPr="00BB4E9F">
        <w:rPr>
          <w:rFonts w:ascii="Arial" w:hAnsi="Arial"/>
          <w:b/>
        </w:rPr>
        <w:t>main transposition and Anti-discrimination legislation</w:t>
      </w:r>
      <w:r w:rsidRPr="00CD59CC">
        <w:rPr>
          <w:rFonts w:ascii="Arial" w:hAnsi="Arial" w:cs="Arial"/>
        </w:rPr>
        <w:t xml:space="preserve"> at both Federal and federated/provincial level</w:t>
      </w:r>
    </w:p>
    <w:p w14:paraId="74284591" w14:textId="77777777" w:rsidR="009F4811" w:rsidRPr="00CD59CC" w:rsidRDefault="009F4811" w:rsidP="00CD59CC">
      <w:pPr>
        <w:rPr>
          <w:rFonts w:ascii="Arial" w:hAnsi="Arial" w:cs="Arial"/>
        </w:rPr>
      </w:pPr>
    </w:p>
    <w:p w14:paraId="4801D445" w14:textId="618E3DC6" w:rsidR="002B5BCD" w:rsidRPr="00CD59CC" w:rsidRDefault="002B5BCD" w:rsidP="00CD59CC">
      <w:pPr>
        <w:rPr>
          <w:rFonts w:ascii="Arial" w:hAnsi="Arial" w:cs="Arial"/>
          <w:b/>
        </w:rPr>
      </w:pPr>
      <w:r w:rsidRPr="00CD59CC">
        <w:rPr>
          <w:rFonts w:ascii="Arial" w:hAnsi="Arial" w:cs="Arial"/>
          <w:b/>
        </w:rPr>
        <w:t>Name of Country</w:t>
      </w:r>
      <w:r w:rsidR="001F4412" w:rsidRPr="00CD59CC">
        <w:rPr>
          <w:rFonts w:ascii="Arial" w:hAnsi="Arial" w:cs="Arial"/>
          <w:b/>
        </w:rPr>
        <w:t>: Hungary</w:t>
      </w:r>
      <w:r w:rsidRPr="00CD59CC">
        <w:rPr>
          <w:rFonts w:ascii="Arial" w:hAnsi="Arial" w:cs="Arial"/>
          <w:b/>
        </w:rPr>
        <w:tab/>
      </w:r>
      <w:r w:rsidRPr="00CD59CC">
        <w:rPr>
          <w:rFonts w:ascii="Arial" w:hAnsi="Arial" w:cs="Arial"/>
          <w:b/>
        </w:rPr>
        <w:tab/>
      </w:r>
      <w:r w:rsidRPr="00CD59CC">
        <w:rPr>
          <w:rFonts w:ascii="Arial" w:hAnsi="Arial" w:cs="Arial"/>
          <w:b/>
        </w:rPr>
        <w:tab/>
      </w:r>
      <w:r w:rsidRPr="00CD59CC">
        <w:rPr>
          <w:rFonts w:ascii="Arial" w:hAnsi="Arial" w:cs="Arial"/>
          <w:b/>
        </w:rPr>
        <w:tab/>
      </w:r>
      <w:r w:rsidRPr="00CD59CC">
        <w:rPr>
          <w:rFonts w:ascii="Arial" w:hAnsi="Arial" w:cs="Arial"/>
          <w:b/>
        </w:rPr>
        <w:tab/>
      </w:r>
      <w:r w:rsidRPr="00CD59CC">
        <w:rPr>
          <w:rFonts w:ascii="Arial" w:hAnsi="Arial" w:cs="Arial"/>
          <w:b/>
        </w:rPr>
        <w:tab/>
      </w:r>
      <w:r w:rsidRPr="00CD59CC">
        <w:rPr>
          <w:rFonts w:ascii="Arial" w:hAnsi="Arial" w:cs="Arial"/>
          <w:b/>
        </w:rPr>
        <w:tab/>
      </w:r>
      <w:r w:rsidRPr="00CD59CC">
        <w:rPr>
          <w:rFonts w:ascii="Arial" w:hAnsi="Arial" w:cs="Arial"/>
          <w:b/>
        </w:rPr>
        <w:tab/>
      </w:r>
      <w:r w:rsidRPr="00CD59CC">
        <w:rPr>
          <w:rFonts w:ascii="Arial" w:hAnsi="Arial" w:cs="Arial"/>
          <w:b/>
        </w:rPr>
        <w:tab/>
      </w:r>
      <w:r w:rsidR="00006D17">
        <w:rPr>
          <w:rFonts w:ascii="Arial" w:hAnsi="Arial" w:cs="Arial"/>
          <w:b/>
        </w:rPr>
        <w:tab/>
      </w:r>
      <w:r w:rsidRPr="00CD59CC">
        <w:rPr>
          <w:rFonts w:ascii="Arial" w:hAnsi="Arial" w:cs="Arial"/>
          <w:b/>
        </w:rPr>
        <w:tab/>
        <w:t>Date</w:t>
      </w:r>
      <w:r w:rsidR="001F4412" w:rsidRPr="00CD59CC">
        <w:rPr>
          <w:rFonts w:ascii="Arial" w:hAnsi="Arial" w:cs="Arial"/>
          <w:b/>
        </w:rPr>
        <w:t>: 1 January 2014</w:t>
      </w:r>
    </w:p>
    <w:p w14:paraId="09393A01" w14:textId="77777777" w:rsidR="002B5BCD" w:rsidRPr="00CD59CC" w:rsidRDefault="002B5BCD" w:rsidP="00CD59CC">
      <w:pPr>
        <w:rPr>
          <w:rFonts w:ascii="Arial" w:hAnsi="Arial" w:cs="Arial"/>
        </w:rPr>
      </w:pP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1"/>
        <w:gridCol w:w="1392"/>
        <w:gridCol w:w="1394"/>
        <w:gridCol w:w="1680"/>
        <w:gridCol w:w="2084"/>
        <w:gridCol w:w="1955"/>
        <w:gridCol w:w="2089"/>
      </w:tblGrid>
      <w:tr w:rsidR="00BB4E9F" w:rsidRPr="00CD59CC" w14:paraId="6F5E27BD" w14:textId="77777777" w:rsidTr="00BB4E9F">
        <w:trPr>
          <w:trHeight w:val="692"/>
        </w:trPr>
        <w:tc>
          <w:tcPr>
            <w:tcW w:w="958" w:type="pct"/>
          </w:tcPr>
          <w:p w14:paraId="7372F128" w14:textId="69E33849" w:rsidR="002B5BCD" w:rsidRPr="00CD59CC" w:rsidRDefault="002B5BCD" w:rsidP="00CD59CC">
            <w:pPr>
              <w:rPr>
                <w:rFonts w:ascii="Arial" w:hAnsi="Arial" w:cs="Arial"/>
                <w:b/>
              </w:rPr>
            </w:pPr>
            <w:r w:rsidRPr="00CD59CC">
              <w:rPr>
                <w:rFonts w:ascii="Arial" w:hAnsi="Arial" w:cs="Arial"/>
                <w:b/>
              </w:rPr>
              <w:t>Title of Legislation</w:t>
            </w:r>
            <w:r w:rsidR="007B7640" w:rsidRPr="00CD59CC">
              <w:rPr>
                <w:rFonts w:ascii="Arial" w:hAnsi="Arial" w:cs="Arial"/>
                <w:b/>
              </w:rPr>
              <w:t xml:space="preserve"> </w:t>
            </w:r>
            <w:r w:rsidRPr="00CD59CC">
              <w:rPr>
                <w:rFonts w:ascii="Arial" w:hAnsi="Arial" w:cs="Arial"/>
                <w:b/>
              </w:rPr>
              <w:t>(including amending legislation)</w:t>
            </w:r>
            <w:r w:rsidR="007B7640" w:rsidRPr="00CD59CC">
              <w:rPr>
                <w:rFonts w:ascii="Arial" w:hAnsi="Arial" w:cs="Arial"/>
                <w:b/>
              </w:rPr>
              <w:t xml:space="preserve"> </w:t>
            </w:r>
          </w:p>
        </w:tc>
        <w:tc>
          <w:tcPr>
            <w:tcW w:w="531" w:type="pct"/>
          </w:tcPr>
          <w:p w14:paraId="111DD1FF" w14:textId="29D84E4C" w:rsidR="002B5BCD" w:rsidRPr="00CD59CC" w:rsidRDefault="002B5BCD" w:rsidP="00CD59CC">
            <w:pPr>
              <w:rPr>
                <w:rFonts w:ascii="Arial" w:hAnsi="Arial" w:cs="Arial"/>
                <w:b/>
              </w:rPr>
            </w:pPr>
            <w:r w:rsidRPr="00CD59CC">
              <w:rPr>
                <w:rFonts w:ascii="Arial" w:hAnsi="Arial" w:cs="Arial"/>
                <w:b/>
              </w:rPr>
              <w:t>Date of adoption</w:t>
            </w:r>
            <w:r w:rsidR="006F754F" w:rsidRPr="00CD59CC">
              <w:rPr>
                <w:rFonts w:ascii="Arial" w:hAnsi="Arial" w:cs="Arial"/>
                <w:b/>
              </w:rPr>
              <w:t>:dd</w:t>
            </w:r>
            <w:r w:rsidRPr="00CD59CC">
              <w:rPr>
                <w:rFonts w:ascii="Arial" w:hAnsi="Arial" w:cs="Arial"/>
                <w:b/>
              </w:rPr>
              <w:t>/m/y</w:t>
            </w:r>
          </w:p>
        </w:tc>
        <w:tc>
          <w:tcPr>
            <w:tcW w:w="532" w:type="pct"/>
          </w:tcPr>
          <w:p w14:paraId="714C7F50" w14:textId="23A2C282" w:rsidR="002B5BCD" w:rsidRPr="00CD59CC" w:rsidRDefault="002B5BCD" w:rsidP="00CD59CC">
            <w:pPr>
              <w:rPr>
                <w:rFonts w:ascii="Arial" w:hAnsi="Arial" w:cs="Arial"/>
                <w:b/>
              </w:rPr>
            </w:pPr>
            <w:r w:rsidRPr="00CD59CC">
              <w:rPr>
                <w:rFonts w:ascii="Arial" w:hAnsi="Arial" w:cs="Arial"/>
                <w:b/>
              </w:rPr>
              <w:t>Date of entry in force from</w:t>
            </w:r>
            <w:r w:rsidR="006F754F" w:rsidRPr="00CD59CC">
              <w:rPr>
                <w:rFonts w:ascii="Arial" w:hAnsi="Arial" w:cs="Arial"/>
                <w:b/>
              </w:rPr>
              <w:t xml:space="preserve"> :dd/m/y</w:t>
            </w:r>
          </w:p>
        </w:tc>
        <w:tc>
          <w:tcPr>
            <w:tcW w:w="641" w:type="pct"/>
          </w:tcPr>
          <w:p w14:paraId="1EBD0D9C" w14:textId="77777777" w:rsidR="002B5BCD" w:rsidRPr="00CD59CC" w:rsidRDefault="002B5BCD" w:rsidP="00CD59CC">
            <w:pPr>
              <w:rPr>
                <w:rFonts w:ascii="Arial" w:hAnsi="Arial" w:cs="Arial"/>
                <w:b/>
              </w:rPr>
            </w:pPr>
            <w:r w:rsidRPr="00CD59CC">
              <w:rPr>
                <w:rFonts w:ascii="Arial" w:hAnsi="Arial" w:cs="Arial"/>
                <w:b/>
              </w:rPr>
              <w:t xml:space="preserve">Grounds covered </w:t>
            </w:r>
          </w:p>
        </w:tc>
        <w:tc>
          <w:tcPr>
            <w:tcW w:w="795" w:type="pct"/>
          </w:tcPr>
          <w:p w14:paraId="55BFE2BA" w14:textId="77777777" w:rsidR="002B5BCD" w:rsidRPr="00CD59CC" w:rsidRDefault="002B5BCD" w:rsidP="00CD59CC">
            <w:pPr>
              <w:rPr>
                <w:rFonts w:ascii="Arial" w:hAnsi="Arial" w:cs="Arial"/>
                <w:b/>
              </w:rPr>
            </w:pPr>
            <w:r w:rsidRPr="00CD59CC">
              <w:rPr>
                <w:rFonts w:ascii="Arial" w:hAnsi="Arial" w:cs="Arial"/>
                <w:b/>
              </w:rPr>
              <w:t>Civil/Administrative/ Criminal Law</w:t>
            </w:r>
          </w:p>
        </w:tc>
        <w:tc>
          <w:tcPr>
            <w:tcW w:w="746" w:type="pct"/>
          </w:tcPr>
          <w:p w14:paraId="3D69D73B" w14:textId="77777777" w:rsidR="002B5BCD" w:rsidRPr="00CD59CC" w:rsidRDefault="002B5BCD" w:rsidP="00CD59CC">
            <w:pPr>
              <w:rPr>
                <w:rFonts w:ascii="Arial" w:hAnsi="Arial" w:cs="Arial"/>
                <w:b/>
              </w:rPr>
            </w:pPr>
            <w:r w:rsidRPr="00CD59CC">
              <w:rPr>
                <w:rFonts w:ascii="Arial" w:hAnsi="Arial" w:cs="Arial"/>
                <w:b/>
              </w:rPr>
              <w:t>Material Scope</w:t>
            </w:r>
          </w:p>
        </w:tc>
        <w:tc>
          <w:tcPr>
            <w:tcW w:w="797" w:type="pct"/>
          </w:tcPr>
          <w:p w14:paraId="2072CE39" w14:textId="77777777" w:rsidR="002B5BCD" w:rsidRPr="00CD59CC" w:rsidRDefault="002B5BCD" w:rsidP="00CD59CC">
            <w:pPr>
              <w:rPr>
                <w:rFonts w:ascii="Arial" w:hAnsi="Arial" w:cs="Arial"/>
                <w:b/>
              </w:rPr>
            </w:pPr>
            <w:r w:rsidRPr="00CD59CC">
              <w:rPr>
                <w:rFonts w:ascii="Arial" w:hAnsi="Arial" w:cs="Arial"/>
                <w:b/>
              </w:rPr>
              <w:t xml:space="preserve">Principal content </w:t>
            </w:r>
          </w:p>
        </w:tc>
      </w:tr>
      <w:tr w:rsidR="00BB4E9F" w:rsidRPr="00CD59CC" w14:paraId="4E65D96F" w14:textId="77777777" w:rsidTr="00BB4E9F">
        <w:trPr>
          <w:trHeight w:val="842"/>
        </w:trPr>
        <w:tc>
          <w:tcPr>
            <w:tcW w:w="958" w:type="pct"/>
          </w:tcPr>
          <w:p w14:paraId="0A275EFF" w14:textId="77777777" w:rsidR="002B5BCD" w:rsidRPr="00CD59CC" w:rsidRDefault="002B5BCD" w:rsidP="00CD59CC">
            <w:pPr>
              <w:rPr>
                <w:rFonts w:ascii="Arial" w:hAnsi="Arial" w:cs="Arial"/>
              </w:rPr>
            </w:pPr>
            <w:r w:rsidRPr="00CD59CC">
              <w:rPr>
                <w:rFonts w:ascii="Arial" w:hAnsi="Arial" w:cs="Arial"/>
              </w:rPr>
              <w:t>Title of the law:</w:t>
            </w:r>
          </w:p>
          <w:p w14:paraId="23740E51" w14:textId="77777777" w:rsidR="002B5BCD" w:rsidRPr="00CD59CC" w:rsidRDefault="002B5BCD" w:rsidP="00CD59CC">
            <w:pPr>
              <w:rPr>
                <w:rFonts w:ascii="Arial" w:hAnsi="Arial" w:cs="Arial"/>
              </w:rPr>
            </w:pPr>
            <w:r w:rsidRPr="00CD59CC">
              <w:rPr>
                <w:rFonts w:ascii="Arial" w:hAnsi="Arial" w:cs="Arial"/>
              </w:rPr>
              <w:t>Abbreviation:</w:t>
            </w:r>
          </w:p>
          <w:p w14:paraId="3655FD50" w14:textId="77777777" w:rsidR="002B5BCD" w:rsidRPr="00CD59CC" w:rsidRDefault="002B5BCD" w:rsidP="00CD59CC">
            <w:pPr>
              <w:rPr>
                <w:rFonts w:ascii="Arial" w:hAnsi="Arial" w:cs="Arial"/>
              </w:rPr>
            </w:pPr>
            <w:r w:rsidRPr="00CD59CC">
              <w:rPr>
                <w:rFonts w:ascii="Arial" w:hAnsi="Arial" w:cs="Arial"/>
              </w:rPr>
              <w:t>Date of adoption:</w:t>
            </w:r>
          </w:p>
          <w:p w14:paraId="1BE3AF45" w14:textId="360CBC1C" w:rsidR="002B5BCD" w:rsidRPr="00CD59CC" w:rsidRDefault="002B5BCD" w:rsidP="00CD59CC">
            <w:pPr>
              <w:rPr>
                <w:rFonts w:ascii="Arial" w:hAnsi="Arial" w:cs="Arial"/>
              </w:rPr>
            </w:pPr>
            <w:r w:rsidRPr="00CD59CC">
              <w:rPr>
                <w:rFonts w:ascii="Arial" w:hAnsi="Arial" w:cs="Arial"/>
              </w:rPr>
              <w:t>Latest amendments;</w:t>
            </w:r>
          </w:p>
          <w:p w14:paraId="08C7AF4E" w14:textId="77777777" w:rsidR="002B5BCD" w:rsidRPr="00CD59CC" w:rsidRDefault="002B5BCD" w:rsidP="00CD59CC">
            <w:pPr>
              <w:rPr>
                <w:rFonts w:ascii="Arial" w:hAnsi="Arial" w:cs="Arial"/>
              </w:rPr>
            </w:pPr>
            <w:r w:rsidRPr="00CD59CC">
              <w:rPr>
                <w:rFonts w:ascii="Arial" w:hAnsi="Arial" w:cs="Arial"/>
              </w:rPr>
              <w:t>Entry into force:</w:t>
            </w:r>
          </w:p>
          <w:p w14:paraId="72C3E618" w14:textId="11DB07E3" w:rsidR="002B5BCD" w:rsidRPr="00CD59CC" w:rsidRDefault="002B5BCD" w:rsidP="00CD59CC">
            <w:pPr>
              <w:rPr>
                <w:rFonts w:ascii="Arial" w:hAnsi="Arial" w:cs="Arial"/>
              </w:rPr>
            </w:pPr>
            <w:r w:rsidRPr="00CD59CC">
              <w:rPr>
                <w:rFonts w:ascii="Arial" w:hAnsi="Arial" w:cs="Arial"/>
              </w:rPr>
              <w:t>Where the legislation is available electronically, provide the webpage address.</w:t>
            </w:r>
            <w:r w:rsidR="007B7640" w:rsidRPr="00CD59CC">
              <w:rPr>
                <w:rFonts w:ascii="Arial" w:hAnsi="Arial" w:cs="Arial"/>
              </w:rPr>
              <w:t xml:space="preserve"> </w:t>
            </w:r>
          </w:p>
        </w:tc>
        <w:tc>
          <w:tcPr>
            <w:tcW w:w="531" w:type="pct"/>
          </w:tcPr>
          <w:p w14:paraId="605F2785" w14:textId="77777777" w:rsidR="002B5BCD" w:rsidRPr="00CD59CC" w:rsidRDefault="002B5BCD" w:rsidP="00CD59CC">
            <w:pPr>
              <w:rPr>
                <w:rFonts w:ascii="Arial" w:hAnsi="Arial" w:cs="Arial"/>
              </w:rPr>
            </w:pPr>
          </w:p>
        </w:tc>
        <w:tc>
          <w:tcPr>
            <w:tcW w:w="532" w:type="pct"/>
          </w:tcPr>
          <w:p w14:paraId="3D7BFC72" w14:textId="77777777" w:rsidR="002B5BCD" w:rsidRPr="00CD59CC" w:rsidRDefault="002B5BCD" w:rsidP="00CD59CC">
            <w:pPr>
              <w:rPr>
                <w:rFonts w:ascii="Arial" w:hAnsi="Arial" w:cs="Arial"/>
              </w:rPr>
            </w:pPr>
          </w:p>
        </w:tc>
        <w:tc>
          <w:tcPr>
            <w:tcW w:w="641" w:type="pct"/>
          </w:tcPr>
          <w:p w14:paraId="5890872A" w14:textId="77777777" w:rsidR="002B5BCD" w:rsidRPr="00CD59CC" w:rsidRDefault="002B5BCD" w:rsidP="00CD59CC">
            <w:pPr>
              <w:rPr>
                <w:rFonts w:ascii="Arial" w:hAnsi="Arial" w:cs="Arial"/>
                <w:b/>
                <w:bCs/>
              </w:rPr>
            </w:pPr>
            <w:r w:rsidRPr="00CD59CC">
              <w:rPr>
                <w:rFonts w:ascii="Arial" w:hAnsi="Arial" w:cs="Arial"/>
                <w:b/>
                <w:bCs/>
              </w:rPr>
              <w:t>Please specify</w:t>
            </w:r>
          </w:p>
        </w:tc>
        <w:tc>
          <w:tcPr>
            <w:tcW w:w="795" w:type="pct"/>
          </w:tcPr>
          <w:p w14:paraId="3B9E49B9" w14:textId="77777777" w:rsidR="002B5BCD" w:rsidRPr="00CD59CC" w:rsidRDefault="002B5BCD" w:rsidP="00CD59CC">
            <w:pPr>
              <w:rPr>
                <w:rFonts w:ascii="Arial" w:hAnsi="Arial" w:cs="Arial"/>
                <w:b/>
                <w:bCs/>
              </w:rPr>
            </w:pPr>
            <w:r w:rsidRPr="00CD59CC">
              <w:rPr>
                <w:rFonts w:ascii="Arial" w:hAnsi="Arial" w:cs="Arial"/>
                <w:b/>
                <w:bCs/>
              </w:rPr>
              <w:t>Please specify</w:t>
            </w:r>
          </w:p>
        </w:tc>
        <w:tc>
          <w:tcPr>
            <w:tcW w:w="746" w:type="pct"/>
          </w:tcPr>
          <w:p w14:paraId="427F1486" w14:textId="77777777" w:rsidR="002B5BCD" w:rsidRPr="00CD59CC" w:rsidRDefault="002B5BCD" w:rsidP="00CD59CC">
            <w:pPr>
              <w:rPr>
                <w:rFonts w:ascii="Arial" w:hAnsi="Arial" w:cs="Arial"/>
              </w:rPr>
            </w:pPr>
            <w:r w:rsidRPr="00CD59CC">
              <w:rPr>
                <w:rFonts w:ascii="Arial" w:hAnsi="Arial" w:cs="Arial"/>
              </w:rPr>
              <w:t>e.g. public employment, private employment, access to goods or services (including housing), social protection, social advantages, education</w:t>
            </w:r>
          </w:p>
        </w:tc>
        <w:tc>
          <w:tcPr>
            <w:tcW w:w="797" w:type="pct"/>
          </w:tcPr>
          <w:p w14:paraId="20433C1D" w14:textId="77777777" w:rsidR="002B5BCD" w:rsidRPr="00CD59CC" w:rsidRDefault="002B5BCD" w:rsidP="00CD59CC">
            <w:pPr>
              <w:rPr>
                <w:rFonts w:ascii="Arial" w:hAnsi="Arial" w:cs="Arial"/>
              </w:rPr>
            </w:pPr>
            <w:r w:rsidRPr="00CD59CC">
              <w:rPr>
                <w:rFonts w:ascii="Arial" w:hAnsi="Arial" w:cs="Arial"/>
              </w:rPr>
              <w:t>e.g. prohibition of direct and indirect discrimination, harassment, instruction to discriminate or creation of a specialised body</w:t>
            </w:r>
          </w:p>
        </w:tc>
      </w:tr>
      <w:tr w:rsidR="00BB4E9F" w:rsidRPr="00CD59CC" w14:paraId="19584A7B" w14:textId="77777777" w:rsidTr="00BB4E9F">
        <w:trPr>
          <w:trHeight w:val="841"/>
        </w:trPr>
        <w:tc>
          <w:tcPr>
            <w:tcW w:w="958" w:type="pct"/>
          </w:tcPr>
          <w:p w14:paraId="34535A4E" w14:textId="77777777" w:rsidR="001F4412" w:rsidRPr="00CD59CC" w:rsidRDefault="001F4412" w:rsidP="00CD59CC">
            <w:pPr>
              <w:snapToGrid w:val="0"/>
              <w:rPr>
                <w:rFonts w:ascii="Arial" w:hAnsi="Arial" w:cs="Arial"/>
                <w:bCs/>
              </w:rPr>
            </w:pPr>
            <w:r w:rsidRPr="00CD59CC">
              <w:rPr>
                <w:rFonts w:ascii="Arial" w:hAnsi="Arial" w:cs="Arial"/>
              </w:rPr>
              <w:t xml:space="preserve">Title of the law: Fundamental Law of Hungary (Article XV) Abbreviation: Fundamental Law </w:t>
            </w:r>
            <w:r w:rsidRPr="00CD59CC">
              <w:rPr>
                <w:rFonts w:ascii="Arial" w:hAnsi="Arial" w:cs="Arial"/>
              </w:rPr>
              <w:lastRenderedPageBreak/>
              <w:t xml:space="preserve">Date of adoption: </w:t>
            </w:r>
            <w:r w:rsidRPr="00CD59CC">
              <w:rPr>
                <w:rFonts w:ascii="Arial" w:hAnsi="Arial" w:cs="Arial"/>
                <w:bCs/>
              </w:rPr>
              <w:t xml:space="preserve">25/04/2011 </w:t>
            </w:r>
          </w:p>
          <w:p w14:paraId="7CBC3A26" w14:textId="1ACA4BA3" w:rsidR="001F4412" w:rsidRPr="00CD59CC" w:rsidRDefault="001F4412" w:rsidP="00CD59CC">
            <w:pPr>
              <w:snapToGrid w:val="0"/>
              <w:rPr>
                <w:rFonts w:ascii="Arial" w:hAnsi="Arial" w:cs="Arial"/>
              </w:rPr>
            </w:pPr>
            <w:r w:rsidRPr="00CD59CC">
              <w:rPr>
                <w:rFonts w:ascii="Arial" w:hAnsi="Arial" w:cs="Arial"/>
              </w:rPr>
              <w:t xml:space="preserve">Latest amendments: 26/09/2013 </w:t>
            </w:r>
          </w:p>
          <w:p w14:paraId="5C0FBF83" w14:textId="77777777" w:rsidR="001F4412" w:rsidRPr="00CD59CC" w:rsidRDefault="001F4412" w:rsidP="00CD59CC">
            <w:pPr>
              <w:snapToGrid w:val="0"/>
              <w:rPr>
                <w:rFonts w:ascii="Arial" w:hAnsi="Arial" w:cs="Arial"/>
                <w:bCs/>
              </w:rPr>
            </w:pPr>
            <w:r w:rsidRPr="00CD59CC">
              <w:rPr>
                <w:rFonts w:ascii="Arial" w:hAnsi="Arial" w:cs="Arial"/>
              </w:rPr>
              <w:t xml:space="preserve">Entry into force: </w:t>
            </w:r>
            <w:r w:rsidRPr="00CD59CC">
              <w:rPr>
                <w:rFonts w:ascii="Arial" w:hAnsi="Arial" w:cs="Arial"/>
                <w:bCs/>
              </w:rPr>
              <w:t>01/01/2012</w:t>
            </w:r>
          </w:p>
          <w:p w14:paraId="6332DA3B" w14:textId="5DC45A38" w:rsidR="001F4412" w:rsidRPr="00CD59CC" w:rsidRDefault="001F4412" w:rsidP="00CD59CC">
            <w:pPr>
              <w:snapToGrid w:val="0"/>
              <w:rPr>
                <w:rFonts w:ascii="Arial" w:hAnsi="Arial" w:cs="Arial"/>
              </w:rPr>
            </w:pPr>
            <w:r w:rsidRPr="00CD59CC">
              <w:rPr>
                <w:rFonts w:ascii="Arial" w:hAnsi="Arial" w:cs="Arial"/>
                <w:bCs/>
              </w:rPr>
              <w:t xml:space="preserve">Webpage: </w:t>
            </w:r>
            <w:hyperlink r:id="rId24" w:history="1">
              <w:r w:rsidRPr="00CD59CC">
                <w:rPr>
                  <w:rStyle w:val="Hyperlink"/>
                  <w:rFonts w:ascii="Arial" w:hAnsi="Arial" w:cs="Arial"/>
                  <w:bCs/>
                </w:rPr>
                <w:t>http://jogszabalykereso.mhk.h</w:t>
              </w:r>
              <w:bookmarkStart w:id="359" w:name="_Hlt391636469"/>
              <w:r w:rsidRPr="00CD59CC">
                <w:rPr>
                  <w:rStyle w:val="Hyperlink"/>
                  <w:rFonts w:ascii="Arial" w:hAnsi="Arial" w:cs="Arial"/>
                  <w:bCs/>
                </w:rPr>
                <w:t>u</w:t>
              </w:r>
              <w:bookmarkEnd w:id="359"/>
              <w:r w:rsidRPr="00CD59CC">
                <w:rPr>
                  <w:rStyle w:val="Hyperlink"/>
                  <w:rFonts w:ascii="Arial" w:hAnsi="Arial" w:cs="Arial"/>
                  <w:bCs/>
                </w:rPr>
                <w:t>/cgi_bin/njt_doc.cgi?docid=137076.626975</w:t>
              </w:r>
            </w:hyperlink>
          </w:p>
        </w:tc>
        <w:tc>
          <w:tcPr>
            <w:tcW w:w="531" w:type="pct"/>
          </w:tcPr>
          <w:p w14:paraId="30EAFAE0" w14:textId="77777777" w:rsidR="001F4412" w:rsidRPr="00CD59CC" w:rsidRDefault="001F4412" w:rsidP="00CD59CC">
            <w:pPr>
              <w:rPr>
                <w:rFonts w:ascii="Arial" w:hAnsi="Arial" w:cs="Arial"/>
                <w:bCs/>
              </w:rPr>
            </w:pPr>
            <w:r w:rsidRPr="00CD59CC">
              <w:rPr>
                <w:rFonts w:ascii="Arial" w:hAnsi="Arial" w:cs="Arial"/>
                <w:bCs/>
              </w:rPr>
              <w:lastRenderedPageBreak/>
              <w:t>25/04/2011</w:t>
            </w:r>
          </w:p>
        </w:tc>
        <w:tc>
          <w:tcPr>
            <w:tcW w:w="532" w:type="pct"/>
          </w:tcPr>
          <w:p w14:paraId="41A73D5D" w14:textId="77777777" w:rsidR="001F4412" w:rsidRPr="00CD59CC" w:rsidRDefault="001F4412" w:rsidP="00CD59CC">
            <w:pPr>
              <w:snapToGrid w:val="0"/>
              <w:rPr>
                <w:rFonts w:ascii="Arial" w:hAnsi="Arial" w:cs="Arial"/>
                <w:bCs/>
              </w:rPr>
            </w:pPr>
            <w:r w:rsidRPr="00CD59CC">
              <w:rPr>
                <w:rFonts w:ascii="Arial" w:hAnsi="Arial" w:cs="Arial"/>
                <w:bCs/>
              </w:rPr>
              <w:t>01/01/2012</w:t>
            </w:r>
          </w:p>
        </w:tc>
        <w:tc>
          <w:tcPr>
            <w:tcW w:w="641" w:type="pct"/>
          </w:tcPr>
          <w:p w14:paraId="47E9F865" w14:textId="77777777" w:rsidR="001F4412" w:rsidRPr="00CD59CC" w:rsidRDefault="001F4412" w:rsidP="00CD59CC">
            <w:pPr>
              <w:snapToGrid w:val="0"/>
              <w:rPr>
                <w:rFonts w:ascii="Arial" w:hAnsi="Arial" w:cs="Arial"/>
                <w:bCs/>
              </w:rPr>
            </w:pPr>
            <w:r w:rsidRPr="00CD59CC">
              <w:rPr>
                <w:rFonts w:ascii="Arial" w:hAnsi="Arial" w:cs="Arial"/>
                <w:bCs/>
              </w:rPr>
              <w:t>All</w:t>
            </w:r>
          </w:p>
        </w:tc>
        <w:tc>
          <w:tcPr>
            <w:tcW w:w="795" w:type="pct"/>
          </w:tcPr>
          <w:p w14:paraId="75EB0BD6" w14:textId="77777777" w:rsidR="001F4412" w:rsidRPr="00CD59CC" w:rsidRDefault="001F4412" w:rsidP="00CD59CC">
            <w:pPr>
              <w:snapToGrid w:val="0"/>
              <w:rPr>
                <w:rFonts w:ascii="Arial" w:hAnsi="Arial" w:cs="Arial"/>
                <w:bCs/>
              </w:rPr>
            </w:pPr>
            <w:r w:rsidRPr="00CD59CC">
              <w:rPr>
                <w:rFonts w:ascii="Arial" w:hAnsi="Arial" w:cs="Arial"/>
                <w:bCs/>
              </w:rPr>
              <w:t xml:space="preserve">Constitutional law </w:t>
            </w:r>
          </w:p>
        </w:tc>
        <w:tc>
          <w:tcPr>
            <w:tcW w:w="746" w:type="pct"/>
          </w:tcPr>
          <w:p w14:paraId="55320614" w14:textId="77777777" w:rsidR="001F4412" w:rsidRPr="00CD59CC" w:rsidRDefault="001F4412" w:rsidP="00CD59CC">
            <w:pPr>
              <w:snapToGrid w:val="0"/>
              <w:rPr>
                <w:rFonts w:ascii="Arial" w:hAnsi="Arial" w:cs="Arial"/>
                <w:bCs/>
              </w:rPr>
            </w:pPr>
            <w:r w:rsidRPr="00CD59CC">
              <w:rPr>
                <w:rFonts w:ascii="Arial" w:hAnsi="Arial" w:cs="Arial"/>
                <w:bCs/>
              </w:rPr>
              <w:t xml:space="preserve">All </w:t>
            </w:r>
          </w:p>
        </w:tc>
        <w:tc>
          <w:tcPr>
            <w:tcW w:w="797" w:type="pct"/>
          </w:tcPr>
          <w:p w14:paraId="7B20187C" w14:textId="77777777" w:rsidR="001F4412" w:rsidRPr="00CD59CC" w:rsidRDefault="001F4412" w:rsidP="00CD59CC">
            <w:pPr>
              <w:snapToGrid w:val="0"/>
              <w:rPr>
                <w:rFonts w:ascii="Arial" w:hAnsi="Arial" w:cs="Arial"/>
              </w:rPr>
            </w:pPr>
            <w:r w:rsidRPr="00CD59CC">
              <w:rPr>
                <w:rFonts w:ascii="Arial" w:hAnsi="Arial" w:cs="Arial"/>
              </w:rPr>
              <w:t>general prohibition of discrimination</w:t>
            </w:r>
          </w:p>
        </w:tc>
      </w:tr>
      <w:tr w:rsidR="00BB4E9F" w:rsidRPr="00CD59CC" w14:paraId="2F59D652" w14:textId="77777777" w:rsidTr="00BB4E9F">
        <w:trPr>
          <w:trHeight w:val="842"/>
        </w:trPr>
        <w:tc>
          <w:tcPr>
            <w:tcW w:w="958" w:type="pct"/>
          </w:tcPr>
          <w:p w14:paraId="6B2E06DB" w14:textId="77777777" w:rsidR="001F4412" w:rsidRPr="00CD59CC" w:rsidRDefault="001F4412" w:rsidP="00CD59CC">
            <w:pPr>
              <w:snapToGrid w:val="0"/>
              <w:rPr>
                <w:rFonts w:ascii="Arial" w:hAnsi="Arial" w:cs="Arial"/>
              </w:rPr>
            </w:pPr>
            <w:r w:rsidRPr="00CD59CC">
              <w:rPr>
                <w:rFonts w:ascii="Arial" w:hAnsi="Arial" w:cs="Arial"/>
              </w:rPr>
              <w:t>Title of the law: Act CXXV of 2003 on Equal Treatment and the Promotion of the Equality of Opportunities</w:t>
            </w:r>
          </w:p>
          <w:p w14:paraId="5FC9E5E9" w14:textId="77777777" w:rsidR="001F4412" w:rsidRPr="00CD59CC" w:rsidRDefault="001F4412" w:rsidP="00CD59CC">
            <w:pPr>
              <w:rPr>
                <w:rFonts w:ascii="Arial" w:hAnsi="Arial" w:cs="Arial"/>
              </w:rPr>
            </w:pPr>
            <w:r w:rsidRPr="00CD59CC">
              <w:rPr>
                <w:rFonts w:ascii="Arial" w:hAnsi="Arial" w:cs="Arial"/>
              </w:rPr>
              <w:t>Abbreviation: ETA</w:t>
            </w:r>
          </w:p>
          <w:p w14:paraId="5F85FA47" w14:textId="77777777" w:rsidR="001F4412" w:rsidRPr="00CD59CC" w:rsidRDefault="001F4412" w:rsidP="00CD59CC">
            <w:pPr>
              <w:rPr>
                <w:rFonts w:ascii="Arial" w:hAnsi="Arial" w:cs="Arial"/>
              </w:rPr>
            </w:pPr>
            <w:r w:rsidRPr="00CD59CC">
              <w:rPr>
                <w:rFonts w:ascii="Arial" w:hAnsi="Arial" w:cs="Arial"/>
              </w:rPr>
              <w:t xml:space="preserve">Date of adoption: </w:t>
            </w:r>
            <w:r w:rsidRPr="00CD59CC">
              <w:rPr>
                <w:rFonts w:ascii="Arial" w:hAnsi="Arial" w:cs="Arial"/>
                <w:bCs/>
              </w:rPr>
              <w:t>28/12/2003</w:t>
            </w:r>
          </w:p>
          <w:p w14:paraId="31DF5F71" w14:textId="50C6046A" w:rsidR="001F4412" w:rsidRPr="00CD59CC" w:rsidRDefault="001F4412" w:rsidP="00CD59CC">
            <w:pPr>
              <w:rPr>
                <w:rFonts w:ascii="Arial" w:hAnsi="Arial" w:cs="Arial"/>
              </w:rPr>
            </w:pPr>
            <w:r w:rsidRPr="00CD59CC">
              <w:rPr>
                <w:rFonts w:ascii="Arial" w:hAnsi="Arial" w:cs="Arial"/>
              </w:rPr>
              <w:t>Latest amendments: 01/</w:t>
            </w:r>
            <w:r w:rsidR="00781A06" w:rsidRPr="00CD59CC">
              <w:rPr>
                <w:rFonts w:ascii="Arial" w:hAnsi="Arial" w:cs="Arial"/>
              </w:rPr>
              <w:t>08/2013</w:t>
            </w:r>
          </w:p>
          <w:p w14:paraId="615D503C" w14:textId="77777777" w:rsidR="001F4412" w:rsidRPr="00CD59CC" w:rsidRDefault="001F4412" w:rsidP="00CD59CC">
            <w:pPr>
              <w:rPr>
                <w:rFonts w:ascii="Arial" w:hAnsi="Arial" w:cs="Arial"/>
                <w:bCs/>
              </w:rPr>
            </w:pPr>
            <w:r w:rsidRPr="00CD59CC">
              <w:rPr>
                <w:rFonts w:ascii="Arial" w:hAnsi="Arial" w:cs="Arial"/>
              </w:rPr>
              <w:t xml:space="preserve">Entry into force: </w:t>
            </w:r>
            <w:r w:rsidRPr="00CD59CC">
              <w:rPr>
                <w:rFonts w:ascii="Arial" w:hAnsi="Arial" w:cs="Arial"/>
                <w:bCs/>
              </w:rPr>
              <w:t>27/01/2004</w:t>
            </w:r>
          </w:p>
          <w:p w14:paraId="53DBF400" w14:textId="57A429D4" w:rsidR="001F4412" w:rsidRPr="00CD59CC" w:rsidRDefault="001F4412" w:rsidP="00CD59CC">
            <w:pPr>
              <w:rPr>
                <w:rFonts w:ascii="Arial" w:hAnsi="Arial" w:cs="Arial"/>
              </w:rPr>
            </w:pPr>
            <w:r w:rsidRPr="00CD59CC">
              <w:rPr>
                <w:rFonts w:ascii="Arial" w:hAnsi="Arial" w:cs="Arial"/>
                <w:bCs/>
              </w:rPr>
              <w:t xml:space="preserve">Webpage: </w:t>
            </w:r>
            <w:hyperlink r:id="rId25" w:history="1">
              <w:r w:rsidRPr="00CD59CC">
                <w:rPr>
                  <w:rStyle w:val="Hyperlink"/>
                  <w:rFonts w:ascii="Arial" w:hAnsi="Arial" w:cs="Arial"/>
                  <w:bCs/>
                </w:rPr>
                <w:t>http://jogszabalykereso.mhk.hu/cgi_</w:t>
              </w:r>
              <w:bookmarkStart w:id="360" w:name="_Hlt391636478"/>
              <w:r w:rsidRPr="00CD59CC">
                <w:rPr>
                  <w:rStyle w:val="Hyperlink"/>
                  <w:rFonts w:ascii="Arial" w:hAnsi="Arial" w:cs="Arial"/>
                  <w:bCs/>
                </w:rPr>
                <w:t>b</w:t>
              </w:r>
              <w:bookmarkEnd w:id="360"/>
              <w:r w:rsidRPr="00CD59CC">
                <w:rPr>
                  <w:rStyle w:val="Hyperlink"/>
                  <w:rFonts w:ascii="Arial" w:hAnsi="Arial" w:cs="Arial"/>
                  <w:bCs/>
                </w:rPr>
                <w:t>in/njt</w:t>
              </w:r>
              <w:r w:rsidRPr="00CD59CC">
                <w:rPr>
                  <w:rStyle w:val="Hyperlink"/>
                  <w:rFonts w:ascii="Arial" w:hAnsi="Arial" w:cs="Arial"/>
                  <w:bCs/>
                </w:rPr>
                <w:lastRenderedPageBreak/>
                <w:t>_doc.cgi?docid=75251.618378</w:t>
              </w:r>
            </w:hyperlink>
          </w:p>
        </w:tc>
        <w:tc>
          <w:tcPr>
            <w:tcW w:w="531" w:type="pct"/>
          </w:tcPr>
          <w:p w14:paraId="382C748C" w14:textId="77777777" w:rsidR="001F4412" w:rsidRPr="00CD59CC" w:rsidRDefault="001F4412" w:rsidP="00CD59CC">
            <w:pPr>
              <w:rPr>
                <w:rFonts w:ascii="Arial" w:hAnsi="Arial" w:cs="Arial"/>
                <w:bCs/>
              </w:rPr>
            </w:pPr>
            <w:r w:rsidRPr="00CD59CC">
              <w:rPr>
                <w:rFonts w:ascii="Arial" w:hAnsi="Arial" w:cs="Arial"/>
                <w:bCs/>
              </w:rPr>
              <w:lastRenderedPageBreak/>
              <w:t>28/12/2003</w:t>
            </w:r>
          </w:p>
        </w:tc>
        <w:tc>
          <w:tcPr>
            <w:tcW w:w="532" w:type="pct"/>
          </w:tcPr>
          <w:p w14:paraId="1C8002D1" w14:textId="77777777" w:rsidR="001F4412" w:rsidRPr="00CD59CC" w:rsidRDefault="001F4412" w:rsidP="00CD59CC">
            <w:pPr>
              <w:snapToGrid w:val="0"/>
              <w:rPr>
                <w:rFonts w:ascii="Arial" w:hAnsi="Arial" w:cs="Arial"/>
                <w:bCs/>
              </w:rPr>
            </w:pPr>
            <w:r w:rsidRPr="00CD59CC">
              <w:rPr>
                <w:rFonts w:ascii="Arial" w:hAnsi="Arial" w:cs="Arial"/>
                <w:bCs/>
              </w:rPr>
              <w:t>27/01/2004</w:t>
            </w:r>
          </w:p>
        </w:tc>
        <w:tc>
          <w:tcPr>
            <w:tcW w:w="641" w:type="pct"/>
          </w:tcPr>
          <w:p w14:paraId="75F8CB3D" w14:textId="77777777" w:rsidR="001F4412" w:rsidRPr="00CD59CC" w:rsidRDefault="001F4412" w:rsidP="00CD59CC">
            <w:pPr>
              <w:snapToGrid w:val="0"/>
              <w:rPr>
                <w:rFonts w:ascii="Arial" w:hAnsi="Arial" w:cs="Arial"/>
                <w:bCs/>
              </w:rPr>
            </w:pPr>
            <w:r w:rsidRPr="00CD59CC">
              <w:rPr>
                <w:rFonts w:ascii="Arial" w:hAnsi="Arial" w:cs="Arial"/>
                <w:bCs/>
              </w:rPr>
              <w:t>All</w:t>
            </w:r>
          </w:p>
        </w:tc>
        <w:tc>
          <w:tcPr>
            <w:tcW w:w="795" w:type="pct"/>
          </w:tcPr>
          <w:p w14:paraId="6499CFA8" w14:textId="77777777" w:rsidR="001F4412" w:rsidRPr="00CD59CC" w:rsidRDefault="001F4412" w:rsidP="00CD59CC">
            <w:pPr>
              <w:snapToGrid w:val="0"/>
              <w:rPr>
                <w:rFonts w:ascii="Arial" w:hAnsi="Arial" w:cs="Arial"/>
                <w:bCs/>
              </w:rPr>
            </w:pPr>
            <w:r w:rsidRPr="00CD59CC">
              <w:rPr>
                <w:rFonts w:ascii="Arial" w:hAnsi="Arial" w:cs="Arial"/>
                <w:bCs/>
              </w:rPr>
              <w:t>Civil and administrative</w:t>
            </w:r>
          </w:p>
        </w:tc>
        <w:tc>
          <w:tcPr>
            <w:tcW w:w="746" w:type="pct"/>
          </w:tcPr>
          <w:p w14:paraId="7BC03A77" w14:textId="77777777" w:rsidR="001F4412" w:rsidRPr="00CD59CC" w:rsidRDefault="001F4412" w:rsidP="00CD59CC">
            <w:pPr>
              <w:snapToGrid w:val="0"/>
              <w:rPr>
                <w:rFonts w:ascii="Arial" w:hAnsi="Arial" w:cs="Arial"/>
                <w:bCs/>
              </w:rPr>
            </w:pPr>
            <w:r w:rsidRPr="00CD59CC">
              <w:rPr>
                <w:rFonts w:ascii="Arial" w:hAnsi="Arial" w:cs="Arial"/>
                <w:bCs/>
              </w:rPr>
              <w:t>All, with special focus on: employment (public and private), social protection and healthcare, housing, education, access to goods and services</w:t>
            </w:r>
          </w:p>
        </w:tc>
        <w:tc>
          <w:tcPr>
            <w:tcW w:w="797" w:type="pct"/>
          </w:tcPr>
          <w:p w14:paraId="188FF0A7" w14:textId="77777777" w:rsidR="001F4412" w:rsidRPr="00CD59CC" w:rsidRDefault="001F4412" w:rsidP="00CD59CC">
            <w:pPr>
              <w:snapToGrid w:val="0"/>
              <w:rPr>
                <w:rFonts w:ascii="Arial" w:hAnsi="Arial" w:cs="Arial"/>
              </w:rPr>
            </w:pPr>
            <w:r w:rsidRPr="00CD59CC">
              <w:rPr>
                <w:rFonts w:ascii="Arial" w:hAnsi="Arial" w:cs="Arial"/>
              </w:rPr>
              <w:t>prohibition of direct and indirect discrimination, victimisation, instruction to discriminate, harassment etc.; creation of a specialised body;</w:t>
            </w:r>
          </w:p>
          <w:p w14:paraId="650FEF3D" w14:textId="77777777" w:rsidR="001F4412" w:rsidRPr="00CD59CC" w:rsidRDefault="001F4412" w:rsidP="00CD59CC">
            <w:pPr>
              <w:rPr>
                <w:rFonts w:ascii="Arial" w:hAnsi="Arial" w:cs="Arial"/>
              </w:rPr>
            </w:pPr>
            <w:r w:rsidRPr="00CD59CC">
              <w:rPr>
                <w:rFonts w:ascii="Arial" w:hAnsi="Arial" w:cs="Arial"/>
              </w:rPr>
              <w:t>shift of the burden of proof; legal standing of associations; sanctions of discrimination, etc.</w:t>
            </w:r>
          </w:p>
        </w:tc>
      </w:tr>
      <w:tr w:rsidR="00BB4E9F" w:rsidRPr="00CD59CC" w14:paraId="0282A09F" w14:textId="77777777" w:rsidTr="00BB4E9F">
        <w:trPr>
          <w:trHeight w:val="841"/>
        </w:trPr>
        <w:tc>
          <w:tcPr>
            <w:tcW w:w="958" w:type="pct"/>
          </w:tcPr>
          <w:p w14:paraId="43C2E584" w14:textId="77777777" w:rsidR="001F4412" w:rsidRPr="00CD59CC" w:rsidRDefault="001F4412" w:rsidP="00CD59CC">
            <w:pPr>
              <w:snapToGrid w:val="0"/>
              <w:rPr>
                <w:rFonts w:ascii="Arial" w:hAnsi="Arial" w:cs="Arial"/>
              </w:rPr>
            </w:pPr>
            <w:r w:rsidRPr="00CD59CC">
              <w:rPr>
                <w:rFonts w:ascii="Arial" w:hAnsi="Arial" w:cs="Arial"/>
              </w:rPr>
              <w:t>Title of the law: Act IV of 1957 on the Civil Code (Art's 75, 76 and 84)</w:t>
            </w:r>
          </w:p>
          <w:p w14:paraId="26EBD75D" w14:textId="77777777" w:rsidR="001F4412" w:rsidRPr="00CD59CC" w:rsidRDefault="001F4412" w:rsidP="00CD59CC">
            <w:pPr>
              <w:rPr>
                <w:rFonts w:ascii="Arial" w:hAnsi="Arial" w:cs="Arial"/>
              </w:rPr>
            </w:pPr>
            <w:r w:rsidRPr="00CD59CC">
              <w:rPr>
                <w:rFonts w:ascii="Arial" w:hAnsi="Arial" w:cs="Arial"/>
              </w:rPr>
              <w:t>Abbreviation: Civil Code</w:t>
            </w:r>
          </w:p>
          <w:p w14:paraId="40B1DF88" w14:textId="77777777" w:rsidR="001F4412" w:rsidRPr="00CD59CC" w:rsidRDefault="001F4412" w:rsidP="00CD59CC">
            <w:pPr>
              <w:rPr>
                <w:rFonts w:ascii="Arial" w:hAnsi="Arial" w:cs="Arial"/>
              </w:rPr>
            </w:pPr>
            <w:r w:rsidRPr="00CD59CC">
              <w:rPr>
                <w:rFonts w:ascii="Arial" w:hAnsi="Arial" w:cs="Arial"/>
              </w:rPr>
              <w:t xml:space="preserve">Date of adoption: </w:t>
            </w:r>
            <w:r w:rsidRPr="00CD59CC">
              <w:rPr>
                <w:rFonts w:ascii="Arial" w:hAnsi="Arial" w:cs="Arial"/>
                <w:bCs/>
              </w:rPr>
              <w:t>11/08/1959</w:t>
            </w:r>
          </w:p>
          <w:p w14:paraId="02D92898" w14:textId="4FE58341" w:rsidR="001F4412" w:rsidRPr="00CD59CC" w:rsidRDefault="001F4412" w:rsidP="00CD59CC">
            <w:pPr>
              <w:rPr>
                <w:rFonts w:ascii="Arial" w:hAnsi="Arial" w:cs="Arial"/>
              </w:rPr>
            </w:pPr>
            <w:r w:rsidRPr="00CD59CC">
              <w:rPr>
                <w:rFonts w:ascii="Arial" w:hAnsi="Arial" w:cs="Arial"/>
              </w:rPr>
              <w:t xml:space="preserve">Latest amendments: </w:t>
            </w:r>
          </w:p>
          <w:p w14:paraId="5FF70DEF" w14:textId="77777777" w:rsidR="00781A06" w:rsidRPr="00CD59CC" w:rsidRDefault="00781A06" w:rsidP="00CD59CC">
            <w:pPr>
              <w:rPr>
                <w:rFonts w:ascii="Arial" w:hAnsi="Arial" w:cs="Arial"/>
              </w:rPr>
            </w:pPr>
            <w:r w:rsidRPr="00CD59CC">
              <w:rPr>
                <w:rFonts w:ascii="Arial" w:hAnsi="Arial" w:cs="Arial"/>
              </w:rPr>
              <w:t>01/01/2014</w:t>
            </w:r>
          </w:p>
          <w:p w14:paraId="23DE64F1" w14:textId="77777777" w:rsidR="001F4412" w:rsidRPr="00CD59CC" w:rsidRDefault="001F4412" w:rsidP="00CD59CC">
            <w:pPr>
              <w:rPr>
                <w:rFonts w:ascii="Arial" w:hAnsi="Arial" w:cs="Arial"/>
              </w:rPr>
            </w:pPr>
            <w:r w:rsidRPr="00CD59CC">
              <w:rPr>
                <w:rFonts w:ascii="Arial" w:hAnsi="Arial" w:cs="Arial"/>
              </w:rPr>
              <w:t>Entry into force:</w:t>
            </w:r>
            <w:r w:rsidRPr="00CD59CC">
              <w:rPr>
                <w:rFonts w:ascii="Arial" w:hAnsi="Arial" w:cs="Arial"/>
                <w:bCs/>
              </w:rPr>
              <w:t xml:space="preserve"> 01/05/1960</w:t>
            </w:r>
          </w:p>
          <w:p w14:paraId="25D3373C" w14:textId="32E93B44" w:rsidR="001F4412" w:rsidRPr="00CD59CC" w:rsidRDefault="001F4412" w:rsidP="00CD59CC">
            <w:pPr>
              <w:snapToGrid w:val="0"/>
              <w:rPr>
                <w:rFonts w:ascii="Arial" w:hAnsi="Arial" w:cs="Arial"/>
              </w:rPr>
            </w:pPr>
            <w:r w:rsidRPr="00CD59CC">
              <w:rPr>
                <w:rFonts w:ascii="Arial" w:hAnsi="Arial" w:cs="Arial"/>
              </w:rPr>
              <w:t>Webpage:</w:t>
            </w:r>
            <w:r w:rsidRPr="00BB4E9F">
              <w:rPr>
                <w:rFonts w:ascii="Arial" w:hAnsi="Arial"/>
              </w:rPr>
              <w:t xml:space="preserve"> </w:t>
            </w:r>
            <w:hyperlink r:id="rId26" w:history="1">
              <w:r w:rsidRPr="00CD59CC">
                <w:rPr>
                  <w:rStyle w:val="Hyperlink"/>
                  <w:rFonts w:ascii="Arial" w:hAnsi="Arial" w:cs="Arial"/>
                </w:rPr>
                <w:t>http://jogszabalykereso.mhk.hu/cgi_</w:t>
              </w:r>
              <w:bookmarkStart w:id="361" w:name="_Hlt391636484"/>
              <w:r w:rsidRPr="00CD59CC">
                <w:rPr>
                  <w:rStyle w:val="Hyperlink"/>
                  <w:rFonts w:ascii="Arial" w:hAnsi="Arial" w:cs="Arial"/>
                </w:rPr>
                <w:t>b</w:t>
              </w:r>
              <w:bookmarkEnd w:id="361"/>
              <w:r w:rsidRPr="00CD59CC">
                <w:rPr>
                  <w:rStyle w:val="Hyperlink"/>
                  <w:rFonts w:ascii="Arial" w:hAnsi="Arial" w:cs="Arial"/>
                </w:rPr>
                <w:t>in/njt_doc.cgi?docid=479.620447</w:t>
              </w:r>
            </w:hyperlink>
          </w:p>
        </w:tc>
        <w:tc>
          <w:tcPr>
            <w:tcW w:w="531" w:type="pct"/>
          </w:tcPr>
          <w:p w14:paraId="32FACFCA" w14:textId="77777777" w:rsidR="001F4412" w:rsidRPr="00CD59CC" w:rsidRDefault="001F4412" w:rsidP="00CD59CC">
            <w:pPr>
              <w:rPr>
                <w:rFonts w:ascii="Arial" w:hAnsi="Arial" w:cs="Arial"/>
                <w:bCs/>
              </w:rPr>
            </w:pPr>
            <w:r w:rsidRPr="00CD59CC">
              <w:rPr>
                <w:rFonts w:ascii="Arial" w:hAnsi="Arial" w:cs="Arial"/>
                <w:bCs/>
              </w:rPr>
              <w:t>11/08/1959</w:t>
            </w:r>
          </w:p>
        </w:tc>
        <w:tc>
          <w:tcPr>
            <w:tcW w:w="532" w:type="pct"/>
          </w:tcPr>
          <w:p w14:paraId="5B024DCD" w14:textId="77777777" w:rsidR="001F4412" w:rsidRPr="00CD59CC" w:rsidRDefault="001F4412" w:rsidP="00CD59CC">
            <w:pPr>
              <w:snapToGrid w:val="0"/>
              <w:rPr>
                <w:rFonts w:ascii="Arial" w:hAnsi="Arial" w:cs="Arial"/>
                <w:bCs/>
              </w:rPr>
            </w:pPr>
            <w:r w:rsidRPr="00CD59CC">
              <w:rPr>
                <w:rFonts w:ascii="Arial" w:hAnsi="Arial" w:cs="Arial"/>
                <w:bCs/>
              </w:rPr>
              <w:t xml:space="preserve">01/05/1960 </w:t>
            </w:r>
          </w:p>
        </w:tc>
        <w:tc>
          <w:tcPr>
            <w:tcW w:w="641" w:type="pct"/>
          </w:tcPr>
          <w:p w14:paraId="026F8E03" w14:textId="77777777" w:rsidR="001F4412" w:rsidRPr="00CD59CC" w:rsidRDefault="001F4412" w:rsidP="00CD59CC">
            <w:pPr>
              <w:snapToGrid w:val="0"/>
              <w:rPr>
                <w:rFonts w:ascii="Arial" w:hAnsi="Arial" w:cs="Arial"/>
                <w:bCs/>
              </w:rPr>
            </w:pPr>
            <w:r w:rsidRPr="00CD59CC">
              <w:rPr>
                <w:rFonts w:ascii="Arial" w:hAnsi="Arial" w:cs="Arial"/>
                <w:bCs/>
              </w:rPr>
              <w:t>All</w:t>
            </w:r>
          </w:p>
        </w:tc>
        <w:tc>
          <w:tcPr>
            <w:tcW w:w="795" w:type="pct"/>
          </w:tcPr>
          <w:p w14:paraId="0CA7C915" w14:textId="77777777" w:rsidR="001F4412" w:rsidRPr="00CD59CC" w:rsidRDefault="001F4412" w:rsidP="00CD59CC">
            <w:pPr>
              <w:snapToGrid w:val="0"/>
              <w:rPr>
                <w:rFonts w:ascii="Arial" w:hAnsi="Arial" w:cs="Arial"/>
                <w:bCs/>
              </w:rPr>
            </w:pPr>
            <w:r w:rsidRPr="00CD59CC">
              <w:rPr>
                <w:rFonts w:ascii="Arial" w:hAnsi="Arial" w:cs="Arial"/>
                <w:bCs/>
              </w:rPr>
              <w:t>Civil</w:t>
            </w:r>
          </w:p>
        </w:tc>
        <w:tc>
          <w:tcPr>
            <w:tcW w:w="746" w:type="pct"/>
          </w:tcPr>
          <w:p w14:paraId="1BD9E2C1" w14:textId="77777777" w:rsidR="001F4412" w:rsidRPr="00CD59CC" w:rsidRDefault="001F4412" w:rsidP="00CD59CC">
            <w:pPr>
              <w:snapToGrid w:val="0"/>
              <w:rPr>
                <w:rFonts w:ascii="Arial" w:hAnsi="Arial" w:cs="Arial"/>
                <w:bCs/>
              </w:rPr>
            </w:pPr>
            <w:r w:rsidRPr="00CD59CC">
              <w:rPr>
                <w:rFonts w:ascii="Arial" w:hAnsi="Arial" w:cs="Arial"/>
                <w:bCs/>
              </w:rPr>
              <w:t>All (with certain exceptions, where sectoral provisions are in place)</w:t>
            </w:r>
          </w:p>
        </w:tc>
        <w:tc>
          <w:tcPr>
            <w:tcW w:w="797" w:type="pct"/>
          </w:tcPr>
          <w:p w14:paraId="10DCD276" w14:textId="77777777" w:rsidR="001F4412" w:rsidRPr="00CD59CC" w:rsidRDefault="001F4412" w:rsidP="00CD59CC">
            <w:pPr>
              <w:snapToGrid w:val="0"/>
              <w:rPr>
                <w:rFonts w:ascii="Arial" w:hAnsi="Arial" w:cs="Arial"/>
                <w:bCs/>
              </w:rPr>
            </w:pPr>
            <w:r w:rsidRPr="00CD59CC">
              <w:rPr>
                <w:rFonts w:ascii="Arial" w:hAnsi="Arial" w:cs="Arial"/>
                <w:bCs/>
              </w:rPr>
              <w:t>prohibition of discrimination, sanctions of discrimination</w:t>
            </w:r>
          </w:p>
        </w:tc>
      </w:tr>
      <w:tr w:rsidR="00BB4E9F" w:rsidRPr="00CD59CC" w14:paraId="71D60879" w14:textId="77777777" w:rsidTr="00BB4E9F">
        <w:trPr>
          <w:trHeight w:val="841"/>
        </w:trPr>
        <w:tc>
          <w:tcPr>
            <w:tcW w:w="958" w:type="pct"/>
          </w:tcPr>
          <w:p w14:paraId="6858A1E1" w14:textId="77777777" w:rsidR="001F4412" w:rsidRPr="00CD59CC" w:rsidRDefault="001F4412" w:rsidP="00CD59CC">
            <w:pPr>
              <w:snapToGrid w:val="0"/>
              <w:rPr>
                <w:rFonts w:ascii="Arial" w:hAnsi="Arial" w:cs="Arial"/>
              </w:rPr>
            </w:pPr>
            <w:r w:rsidRPr="00CD59CC">
              <w:rPr>
                <w:rFonts w:ascii="Arial" w:hAnsi="Arial" w:cs="Arial"/>
              </w:rPr>
              <w:t>Title of the law: Act CLV of 1997 on Consumer Protection</w:t>
            </w:r>
          </w:p>
          <w:p w14:paraId="2B471A15" w14:textId="77777777" w:rsidR="001F4412" w:rsidRPr="00CD59CC" w:rsidRDefault="001F4412" w:rsidP="00CD59CC">
            <w:pPr>
              <w:rPr>
                <w:rFonts w:ascii="Arial" w:hAnsi="Arial" w:cs="Arial"/>
              </w:rPr>
            </w:pPr>
            <w:r w:rsidRPr="00CD59CC">
              <w:rPr>
                <w:rFonts w:ascii="Arial" w:hAnsi="Arial" w:cs="Arial"/>
              </w:rPr>
              <w:t>Abbreviation: N/A</w:t>
            </w:r>
          </w:p>
          <w:p w14:paraId="61C0688D" w14:textId="77777777" w:rsidR="001F4412" w:rsidRPr="00CD59CC" w:rsidRDefault="001F4412" w:rsidP="00CD59CC">
            <w:pPr>
              <w:rPr>
                <w:rFonts w:ascii="Arial" w:hAnsi="Arial" w:cs="Arial"/>
              </w:rPr>
            </w:pPr>
            <w:r w:rsidRPr="00CD59CC">
              <w:rPr>
                <w:rFonts w:ascii="Arial" w:hAnsi="Arial" w:cs="Arial"/>
              </w:rPr>
              <w:t xml:space="preserve">Date of adoption: </w:t>
            </w:r>
            <w:r w:rsidRPr="00CD59CC">
              <w:rPr>
                <w:rFonts w:ascii="Arial" w:hAnsi="Arial" w:cs="Arial"/>
                <w:bCs/>
              </w:rPr>
              <w:t>23/12/1997</w:t>
            </w:r>
          </w:p>
          <w:p w14:paraId="2D77C9A8" w14:textId="389373B3" w:rsidR="001F4412" w:rsidRPr="00CD59CC" w:rsidRDefault="001F4412" w:rsidP="00CD59CC">
            <w:pPr>
              <w:rPr>
                <w:rFonts w:ascii="Arial" w:hAnsi="Arial" w:cs="Arial"/>
              </w:rPr>
            </w:pPr>
            <w:r w:rsidRPr="00CD59CC">
              <w:rPr>
                <w:rFonts w:ascii="Arial" w:hAnsi="Arial" w:cs="Arial"/>
              </w:rPr>
              <w:t xml:space="preserve">Latest amendments: </w:t>
            </w:r>
            <w:r w:rsidR="00781A06" w:rsidRPr="00CD59CC">
              <w:rPr>
                <w:rFonts w:ascii="Arial" w:hAnsi="Arial" w:cs="Arial"/>
              </w:rPr>
              <w:t>01/01/2014</w:t>
            </w:r>
          </w:p>
          <w:p w14:paraId="6780031A" w14:textId="77777777" w:rsidR="001F4412" w:rsidRPr="00CD59CC" w:rsidRDefault="001F4412" w:rsidP="00CD59CC">
            <w:pPr>
              <w:rPr>
                <w:rFonts w:ascii="Arial" w:hAnsi="Arial" w:cs="Arial"/>
              </w:rPr>
            </w:pPr>
            <w:r w:rsidRPr="00CD59CC">
              <w:rPr>
                <w:rFonts w:ascii="Arial" w:hAnsi="Arial" w:cs="Arial"/>
              </w:rPr>
              <w:lastRenderedPageBreak/>
              <w:t>Entry into force:</w:t>
            </w:r>
            <w:r w:rsidRPr="00CD59CC">
              <w:rPr>
                <w:rFonts w:ascii="Arial" w:hAnsi="Arial" w:cs="Arial"/>
                <w:bCs/>
              </w:rPr>
              <w:t xml:space="preserve"> 01/03/1998</w:t>
            </w:r>
          </w:p>
          <w:p w14:paraId="3503EAD1" w14:textId="0BCA6542" w:rsidR="001F4412" w:rsidRPr="00CD59CC" w:rsidRDefault="001F4412" w:rsidP="00CD59CC">
            <w:pPr>
              <w:rPr>
                <w:rFonts w:ascii="Arial" w:hAnsi="Arial" w:cs="Arial"/>
              </w:rPr>
            </w:pPr>
            <w:r w:rsidRPr="00CD59CC">
              <w:rPr>
                <w:rFonts w:ascii="Arial" w:hAnsi="Arial" w:cs="Arial"/>
              </w:rPr>
              <w:t xml:space="preserve">Webpage: </w:t>
            </w:r>
            <w:hyperlink r:id="rId27" w:history="1">
              <w:r w:rsidRPr="00CD59CC">
                <w:rPr>
                  <w:rStyle w:val="Hyperlink"/>
                  <w:rFonts w:ascii="Arial" w:hAnsi="Arial" w:cs="Arial"/>
                </w:rPr>
                <w:t>http://jogszabalykereso.mhk.hu/cgi_bin/njt_doc.cg</w:t>
              </w:r>
              <w:bookmarkStart w:id="362" w:name="_Hlt391636489"/>
              <w:r w:rsidRPr="00CD59CC">
                <w:rPr>
                  <w:rStyle w:val="Hyperlink"/>
                  <w:rFonts w:ascii="Arial" w:hAnsi="Arial" w:cs="Arial"/>
                </w:rPr>
                <w:t>i</w:t>
              </w:r>
              <w:bookmarkEnd w:id="362"/>
              <w:r w:rsidRPr="00CD59CC">
                <w:rPr>
                  <w:rStyle w:val="Hyperlink"/>
                  <w:rFonts w:ascii="Arial" w:hAnsi="Arial" w:cs="Arial"/>
                </w:rPr>
                <w:t>?docid=29982.615750</w:t>
              </w:r>
            </w:hyperlink>
          </w:p>
        </w:tc>
        <w:tc>
          <w:tcPr>
            <w:tcW w:w="531" w:type="pct"/>
          </w:tcPr>
          <w:p w14:paraId="72541CC1" w14:textId="77777777" w:rsidR="001F4412" w:rsidRPr="00CD59CC" w:rsidRDefault="001F4412" w:rsidP="00CD59CC">
            <w:pPr>
              <w:rPr>
                <w:rFonts w:ascii="Arial" w:hAnsi="Arial" w:cs="Arial"/>
                <w:bCs/>
              </w:rPr>
            </w:pPr>
            <w:r w:rsidRPr="00CD59CC">
              <w:rPr>
                <w:rFonts w:ascii="Arial" w:hAnsi="Arial" w:cs="Arial"/>
                <w:bCs/>
              </w:rPr>
              <w:lastRenderedPageBreak/>
              <w:t>23/12/1997</w:t>
            </w:r>
          </w:p>
        </w:tc>
        <w:tc>
          <w:tcPr>
            <w:tcW w:w="532" w:type="pct"/>
          </w:tcPr>
          <w:p w14:paraId="1FE0073C" w14:textId="77777777" w:rsidR="001F4412" w:rsidRPr="00CD59CC" w:rsidRDefault="001F4412" w:rsidP="00CD59CC">
            <w:pPr>
              <w:snapToGrid w:val="0"/>
              <w:rPr>
                <w:rFonts w:ascii="Arial" w:hAnsi="Arial" w:cs="Arial"/>
                <w:bCs/>
              </w:rPr>
            </w:pPr>
            <w:r w:rsidRPr="00CD59CC">
              <w:rPr>
                <w:rFonts w:ascii="Arial" w:hAnsi="Arial" w:cs="Arial"/>
                <w:bCs/>
              </w:rPr>
              <w:t xml:space="preserve">01/03/1998 </w:t>
            </w:r>
          </w:p>
        </w:tc>
        <w:tc>
          <w:tcPr>
            <w:tcW w:w="641" w:type="pct"/>
          </w:tcPr>
          <w:p w14:paraId="70824AA8" w14:textId="77777777" w:rsidR="001F4412" w:rsidRPr="00CD59CC" w:rsidRDefault="001F4412" w:rsidP="00CD59CC">
            <w:pPr>
              <w:snapToGrid w:val="0"/>
              <w:rPr>
                <w:rFonts w:ascii="Arial" w:hAnsi="Arial" w:cs="Arial"/>
                <w:bCs/>
              </w:rPr>
            </w:pPr>
            <w:r w:rsidRPr="00CD59CC">
              <w:rPr>
                <w:rFonts w:ascii="Arial" w:hAnsi="Arial" w:cs="Arial"/>
                <w:bCs/>
              </w:rPr>
              <w:t>All</w:t>
            </w:r>
          </w:p>
        </w:tc>
        <w:tc>
          <w:tcPr>
            <w:tcW w:w="795" w:type="pct"/>
          </w:tcPr>
          <w:p w14:paraId="51770245" w14:textId="77777777" w:rsidR="001F4412" w:rsidRPr="00CD59CC" w:rsidRDefault="001F4412" w:rsidP="00CD59CC">
            <w:pPr>
              <w:snapToGrid w:val="0"/>
              <w:rPr>
                <w:rFonts w:ascii="Arial" w:hAnsi="Arial" w:cs="Arial"/>
                <w:bCs/>
              </w:rPr>
            </w:pPr>
            <w:r w:rsidRPr="00CD59CC">
              <w:rPr>
                <w:rFonts w:ascii="Arial" w:hAnsi="Arial" w:cs="Arial"/>
                <w:bCs/>
              </w:rPr>
              <w:t>Administrative</w:t>
            </w:r>
          </w:p>
        </w:tc>
        <w:tc>
          <w:tcPr>
            <w:tcW w:w="746" w:type="pct"/>
          </w:tcPr>
          <w:p w14:paraId="5D9EF8FE" w14:textId="77777777" w:rsidR="001F4412" w:rsidRPr="00CD59CC" w:rsidRDefault="001F4412" w:rsidP="00CD59CC">
            <w:pPr>
              <w:snapToGrid w:val="0"/>
              <w:rPr>
                <w:rFonts w:ascii="Arial" w:hAnsi="Arial" w:cs="Arial"/>
                <w:bCs/>
              </w:rPr>
            </w:pPr>
            <w:r w:rsidRPr="00CD59CC">
              <w:rPr>
                <w:rFonts w:ascii="Arial" w:hAnsi="Arial" w:cs="Arial"/>
                <w:bCs/>
              </w:rPr>
              <w:t>Access to goods and services</w:t>
            </w:r>
          </w:p>
        </w:tc>
        <w:tc>
          <w:tcPr>
            <w:tcW w:w="797" w:type="pct"/>
          </w:tcPr>
          <w:p w14:paraId="36C2FFA4" w14:textId="77777777" w:rsidR="001F4412" w:rsidRPr="00CD59CC" w:rsidRDefault="001F4412" w:rsidP="00CD59CC">
            <w:pPr>
              <w:snapToGrid w:val="0"/>
              <w:rPr>
                <w:rFonts w:ascii="Arial" w:hAnsi="Arial" w:cs="Arial"/>
                <w:bCs/>
              </w:rPr>
            </w:pPr>
            <w:r w:rsidRPr="00CD59CC">
              <w:rPr>
                <w:rFonts w:ascii="Arial" w:hAnsi="Arial" w:cs="Arial"/>
                <w:bCs/>
              </w:rPr>
              <w:t>creation of an organ with a role in combating discrimination, sanctioning of discrimination</w:t>
            </w:r>
          </w:p>
        </w:tc>
      </w:tr>
      <w:tr w:rsidR="00BB4E9F" w:rsidRPr="00CD59CC" w14:paraId="78D817FD" w14:textId="77777777" w:rsidTr="00BB4E9F">
        <w:trPr>
          <w:trHeight w:val="841"/>
        </w:trPr>
        <w:tc>
          <w:tcPr>
            <w:tcW w:w="958" w:type="pct"/>
          </w:tcPr>
          <w:p w14:paraId="3B0FF841" w14:textId="77777777" w:rsidR="001F4412" w:rsidRPr="00CD59CC" w:rsidRDefault="001F4412" w:rsidP="00CD59CC">
            <w:pPr>
              <w:rPr>
                <w:rFonts w:ascii="Arial" w:hAnsi="Arial" w:cs="Arial"/>
              </w:rPr>
            </w:pPr>
            <w:r w:rsidRPr="00CD59CC">
              <w:rPr>
                <w:rFonts w:ascii="Arial" w:hAnsi="Arial" w:cs="Arial"/>
              </w:rPr>
              <w:t>Title of the law: Act II of 2012 on Petty Offences, the Petty Offence Procedure and the Petty Offence database (Article 248)</w:t>
            </w:r>
          </w:p>
          <w:p w14:paraId="6EB39779" w14:textId="77777777" w:rsidR="001F4412" w:rsidRPr="00CD59CC" w:rsidRDefault="001F4412" w:rsidP="00CD59CC">
            <w:pPr>
              <w:rPr>
                <w:rFonts w:ascii="Arial" w:hAnsi="Arial" w:cs="Arial"/>
              </w:rPr>
            </w:pPr>
            <w:r w:rsidRPr="00CD59CC">
              <w:rPr>
                <w:rFonts w:ascii="Arial" w:hAnsi="Arial" w:cs="Arial"/>
              </w:rPr>
              <w:t>Abbreviation: Petty Offences Ac</w:t>
            </w:r>
          </w:p>
          <w:p w14:paraId="7AC6F032" w14:textId="77777777" w:rsidR="001F4412" w:rsidRPr="00CD59CC" w:rsidRDefault="001F4412" w:rsidP="00CD59CC">
            <w:pPr>
              <w:rPr>
                <w:rFonts w:ascii="Arial" w:hAnsi="Arial" w:cs="Arial"/>
              </w:rPr>
            </w:pPr>
            <w:r w:rsidRPr="00CD59CC">
              <w:rPr>
                <w:rFonts w:ascii="Arial" w:hAnsi="Arial" w:cs="Arial"/>
              </w:rPr>
              <w:t>Date of adoption: 06/01/2012</w:t>
            </w:r>
          </w:p>
          <w:p w14:paraId="3CF99617" w14:textId="6E9B5689" w:rsidR="001F4412" w:rsidRPr="00CD59CC" w:rsidRDefault="001F4412" w:rsidP="00CD59CC">
            <w:pPr>
              <w:rPr>
                <w:rFonts w:ascii="Arial" w:hAnsi="Arial" w:cs="Arial"/>
              </w:rPr>
            </w:pPr>
            <w:r w:rsidRPr="00CD59CC">
              <w:rPr>
                <w:rFonts w:ascii="Arial" w:hAnsi="Arial" w:cs="Arial"/>
              </w:rPr>
              <w:t xml:space="preserve">Latest amendments: </w:t>
            </w:r>
            <w:r w:rsidR="00781A06" w:rsidRPr="00CD59CC">
              <w:rPr>
                <w:rFonts w:ascii="Arial" w:hAnsi="Arial" w:cs="Arial"/>
              </w:rPr>
              <w:t>01/01/2014</w:t>
            </w:r>
          </w:p>
          <w:p w14:paraId="4DFFC7CC" w14:textId="77777777" w:rsidR="001F4412" w:rsidRPr="00CD59CC" w:rsidRDefault="001F4412" w:rsidP="00CD59CC">
            <w:pPr>
              <w:rPr>
                <w:rFonts w:ascii="Arial" w:hAnsi="Arial" w:cs="Arial"/>
              </w:rPr>
            </w:pPr>
            <w:r w:rsidRPr="00CD59CC">
              <w:rPr>
                <w:rFonts w:ascii="Arial" w:hAnsi="Arial" w:cs="Arial"/>
              </w:rPr>
              <w:t>Entry into force: 15/04/2012</w:t>
            </w:r>
          </w:p>
          <w:p w14:paraId="68A0B5F9" w14:textId="5853C380" w:rsidR="001F4412" w:rsidRPr="00CD59CC" w:rsidRDefault="001F4412" w:rsidP="00CD59CC">
            <w:pPr>
              <w:snapToGrid w:val="0"/>
              <w:rPr>
                <w:rFonts w:ascii="Arial" w:hAnsi="Arial" w:cs="Arial"/>
              </w:rPr>
            </w:pPr>
            <w:r w:rsidRPr="00CD59CC">
              <w:rPr>
                <w:rFonts w:ascii="Arial" w:hAnsi="Arial" w:cs="Arial"/>
              </w:rPr>
              <w:t xml:space="preserve">Webpage: </w:t>
            </w:r>
            <w:hyperlink r:id="rId28" w:history="1">
              <w:r w:rsidRPr="00CD59CC">
                <w:rPr>
                  <w:rStyle w:val="Hyperlink"/>
                  <w:rFonts w:ascii="Arial" w:hAnsi="Arial" w:cs="Arial"/>
                </w:rPr>
                <w:t>http://jogsz</w:t>
              </w:r>
              <w:bookmarkStart w:id="363" w:name="_Hlt391636501"/>
              <w:r w:rsidRPr="00CD59CC">
                <w:rPr>
                  <w:rStyle w:val="Hyperlink"/>
                  <w:rFonts w:ascii="Arial" w:hAnsi="Arial" w:cs="Arial"/>
                </w:rPr>
                <w:t>a</w:t>
              </w:r>
              <w:bookmarkEnd w:id="363"/>
              <w:r w:rsidRPr="00CD59CC">
                <w:rPr>
                  <w:rStyle w:val="Hyperlink"/>
                  <w:rFonts w:ascii="Arial" w:hAnsi="Arial" w:cs="Arial"/>
                </w:rPr>
                <w:t>balykereso.mhk.hu/cgi_bin/njt_doc.cgi?docid=143673.626976</w:t>
              </w:r>
            </w:hyperlink>
          </w:p>
        </w:tc>
        <w:tc>
          <w:tcPr>
            <w:tcW w:w="531" w:type="pct"/>
          </w:tcPr>
          <w:p w14:paraId="7871FBA1" w14:textId="77777777" w:rsidR="001F4412" w:rsidRPr="00CD59CC" w:rsidRDefault="001F4412" w:rsidP="00CD59CC">
            <w:pPr>
              <w:rPr>
                <w:rFonts w:ascii="Arial" w:hAnsi="Arial" w:cs="Arial"/>
                <w:bCs/>
              </w:rPr>
            </w:pPr>
            <w:r w:rsidRPr="00CD59CC">
              <w:rPr>
                <w:rFonts w:ascii="Arial" w:hAnsi="Arial" w:cs="Arial"/>
              </w:rPr>
              <w:t>06/01/2012</w:t>
            </w:r>
          </w:p>
        </w:tc>
        <w:tc>
          <w:tcPr>
            <w:tcW w:w="532" w:type="pct"/>
          </w:tcPr>
          <w:p w14:paraId="47CF3817" w14:textId="77777777" w:rsidR="001F4412" w:rsidRPr="00CD59CC" w:rsidRDefault="001F4412" w:rsidP="00CD59CC">
            <w:pPr>
              <w:snapToGrid w:val="0"/>
              <w:rPr>
                <w:rFonts w:ascii="Arial" w:hAnsi="Arial" w:cs="Arial"/>
                <w:bCs/>
              </w:rPr>
            </w:pPr>
            <w:r w:rsidRPr="00CD59CC">
              <w:rPr>
                <w:rFonts w:ascii="Arial" w:hAnsi="Arial" w:cs="Arial"/>
              </w:rPr>
              <w:t>15/04/2012</w:t>
            </w:r>
          </w:p>
        </w:tc>
        <w:tc>
          <w:tcPr>
            <w:tcW w:w="641" w:type="pct"/>
          </w:tcPr>
          <w:p w14:paraId="73A793B5" w14:textId="77777777" w:rsidR="001F4412" w:rsidRPr="00CD59CC" w:rsidRDefault="001F4412" w:rsidP="00CD59CC">
            <w:pPr>
              <w:snapToGrid w:val="0"/>
              <w:rPr>
                <w:rFonts w:ascii="Arial" w:hAnsi="Arial" w:cs="Arial"/>
                <w:bCs/>
              </w:rPr>
            </w:pPr>
            <w:r w:rsidRPr="00CD59CC">
              <w:rPr>
                <w:rFonts w:ascii="Arial" w:hAnsi="Arial" w:cs="Arial"/>
                <w:bCs/>
              </w:rPr>
              <w:t xml:space="preserve">All </w:t>
            </w:r>
          </w:p>
        </w:tc>
        <w:tc>
          <w:tcPr>
            <w:tcW w:w="795" w:type="pct"/>
          </w:tcPr>
          <w:p w14:paraId="7EDA8049" w14:textId="77777777" w:rsidR="001F4412" w:rsidRPr="00CD59CC" w:rsidRDefault="001F4412" w:rsidP="00CD59CC">
            <w:pPr>
              <w:snapToGrid w:val="0"/>
              <w:rPr>
                <w:rFonts w:ascii="Arial" w:hAnsi="Arial" w:cs="Arial"/>
                <w:bCs/>
              </w:rPr>
            </w:pPr>
            <w:r w:rsidRPr="00CD59CC">
              <w:rPr>
                <w:rFonts w:ascii="Arial" w:hAnsi="Arial" w:cs="Arial"/>
                <w:bCs/>
              </w:rPr>
              <w:t>Petty offence law (criminal law)</w:t>
            </w:r>
          </w:p>
        </w:tc>
        <w:tc>
          <w:tcPr>
            <w:tcW w:w="746" w:type="pct"/>
          </w:tcPr>
          <w:p w14:paraId="1F786257" w14:textId="77777777" w:rsidR="001F4412" w:rsidRPr="00CD59CC" w:rsidRDefault="001F4412" w:rsidP="00CD59CC">
            <w:pPr>
              <w:snapToGrid w:val="0"/>
              <w:rPr>
                <w:rFonts w:ascii="Arial" w:hAnsi="Arial" w:cs="Arial"/>
                <w:bCs/>
              </w:rPr>
            </w:pPr>
            <w:r w:rsidRPr="00CD59CC">
              <w:rPr>
                <w:rFonts w:ascii="Arial" w:hAnsi="Arial" w:cs="Arial"/>
                <w:bCs/>
              </w:rPr>
              <w:t>Education</w:t>
            </w:r>
          </w:p>
        </w:tc>
        <w:tc>
          <w:tcPr>
            <w:tcW w:w="797" w:type="pct"/>
          </w:tcPr>
          <w:p w14:paraId="686153C8" w14:textId="77777777" w:rsidR="001F4412" w:rsidRPr="00CD59CC" w:rsidRDefault="001F4412" w:rsidP="00CD59CC">
            <w:pPr>
              <w:snapToGrid w:val="0"/>
              <w:rPr>
                <w:rFonts w:ascii="Arial" w:hAnsi="Arial" w:cs="Arial"/>
                <w:bCs/>
              </w:rPr>
            </w:pPr>
            <w:r w:rsidRPr="00CD59CC">
              <w:rPr>
                <w:rFonts w:ascii="Arial" w:hAnsi="Arial" w:cs="Arial"/>
                <w:bCs/>
              </w:rPr>
              <w:t>sanctioning of discrimination</w:t>
            </w:r>
          </w:p>
        </w:tc>
      </w:tr>
      <w:tr w:rsidR="00BB4E9F" w:rsidRPr="00CD59CC" w14:paraId="154C8F5E" w14:textId="77777777" w:rsidTr="00BB4E9F">
        <w:trPr>
          <w:trHeight w:val="841"/>
        </w:trPr>
        <w:tc>
          <w:tcPr>
            <w:tcW w:w="958" w:type="pct"/>
          </w:tcPr>
          <w:p w14:paraId="151D3A2D" w14:textId="77777777" w:rsidR="001F4412" w:rsidRPr="00CD59CC" w:rsidRDefault="001F4412" w:rsidP="00CD59CC">
            <w:pPr>
              <w:rPr>
                <w:rFonts w:ascii="Arial" w:hAnsi="Arial" w:cs="Arial"/>
              </w:rPr>
            </w:pPr>
            <w:r w:rsidRPr="00CD59CC">
              <w:rPr>
                <w:rFonts w:ascii="Arial" w:hAnsi="Arial" w:cs="Arial"/>
              </w:rPr>
              <w:lastRenderedPageBreak/>
              <w:t>Title of the law: Act I of 2012 on the Labour Code</w:t>
            </w:r>
          </w:p>
          <w:p w14:paraId="1D4D8E2A" w14:textId="77777777" w:rsidR="001F4412" w:rsidRPr="00CD59CC" w:rsidRDefault="001F4412" w:rsidP="00CD59CC">
            <w:pPr>
              <w:rPr>
                <w:rFonts w:ascii="Arial" w:hAnsi="Arial" w:cs="Arial"/>
              </w:rPr>
            </w:pPr>
            <w:r w:rsidRPr="00CD59CC">
              <w:rPr>
                <w:rFonts w:ascii="Arial" w:hAnsi="Arial" w:cs="Arial"/>
              </w:rPr>
              <w:t>Abbreviation: Labour Code</w:t>
            </w:r>
          </w:p>
          <w:p w14:paraId="4353B57A" w14:textId="77777777" w:rsidR="001F4412" w:rsidRPr="00CD59CC" w:rsidRDefault="001F4412" w:rsidP="00CD59CC">
            <w:pPr>
              <w:rPr>
                <w:rFonts w:ascii="Arial" w:hAnsi="Arial" w:cs="Arial"/>
              </w:rPr>
            </w:pPr>
            <w:r w:rsidRPr="00CD59CC">
              <w:rPr>
                <w:rFonts w:ascii="Arial" w:hAnsi="Arial" w:cs="Arial"/>
              </w:rPr>
              <w:t>Date of adoption: 06/01/2012</w:t>
            </w:r>
          </w:p>
          <w:p w14:paraId="7D65E973" w14:textId="207FD78C" w:rsidR="001F4412" w:rsidRPr="00CD59CC" w:rsidRDefault="001F4412" w:rsidP="00CD59CC">
            <w:pPr>
              <w:rPr>
                <w:rFonts w:ascii="Arial" w:hAnsi="Arial" w:cs="Arial"/>
              </w:rPr>
            </w:pPr>
            <w:r w:rsidRPr="00CD59CC">
              <w:rPr>
                <w:rFonts w:ascii="Arial" w:hAnsi="Arial" w:cs="Arial"/>
              </w:rPr>
              <w:t xml:space="preserve">Latest amendments: </w:t>
            </w:r>
            <w:r w:rsidR="004229C2" w:rsidRPr="00CD59CC">
              <w:rPr>
                <w:rFonts w:ascii="Arial" w:hAnsi="Arial" w:cs="Arial"/>
              </w:rPr>
              <w:t>01/01/2014</w:t>
            </w:r>
          </w:p>
          <w:p w14:paraId="49B9E2B4" w14:textId="77777777" w:rsidR="001F4412" w:rsidRPr="00CD59CC" w:rsidRDefault="001F4412" w:rsidP="00CD59CC">
            <w:pPr>
              <w:rPr>
                <w:rFonts w:ascii="Arial" w:hAnsi="Arial" w:cs="Arial"/>
              </w:rPr>
            </w:pPr>
            <w:r w:rsidRPr="00CD59CC">
              <w:rPr>
                <w:rFonts w:ascii="Arial" w:hAnsi="Arial" w:cs="Arial"/>
              </w:rPr>
              <w:t>Entry into force: 01/07/2012</w:t>
            </w:r>
          </w:p>
          <w:p w14:paraId="7B3AEC07" w14:textId="637CEBBA" w:rsidR="001F4412" w:rsidRPr="00CD59CC" w:rsidRDefault="001F4412" w:rsidP="00CD59CC">
            <w:pPr>
              <w:rPr>
                <w:rFonts w:ascii="Arial" w:hAnsi="Arial" w:cs="Arial"/>
              </w:rPr>
            </w:pPr>
            <w:r w:rsidRPr="00CD59CC">
              <w:rPr>
                <w:rFonts w:ascii="Arial" w:hAnsi="Arial" w:cs="Arial"/>
              </w:rPr>
              <w:t xml:space="preserve">Webpage: </w:t>
            </w:r>
            <w:hyperlink r:id="rId29" w:history="1">
              <w:r w:rsidRPr="00006D17">
                <w:rPr>
                  <w:rStyle w:val="Hyperlink"/>
                  <w:rFonts w:ascii="Arial" w:hAnsi="Arial" w:cs="Arial"/>
                </w:rPr>
                <w:t>http://jogs</w:t>
              </w:r>
              <w:bookmarkStart w:id="364" w:name="_Hlt391636503"/>
              <w:r w:rsidRPr="00006D17">
                <w:rPr>
                  <w:rStyle w:val="Hyperlink"/>
                  <w:rFonts w:ascii="Arial" w:hAnsi="Arial" w:cs="Arial"/>
                </w:rPr>
                <w:t>z</w:t>
              </w:r>
              <w:bookmarkEnd w:id="364"/>
              <w:r w:rsidRPr="00006D17">
                <w:rPr>
                  <w:rStyle w:val="Hyperlink"/>
                  <w:rFonts w:ascii="Arial" w:hAnsi="Arial" w:cs="Arial"/>
                </w:rPr>
                <w:t>abalykereso.mhk.hu/cgi_bin/njt_doc.cgi?doci</w:t>
              </w:r>
              <w:bookmarkStart w:id="365" w:name="_Hlt391636515"/>
              <w:r w:rsidRPr="00006D17">
                <w:rPr>
                  <w:rStyle w:val="Hyperlink"/>
                  <w:rFonts w:ascii="Arial" w:hAnsi="Arial" w:cs="Arial"/>
                </w:rPr>
                <w:t>d</w:t>
              </w:r>
              <w:bookmarkStart w:id="366" w:name="_Hlt392758469"/>
              <w:bookmarkEnd w:id="365"/>
              <w:r w:rsidRPr="00006D17">
                <w:rPr>
                  <w:rStyle w:val="Hyperlink"/>
                  <w:rFonts w:ascii="Arial" w:hAnsi="Arial" w:cs="Arial"/>
                </w:rPr>
                <w:t>=</w:t>
              </w:r>
              <w:bookmarkEnd w:id="366"/>
              <w:r w:rsidRPr="00006D17">
                <w:rPr>
                  <w:rStyle w:val="Hyperlink"/>
                  <w:rFonts w:ascii="Arial" w:hAnsi="Arial" w:cs="Arial"/>
                </w:rPr>
                <w:t>143671.602679</w:t>
              </w:r>
            </w:hyperlink>
          </w:p>
        </w:tc>
        <w:tc>
          <w:tcPr>
            <w:tcW w:w="531" w:type="pct"/>
          </w:tcPr>
          <w:p w14:paraId="1E7DC42D" w14:textId="77777777" w:rsidR="001F4412" w:rsidRPr="00CD59CC" w:rsidRDefault="001F4412" w:rsidP="00CD59CC">
            <w:pPr>
              <w:rPr>
                <w:rFonts w:ascii="Arial" w:hAnsi="Arial" w:cs="Arial"/>
                <w:bCs/>
              </w:rPr>
            </w:pPr>
            <w:r w:rsidRPr="00CD59CC">
              <w:rPr>
                <w:rFonts w:ascii="Arial" w:hAnsi="Arial" w:cs="Arial"/>
              </w:rPr>
              <w:t>06/01/2012</w:t>
            </w:r>
          </w:p>
        </w:tc>
        <w:tc>
          <w:tcPr>
            <w:tcW w:w="532" w:type="pct"/>
          </w:tcPr>
          <w:p w14:paraId="59DBC119" w14:textId="77777777" w:rsidR="001F4412" w:rsidRPr="00CD59CC" w:rsidRDefault="001F4412" w:rsidP="00CD59CC">
            <w:pPr>
              <w:snapToGrid w:val="0"/>
              <w:rPr>
                <w:rFonts w:ascii="Arial" w:hAnsi="Arial" w:cs="Arial"/>
                <w:bCs/>
              </w:rPr>
            </w:pPr>
            <w:r w:rsidRPr="00CD59CC">
              <w:rPr>
                <w:rFonts w:ascii="Arial" w:hAnsi="Arial" w:cs="Arial"/>
              </w:rPr>
              <w:t>01/07/2012</w:t>
            </w:r>
          </w:p>
        </w:tc>
        <w:tc>
          <w:tcPr>
            <w:tcW w:w="641" w:type="pct"/>
          </w:tcPr>
          <w:p w14:paraId="5E8BB23F" w14:textId="77777777" w:rsidR="001F4412" w:rsidRPr="00CD59CC" w:rsidRDefault="001F4412" w:rsidP="00CD59CC">
            <w:pPr>
              <w:snapToGrid w:val="0"/>
              <w:rPr>
                <w:rFonts w:ascii="Arial" w:hAnsi="Arial" w:cs="Arial"/>
                <w:bCs/>
              </w:rPr>
            </w:pPr>
            <w:r w:rsidRPr="00CD59CC">
              <w:rPr>
                <w:rFonts w:ascii="Arial" w:hAnsi="Arial" w:cs="Arial"/>
                <w:bCs/>
              </w:rPr>
              <w:t>All</w:t>
            </w:r>
          </w:p>
        </w:tc>
        <w:tc>
          <w:tcPr>
            <w:tcW w:w="795" w:type="pct"/>
          </w:tcPr>
          <w:p w14:paraId="304216BF" w14:textId="77777777" w:rsidR="001F4412" w:rsidRPr="00CD59CC" w:rsidRDefault="001F4412" w:rsidP="00CD59CC">
            <w:pPr>
              <w:snapToGrid w:val="0"/>
              <w:rPr>
                <w:rFonts w:ascii="Arial" w:hAnsi="Arial" w:cs="Arial"/>
                <w:bCs/>
              </w:rPr>
            </w:pPr>
            <w:r w:rsidRPr="00CD59CC">
              <w:rPr>
                <w:rFonts w:ascii="Arial" w:hAnsi="Arial" w:cs="Arial"/>
                <w:bCs/>
              </w:rPr>
              <w:t>Labour law</w:t>
            </w:r>
          </w:p>
        </w:tc>
        <w:tc>
          <w:tcPr>
            <w:tcW w:w="746" w:type="pct"/>
          </w:tcPr>
          <w:p w14:paraId="726F5A87" w14:textId="77777777" w:rsidR="001F4412" w:rsidRPr="00CD59CC" w:rsidRDefault="001F4412" w:rsidP="00CD59CC">
            <w:pPr>
              <w:snapToGrid w:val="0"/>
              <w:rPr>
                <w:rFonts w:ascii="Arial" w:hAnsi="Arial" w:cs="Arial"/>
                <w:bCs/>
              </w:rPr>
            </w:pPr>
            <w:r w:rsidRPr="00CD59CC">
              <w:rPr>
                <w:rFonts w:ascii="Arial" w:hAnsi="Arial" w:cs="Arial"/>
                <w:bCs/>
              </w:rPr>
              <w:t>Employment</w:t>
            </w:r>
          </w:p>
        </w:tc>
        <w:tc>
          <w:tcPr>
            <w:tcW w:w="797" w:type="pct"/>
          </w:tcPr>
          <w:p w14:paraId="34F0CF46" w14:textId="77777777" w:rsidR="001F4412" w:rsidRPr="00CD59CC" w:rsidRDefault="001F4412" w:rsidP="00CD59CC">
            <w:pPr>
              <w:snapToGrid w:val="0"/>
              <w:rPr>
                <w:rFonts w:ascii="Arial" w:hAnsi="Arial" w:cs="Arial"/>
                <w:bCs/>
              </w:rPr>
            </w:pPr>
            <w:r w:rsidRPr="00CD59CC">
              <w:rPr>
                <w:rFonts w:ascii="Arial" w:hAnsi="Arial" w:cs="Arial"/>
                <w:bCs/>
              </w:rPr>
              <w:t>prohibition of discrimination, sanctions of discrimination</w:t>
            </w:r>
          </w:p>
        </w:tc>
      </w:tr>
      <w:tr w:rsidR="00BB4E9F" w:rsidRPr="00CD59CC" w14:paraId="53307E82" w14:textId="77777777" w:rsidTr="00BB4E9F">
        <w:trPr>
          <w:trHeight w:val="841"/>
        </w:trPr>
        <w:tc>
          <w:tcPr>
            <w:tcW w:w="958" w:type="pct"/>
          </w:tcPr>
          <w:p w14:paraId="3524C1F2" w14:textId="77777777" w:rsidR="001F4412" w:rsidRPr="00CD59CC" w:rsidRDefault="001F4412" w:rsidP="00CD59CC">
            <w:pPr>
              <w:rPr>
                <w:rFonts w:ascii="Arial" w:hAnsi="Arial" w:cs="Arial"/>
              </w:rPr>
            </w:pPr>
            <w:r w:rsidRPr="00CD59CC">
              <w:rPr>
                <w:rFonts w:ascii="Arial" w:hAnsi="Arial" w:cs="Arial"/>
              </w:rPr>
              <w:t>Title of the law: Act CXI of 2011 on the Commissioner for Fundamental Rights</w:t>
            </w:r>
          </w:p>
          <w:p w14:paraId="5E312E9D" w14:textId="77777777" w:rsidR="001F4412" w:rsidRPr="00CD59CC" w:rsidRDefault="001F4412" w:rsidP="00CD59CC">
            <w:pPr>
              <w:rPr>
                <w:rFonts w:ascii="Arial" w:hAnsi="Arial" w:cs="Arial"/>
              </w:rPr>
            </w:pPr>
            <w:r w:rsidRPr="00CD59CC">
              <w:rPr>
                <w:rFonts w:ascii="Arial" w:hAnsi="Arial" w:cs="Arial"/>
              </w:rPr>
              <w:t>Abbreviation: N/A</w:t>
            </w:r>
          </w:p>
          <w:p w14:paraId="1FD624BD" w14:textId="77777777" w:rsidR="001F4412" w:rsidRPr="00CD59CC" w:rsidRDefault="001F4412" w:rsidP="00CD59CC">
            <w:pPr>
              <w:rPr>
                <w:rFonts w:ascii="Arial" w:hAnsi="Arial" w:cs="Arial"/>
              </w:rPr>
            </w:pPr>
            <w:r w:rsidRPr="00CD59CC">
              <w:rPr>
                <w:rFonts w:ascii="Arial" w:hAnsi="Arial" w:cs="Arial"/>
              </w:rPr>
              <w:t>Date of adoption:</w:t>
            </w:r>
            <w:r w:rsidRPr="00CD59CC">
              <w:rPr>
                <w:rFonts w:ascii="Arial" w:hAnsi="Arial" w:cs="Arial"/>
                <w:bCs/>
              </w:rPr>
              <w:t xml:space="preserve"> 26/07/2011</w:t>
            </w:r>
          </w:p>
          <w:p w14:paraId="754C291E" w14:textId="4A6C1E8E" w:rsidR="001F4412" w:rsidRPr="00CD59CC" w:rsidRDefault="001F4412" w:rsidP="00CD59CC">
            <w:pPr>
              <w:rPr>
                <w:rFonts w:ascii="Arial" w:hAnsi="Arial" w:cs="Arial"/>
              </w:rPr>
            </w:pPr>
            <w:r w:rsidRPr="00CD59CC">
              <w:rPr>
                <w:rFonts w:ascii="Arial" w:hAnsi="Arial" w:cs="Arial"/>
              </w:rPr>
              <w:t xml:space="preserve">Latest amendments: </w:t>
            </w:r>
            <w:r w:rsidR="00B74B62" w:rsidRPr="00CD59CC">
              <w:rPr>
                <w:rFonts w:ascii="Arial" w:hAnsi="Arial" w:cs="Arial"/>
              </w:rPr>
              <w:t>01/01/2014</w:t>
            </w:r>
          </w:p>
          <w:p w14:paraId="05D26887" w14:textId="77777777" w:rsidR="001F4412" w:rsidRPr="00CD59CC" w:rsidRDefault="001F4412" w:rsidP="00CD59CC">
            <w:pPr>
              <w:rPr>
                <w:rFonts w:ascii="Arial" w:hAnsi="Arial" w:cs="Arial"/>
              </w:rPr>
            </w:pPr>
            <w:r w:rsidRPr="00CD59CC">
              <w:rPr>
                <w:rFonts w:ascii="Arial" w:hAnsi="Arial" w:cs="Arial"/>
              </w:rPr>
              <w:t>Entry into force:</w:t>
            </w:r>
            <w:r w:rsidRPr="00CD59CC">
              <w:rPr>
                <w:rFonts w:ascii="Arial" w:hAnsi="Arial" w:cs="Arial"/>
                <w:bCs/>
              </w:rPr>
              <w:t xml:space="preserve"> 01/01/2012</w:t>
            </w:r>
          </w:p>
          <w:p w14:paraId="7400A3A2" w14:textId="30DCFB37" w:rsidR="001F4412" w:rsidRPr="00CD59CC" w:rsidRDefault="001F4412" w:rsidP="00CD59CC">
            <w:pPr>
              <w:rPr>
                <w:rFonts w:ascii="Arial" w:hAnsi="Arial" w:cs="Arial"/>
              </w:rPr>
            </w:pPr>
            <w:r w:rsidRPr="00CD59CC">
              <w:rPr>
                <w:rFonts w:ascii="Arial" w:hAnsi="Arial" w:cs="Arial"/>
              </w:rPr>
              <w:lastRenderedPageBreak/>
              <w:t xml:space="preserve">Webpage: </w:t>
            </w:r>
            <w:hyperlink r:id="rId30" w:history="1">
              <w:r w:rsidRPr="00CD59CC">
                <w:rPr>
                  <w:rStyle w:val="Hyperlink"/>
                  <w:rFonts w:ascii="Arial" w:hAnsi="Arial" w:cs="Arial"/>
                </w:rPr>
                <w:t>http://jo</w:t>
              </w:r>
              <w:bookmarkStart w:id="367" w:name="_Hlt391636531"/>
              <w:r w:rsidRPr="00CD59CC">
                <w:rPr>
                  <w:rStyle w:val="Hyperlink"/>
                  <w:rFonts w:ascii="Arial" w:hAnsi="Arial" w:cs="Arial"/>
                </w:rPr>
                <w:t>g</w:t>
              </w:r>
              <w:bookmarkEnd w:id="367"/>
              <w:r w:rsidRPr="00CD59CC">
                <w:rPr>
                  <w:rStyle w:val="Hyperlink"/>
                  <w:rFonts w:ascii="Arial" w:hAnsi="Arial" w:cs="Arial"/>
                </w:rPr>
                <w:t>szabalykereso.mhk.hu/cgi_bin/njt_doc.cgi?docid=139303.620494</w:t>
              </w:r>
            </w:hyperlink>
          </w:p>
        </w:tc>
        <w:tc>
          <w:tcPr>
            <w:tcW w:w="531" w:type="pct"/>
          </w:tcPr>
          <w:p w14:paraId="57927E94" w14:textId="77777777" w:rsidR="001F4412" w:rsidRPr="00CD59CC" w:rsidRDefault="001F4412" w:rsidP="00CD59CC">
            <w:pPr>
              <w:rPr>
                <w:rFonts w:ascii="Arial" w:hAnsi="Arial" w:cs="Arial"/>
                <w:bCs/>
              </w:rPr>
            </w:pPr>
            <w:r w:rsidRPr="00CD59CC">
              <w:rPr>
                <w:rFonts w:ascii="Arial" w:hAnsi="Arial" w:cs="Arial"/>
                <w:bCs/>
              </w:rPr>
              <w:lastRenderedPageBreak/>
              <w:t>26/07/2011</w:t>
            </w:r>
          </w:p>
        </w:tc>
        <w:tc>
          <w:tcPr>
            <w:tcW w:w="532" w:type="pct"/>
          </w:tcPr>
          <w:p w14:paraId="2A0ED001" w14:textId="77777777" w:rsidR="001F4412" w:rsidRPr="00CD59CC" w:rsidRDefault="001F4412" w:rsidP="00CD59CC">
            <w:pPr>
              <w:snapToGrid w:val="0"/>
              <w:rPr>
                <w:rFonts w:ascii="Arial" w:hAnsi="Arial" w:cs="Arial"/>
                <w:bCs/>
              </w:rPr>
            </w:pPr>
            <w:r w:rsidRPr="00CD59CC">
              <w:rPr>
                <w:rFonts w:ascii="Arial" w:hAnsi="Arial" w:cs="Arial"/>
                <w:bCs/>
              </w:rPr>
              <w:t>01/01/2012</w:t>
            </w:r>
          </w:p>
        </w:tc>
        <w:tc>
          <w:tcPr>
            <w:tcW w:w="641" w:type="pct"/>
          </w:tcPr>
          <w:p w14:paraId="154E80D8" w14:textId="77777777" w:rsidR="001F4412" w:rsidRPr="00CD59CC" w:rsidRDefault="001F4412" w:rsidP="00CD59CC">
            <w:pPr>
              <w:snapToGrid w:val="0"/>
              <w:rPr>
                <w:rFonts w:ascii="Arial" w:hAnsi="Arial" w:cs="Arial"/>
                <w:bCs/>
              </w:rPr>
            </w:pPr>
            <w:r w:rsidRPr="00CD59CC">
              <w:rPr>
                <w:rFonts w:ascii="Arial" w:hAnsi="Arial" w:cs="Arial"/>
                <w:bCs/>
              </w:rPr>
              <w:t>All (primarily racial or ethnic origin)</w:t>
            </w:r>
          </w:p>
        </w:tc>
        <w:tc>
          <w:tcPr>
            <w:tcW w:w="795" w:type="pct"/>
          </w:tcPr>
          <w:p w14:paraId="7FB1A712" w14:textId="77777777" w:rsidR="001F4412" w:rsidRPr="00CD59CC" w:rsidRDefault="001F4412" w:rsidP="00CD59CC">
            <w:pPr>
              <w:snapToGrid w:val="0"/>
              <w:rPr>
                <w:rFonts w:ascii="Arial" w:hAnsi="Arial" w:cs="Arial"/>
                <w:bCs/>
              </w:rPr>
            </w:pPr>
            <w:r w:rsidRPr="00CD59CC">
              <w:rPr>
                <w:rFonts w:ascii="Arial" w:hAnsi="Arial" w:cs="Arial"/>
                <w:bCs/>
              </w:rPr>
              <w:t>Constitutional law</w:t>
            </w:r>
          </w:p>
        </w:tc>
        <w:tc>
          <w:tcPr>
            <w:tcW w:w="746" w:type="pct"/>
          </w:tcPr>
          <w:p w14:paraId="5D635E1D" w14:textId="77777777" w:rsidR="001F4412" w:rsidRPr="00CD59CC" w:rsidRDefault="001F4412" w:rsidP="00CD59CC">
            <w:pPr>
              <w:snapToGrid w:val="0"/>
              <w:rPr>
                <w:rFonts w:ascii="Arial" w:hAnsi="Arial" w:cs="Arial"/>
                <w:bCs/>
              </w:rPr>
            </w:pPr>
            <w:r w:rsidRPr="00CD59CC">
              <w:rPr>
                <w:rFonts w:ascii="Arial" w:hAnsi="Arial" w:cs="Arial"/>
                <w:bCs/>
              </w:rPr>
              <w:t>Acts of public entities and public service providers in all fields</w:t>
            </w:r>
          </w:p>
        </w:tc>
        <w:tc>
          <w:tcPr>
            <w:tcW w:w="797" w:type="pct"/>
          </w:tcPr>
          <w:p w14:paraId="481E730C" w14:textId="77777777" w:rsidR="001F4412" w:rsidRPr="00CD59CC" w:rsidRDefault="001F4412" w:rsidP="00CD59CC">
            <w:pPr>
              <w:snapToGrid w:val="0"/>
              <w:rPr>
                <w:rFonts w:ascii="Arial" w:hAnsi="Arial" w:cs="Arial"/>
                <w:bCs/>
              </w:rPr>
            </w:pPr>
            <w:r w:rsidRPr="00CD59CC">
              <w:rPr>
                <w:rFonts w:ascii="Arial" w:hAnsi="Arial" w:cs="Arial"/>
                <w:bCs/>
              </w:rPr>
              <w:t>creation of an organ with a role in combating discrimination,</w:t>
            </w:r>
          </w:p>
        </w:tc>
      </w:tr>
      <w:tr w:rsidR="00BB4E9F" w:rsidRPr="00CD59CC" w14:paraId="44699E68" w14:textId="77777777" w:rsidTr="00BB4E9F">
        <w:trPr>
          <w:trHeight w:val="841"/>
        </w:trPr>
        <w:tc>
          <w:tcPr>
            <w:tcW w:w="958" w:type="pct"/>
          </w:tcPr>
          <w:p w14:paraId="06721154" w14:textId="77777777" w:rsidR="001F4412" w:rsidRPr="00CD59CC" w:rsidRDefault="001F4412" w:rsidP="00CD59CC">
            <w:pPr>
              <w:rPr>
                <w:rFonts w:ascii="Arial" w:hAnsi="Arial" w:cs="Arial"/>
              </w:rPr>
            </w:pPr>
            <w:r w:rsidRPr="00CD59CC">
              <w:rPr>
                <w:rFonts w:ascii="Arial" w:hAnsi="Arial" w:cs="Arial"/>
              </w:rPr>
              <w:t>Title of the law: Act XXVI of 1998 on the Rights of Persons with Disabilities and the Guaranteeing of their Equal Opportunities</w:t>
            </w:r>
          </w:p>
          <w:p w14:paraId="610F7DA9" w14:textId="77777777" w:rsidR="001F4412" w:rsidRPr="00CD59CC" w:rsidRDefault="001F4412" w:rsidP="00CD59CC">
            <w:pPr>
              <w:rPr>
                <w:rFonts w:ascii="Arial" w:hAnsi="Arial" w:cs="Arial"/>
              </w:rPr>
            </w:pPr>
            <w:r w:rsidRPr="00CD59CC">
              <w:rPr>
                <w:rFonts w:ascii="Arial" w:hAnsi="Arial" w:cs="Arial"/>
              </w:rPr>
              <w:t>Abbreviation: RPD Act</w:t>
            </w:r>
          </w:p>
          <w:p w14:paraId="2A549470" w14:textId="77777777" w:rsidR="001F4412" w:rsidRPr="00CD59CC" w:rsidRDefault="001F4412" w:rsidP="00CD59CC">
            <w:pPr>
              <w:rPr>
                <w:rFonts w:ascii="Arial" w:hAnsi="Arial" w:cs="Arial"/>
              </w:rPr>
            </w:pPr>
            <w:r w:rsidRPr="00CD59CC">
              <w:rPr>
                <w:rFonts w:ascii="Arial" w:hAnsi="Arial" w:cs="Arial"/>
              </w:rPr>
              <w:t>Date of adoption:</w:t>
            </w:r>
            <w:r w:rsidRPr="00CD59CC">
              <w:rPr>
                <w:rFonts w:ascii="Arial" w:hAnsi="Arial" w:cs="Arial"/>
                <w:bCs/>
              </w:rPr>
              <w:t xml:space="preserve"> 01/04/1998</w:t>
            </w:r>
          </w:p>
          <w:p w14:paraId="09CF5093" w14:textId="289E275A" w:rsidR="001F4412" w:rsidRPr="00CD59CC" w:rsidRDefault="001F4412" w:rsidP="00CD59CC">
            <w:pPr>
              <w:rPr>
                <w:rFonts w:ascii="Arial" w:hAnsi="Arial" w:cs="Arial"/>
              </w:rPr>
            </w:pPr>
            <w:r w:rsidRPr="00CD59CC">
              <w:rPr>
                <w:rFonts w:ascii="Arial" w:hAnsi="Arial" w:cs="Arial"/>
              </w:rPr>
              <w:t xml:space="preserve">Latest amendments: </w:t>
            </w:r>
            <w:r w:rsidR="00B74B62" w:rsidRPr="00CD59CC">
              <w:rPr>
                <w:rFonts w:ascii="Arial" w:hAnsi="Arial" w:cs="Arial"/>
              </w:rPr>
              <w:t>01/01/2014</w:t>
            </w:r>
          </w:p>
          <w:p w14:paraId="7152E09B" w14:textId="77777777" w:rsidR="001F4412" w:rsidRPr="00CD59CC" w:rsidRDefault="001F4412" w:rsidP="00CD59CC">
            <w:pPr>
              <w:snapToGrid w:val="0"/>
              <w:rPr>
                <w:rFonts w:ascii="Arial" w:hAnsi="Arial" w:cs="Arial"/>
                <w:bCs/>
              </w:rPr>
            </w:pPr>
            <w:r w:rsidRPr="00CD59CC">
              <w:rPr>
                <w:rFonts w:ascii="Arial" w:hAnsi="Arial" w:cs="Arial"/>
              </w:rPr>
              <w:t>Entry into force:</w:t>
            </w:r>
            <w:r w:rsidRPr="00CD59CC">
              <w:rPr>
                <w:rFonts w:ascii="Arial" w:hAnsi="Arial" w:cs="Arial"/>
                <w:bCs/>
              </w:rPr>
              <w:t xml:space="preserve"> 01/01/1999</w:t>
            </w:r>
          </w:p>
          <w:p w14:paraId="137F85E9" w14:textId="198B77AE" w:rsidR="001F4412" w:rsidRPr="00CD59CC" w:rsidRDefault="001F4412" w:rsidP="00CD59CC">
            <w:pPr>
              <w:snapToGrid w:val="0"/>
              <w:rPr>
                <w:rFonts w:ascii="Arial" w:hAnsi="Arial" w:cs="Arial"/>
              </w:rPr>
            </w:pPr>
            <w:r w:rsidRPr="00CD59CC">
              <w:rPr>
                <w:rFonts w:ascii="Arial" w:hAnsi="Arial" w:cs="Arial"/>
              </w:rPr>
              <w:t xml:space="preserve">Webpage: </w:t>
            </w:r>
            <w:hyperlink r:id="rId31" w:history="1">
              <w:r w:rsidRPr="00006D17">
                <w:rPr>
                  <w:rStyle w:val="Hyperlink"/>
                  <w:rFonts w:ascii="Arial" w:hAnsi="Arial" w:cs="Arial"/>
                </w:rPr>
                <w:t>http://jogszabalykereso.mhk.hu/cg</w:t>
              </w:r>
              <w:bookmarkStart w:id="368" w:name="_Hlt391636556"/>
              <w:bookmarkStart w:id="369" w:name="_Hlt392758491"/>
              <w:r w:rsidRPr="00006D17">
                <w:rPr>
                  <w:rStyle w:val="Hyperlink"/>
                  <w:rFonts w:ascii="Arial" w:hAnsi="Arial" w:cs="Arial"/>
                </w:rPr>
                <w:t>i</w:t>
              </w:r>
              <w:bookmarkEnd w:id="368"/>
              <w:bookmarkEnd w:id="369"/>
              <w:r w:rsidRPr="00006D17">
                <w:rPr>
                  <w:rStyle w:val="Hyperlink"/>
                  <w:rFonts w:ascii="Arial" w:hAnsi="Arial" w:cs="Arial"/>
                </w:rPr>
                <w:t>_bin/njt_doc.cgi?docid=3</w:t>
              </w:r>
              <w:bookmarkStart w:id="370" w:name="_Hlt391636544"/>
              <w:r w:rsidRPr="00006D17">
                <w:rPr>
                  <w:rStyle w:val="Hyperlink"/>
                  <w:rFonts w:ascii="Arial" w:hAnsi="Arial" w:cs="Arial"/>
                </w:rPr>
                <w:t>3</w:t>
              </w:r>
              <w:bookmarkEnd w:id="370"/>
              <w:r w:rsidRPr="00006D17">
                <w:rPr>
                  <w:rStyle w:val="Hyperlink"/>
                  <w:rFonts w:ascii="Arial" w:hAnsi="Arial" w:cs="Arial"/>
                </w:rPr>
                <w:t>602.629670</w:t>
              </w:r>
            </w:hyperlink>
            <w:r w:rsidRPr="00CD59CC">
              <w:rPr>
                <w:rFonts w:ascii="Arial" w:hAnsi="Arial" w:cs="Arial"/>
              </w:rPr>
              <w:t xml:space="preserve"> </w:t>
            </w:r>
          </w:p>
        </w:tc>
        <w:tc>
          <w:tcPr>
            <w:tcW w:w="531" w:type="pct"/>
          </w:tcPr>
          <w:p w14:paraId="1E40E8D4" w14:textId="77777777" w:rsidR="001F4412" w:rsidRPr="00CD59CC" w:rsidRDefault="001F4412" w:rsidP="00CD59CC">
            <w:pPr>
              <w:rPr>
                <w:rFonts w:ascii="Arial" w:hAnsi="Arial" w:cs="Arial"/>
                <w:bCs/>
              </w:rPr>
            </w:pPr>
            <w:r w:rsidRPr="00CD59CC">
              <w:rPr>
                <w:rFonts w:ascii="Arial" w:hAnsi="Arial" w:cs="Arial"/>
                <w:bCs/>
              </w:rPr>
              <w:t>01/04/1998</w:t>
            </w:r>
          </w:p>
        </w:tc>
        <w:tc>
          <w:tcPr>
            <w:tcW w:w="532" w:type="pct"/>
          </w:tcPr>
          <w:p w14:paraId="3B30D4CC" w14:textId="77777777" w:rsidR="001F4412" w:rsidRPr="00CD59CC" w:rsidRDefault="001F4412" w:rsidP="00CD59CC">
            <w:pPr>
              <w:snapToGrid w:val="0"/>
              <w:rPr>
                <w:rFonts w:ascii="Arial" w:hAnsi="Arial" w:cs="Arial"/>
                <w:bCs/>
              </w:rPr>
            </w:pPr>
            <w:r w:rsidRPr="00CD59CC">
              <w:rPr>
                <w:rFonts w:ascii="Arial" w:hAnsi="Arial" w:cs="Arial"/>
                <w:bCs/>
              </w:rPr>
              <w:t>01/01/1999</w:t>
            </w:r>
          </w:p>
          <w:p w14:paraId="5B607066" w14:textId="77777777" w:rsidR="001F4412" w:rsidRPr="00CD59CC" w:rsidRDefault="001F4412" w:rsidP="00CD59CC">
            <w:pPr>
              <w:snapToGrid w:val="0"/>
              <w:rPr>
                <w:rFonts w:ascii="Arial" w:hAnsi="Arial" w:cs="Arial"/>
                <w:bCs/>
              </w:rPr>
            </w:pPr>
          </w:p>
        </w:tc>
        <w:tc>
          <w:tcPr>
            <w:tcW w:w="641" w:type="pct"/>
          </w:tcPr>
          <w:p w14:paraId="1DC4CE2D" w14:textId="77777777" w:rsidR="001F4412" w:rsidRPr="00CD59CC" w:rsidRDefault="001F4412" w:rsidP="00CD59CC">
            <w:pPr>
              <w:snapToGrid w:val="0"/>
              <w:rPr>
                <w:rFonts w:ascii="Arial" w:hAnsi="Arial" w:cs="Arial"/>
                <w:bCs/>
              </w:rPr>
            </w:pPr>
            <w:r w:rsidRPr="00CD59CC">
              <w:rPr>
                <w:rFonts w:ascii="Arial" w:hAnsi="Arial" w:cs="Arial"/>
                <w:bCs/>
              </w:rPr>
              <w:t>Disability</w:t>
            </w:r>
          </w:p>
        </w:tc>
        <w:tc>
          <w:tcPr>
            <w:tcW w:w="795" w:type="pct"/>
          </w:tcPr>
          <w:p w14:paraId="22265503" w14:textId="77777777" w:rsidR="001F4412" w:rsidRPr="00CD59CC" w:rsidRDefault="001F4412" w:rsidP="00CD59CC">
            <w:pPr>
              <w:snapToGrid w:val="0"/>
              <w:rPr>
                <w:rFonts w:ascii="Arial" w:hAnsi="Arial" w:cs="Arial"/>
                <w:bCs/>
              </w:rPr>
            </w:pPr>
            <w:r w:rsidRPr="00CD59CC">
              <w:rPr>
                <w:rFonts w:ascii="Arial" w:hAnsi="Arial" w:cs="Arial"/>
                <w:bCs/>
              </w:rPr>
              <w:t>Civil law</w:t>
            </w:r>
          </w:p>
        </w:tc>
        <w:tc>
          <w:tcPr>
            <w:tcW w:w="746" w:type="pct"/>
          </w:tcPr>
          <w:p w14:paraId="33982490" w14:textId="77777777" w:rsidR="001F4412" w:rsidRPr="00CD59CC" w:rsidRDefault="001F4412" w:rsidP="00CD59CC">
            <w:pPr>
              <w:snapToGrid w:val="0"/>
              <w:rPr>
                <w:rFonts w:ascii="Arial" w:hAnsi="Arial" w:cs="Arial"/>
                <w:bCs/>
              </w:rPr>
            </w:pPr>
            <w:r w:rsidRPr="00CD59CC">
              <w:rPr>
                <w:rFonts w:ascii="Arial" w:hAnsi="Arial" w:cs="Arial"/>
                <w:bCs/>
              </w:rPr>
              <w:t>Numerous fields including education, employment, cultural activities, accessibility of public services, transportation</w:t>
            </w:r>
          </w:p>
        </w:tc>
        <w:tc>
          <w:tcPr>
            <w:tcW w:w="797" w:type="pct"/>
          </w:tcPr>
          <w:p w14:paraId="6EBF854C" w14:textId="77777777" w:rsidR="001F4412" w:rsidRPr="00CD59CC" w:rsidRDefault="001F4412" w:rsidP="00CD59CC">
            <w:pPr>
              <w:snapToGrid w:val="0"/>
              <w:rPr>
                <w:rFonts w:ascii="Arial" w:hAnsi="Arial" w:cs="Arial"/>
                <w:bCs/>
              </w:rPr>
            </w:pPr>
            <w:r w:rsidRPr="00CD59CC">
              <w:rPr>
                <w:rFonts w:ascii="Arial" w:hAnsi="Arial" w:cs="Arial"/>
                <w:bCs/>
              </w:rPr>
              <w:t>Setting out the most important principles in relation to the inherent rights of people with disabilities, reasonable accommodation provisions (limited in scope)</w:t>
            </w:r>
          </w:p>
        </w:tc>
      </w:tr>
    </w:tbl>
    <w:p w14:paraId="37AD3CC1" w14:textId="77777777" w:rsidR="002B5BCD" w:rsidRPr="00CD59CC" w:rsidRDefault="002B5BCD" w:rsidP="00CD59CC">
      <w:pPr>
        <w:rPr>
          <w:rFonts w:ascii="Arial" w:hAnsi="Arial" w:cs="Arial"/>
        </w:rPr>
      </w:pPr>
    </w:p>
    <w:p w14:paraId="0C008538" w14:textId="77777777" w:rsidR="002B5BCD" w:rsidRPr="00CD59CC" w:rsidRDefault="002B5BCD" w:rsidP="00CD59CC">
      <w:pPr>
        <w:pStyle w:val="Heading1"/>
        <w:numPr>
          <w:ilvl w:val="0"/>
          <w:numId w:val="0"/>
        </w:numPr>
        <w:ind w:left="432" w:hanging="432"/>
        <w:rPr>
          <w:rFonts w:cs="Arial"/>
        </w:rPr>
      </w:pPr>
      <w:bookmarkStart w:id="371" w:name="_Toc220221190"/>
      <w:r w:rsidRPr="00CD59CC">
        <w:rPr>
          <w:rFonts w:cs="Arial"/>
        </w:rPr>
        <w:br w:type="page"/>
      </w:r>
      <w:bookmarkStart w:id="372" w:name="_Toc392758760"/>
      <w:bookmarkStart w:id="373" w:name="_Toc329163652"/>
      <w:bookmarkStart w:id="374" w:name="_Toc366846370"/>
      <w:r w:rsidRPr="00CD59CC">
        <w:rPr>
          <w:rFonts w:cs="Arial"/>
        </w:rPr>
        <w:lastRenderedPageBreak/>
        <w:t>ANNEX 2: TABLE OF INTERNATIONAL INSTRUMENTS</w:t>
      </w:r>
      <w:bookmarkEnd w:id="371"/>
      <w:bookmarkEnd w:id="372"/>
      <w:bookmarkEnd w:id="373"/>
      <w:bookmarkEnd w:id="374"/>
    </w:p>
    <w:p w14:paraId="0B03654D" w14:textId="77777777" w:rsidR="002B5BCD" w:rsidRPr="00CD59CC" w:rsidRDefault="002B5BCD" w:rsidP="00CD59CC">
      <w:pPr>
        <w:rPr>
          <w:rFonts w:ascii="Arial" w:hAnsi="Arial" w:cs="Arial"/>
        </w:rPr>
      </w:pPr>
    </w:p>
    <w:p w14:paraId="1C51F80B" w14:textId="167B188B" w:rsidR="002B5BCD" w:rsidRPr="00CD59CC" w:rsidRDefault="002B5BCD" w:rsidP="00CD59CC">
      <w:pPr>
        <w:rPr>
          <w:rFonts w:ascii="Arial" w:hAnsi="Arial" w:cs="Arial"/>
        </w:rPr>
      </w:pPr>
      <w:r w:rsidRPr="00CD59CC">
        <w:rPr>
          <w:rFonts w:ascii="Arial" w:hAnsi="Arial" w:cs="Arial"/>
          <w:b/>
        </w:rPr>
        <w:t>Name of country</w:t>
      </w:r>
      <w:r w:rsidR="00006D17">
        <w:rPr>
          <w:rFonts w:ascii="Arial" w:hAnsi="Arial" w:cs="Arial"/>
          <w:b/>
        </w:rPr>
        <w:t>: Hungary</w:t>
      </w:r>
      <w:r w:rsidR="00006D17">
        <w:rPr>
          <w:rFonts w:ascii="Arial" w:hAnsi="Arial" w:cs="Arial"/>
        </w:rPr>
        <w:tab/>
      </w:r>
      <w:r w:rsidR="00006D17">
        <w:rPr>
          <w:rFonts w:ascii="Arial" w:hAnsi="Arial" w:cs="Arial"/>
        </w:rPr>
        <w:tab/>
      </w:r>
      <w:r w:rsidR="00006D17">
        <w:rPr>
          <w:rFonts w:ascii="Arial" w:hAnsi="Arial" w:cs="Arial"/>
        </w:rPr>
        <w:tab/>
      </w:r>
      <w:r w:rsidR="00006D17">
        <w:rPr>
          <w:rFonts w:ascii="Arial" w:hAnsi="Arial" w:cs="Arial"/>
        </w:rPr>
        <w:tab/>
      </w:r>
      <w:r w:rsidRPr="00CD59CC">
        <w:rPr>
          <w:rFonts w:ascii="Arial" w:hAnsi="Arial" w:cs="Arial"/>
        </w:rPr>
        <w:tab/>
      </w:r>
      <w:r w:rsidRPr="00CD59CC">
        <w:rPr>
          <w:rFonts w:ascii="Arial" w:hAnsi="Arial" w:cs="Arial"/>
        </w:rPr>
        <w:tab/>
      </w:r>
      <w:r w:rsidRPr="00CD59CC">
        <w:rPr>
          <w:rFonts w:ascii="Arial" w:hAnsi="Arial" w:cs="Arial"/>
        </w:rPr>
        <w:tab/>
      </w:r>
      <w:r w:rsidRPr="00CD59CC">
        <w:rPr>
          <w:rFonts w:ascii="Arial" w:hAnsi="Arial" w:cs="Arial"/>
        </w:rPr>
        <w:tab/>
      </w:r>
      <w:r w:rsidRPr="00CD59CC">
        <w:rPr>
          <w:rFonts w:ascii="Arial" w:hAnsi="Arial" w:cs="Arial"/>
        </w:rPr>
        <w:tab/>
      </w:r>
      <w:r w:rsidRPr="00CD59CC">
        <w:rPr>
          <w:rFonts w:ascii="Arial" w:hAnsi="Arial" w:cs="Arial"/>
        </w:rPr>
        <w:tab/>
      </w:r>
      <w:r w:rsidRPr="00CD59CC">
        <w:rPr>
          <w:rFonts w:ascii="Arial" w:hAnsi="Arial" w:cs="Arial"/>
        </w:rPr>
        <w:tab/>
      </w:r>
      <w:r w:rsidRPr="00CD59CC">
        <w:rPr>
          <w:rFonts w:ascii="Arial" w:hAnsi="Arial" w:cs="Arial"/>
          <w:b/>
        </w:rPr>
        <w:t>Date</w:t>
      </w:r>
      <w:r w:rsidR="00006D17">
        <w:rPr>
          <w:rFonts w:ascii="Arial" w:hAnsi="Arial" w:cs="Arial"/>
          <w:b/>
        </w:rPr>
        <w:t>: 1 januari 2014</w:t>
      </w:r>
    </w:p>
    <w:p w14:paraId="0FA572E6" w14:textId="77777777" w:rsidR="002B5BCD" w:rsidRPr="00CD59CC" w:rsidRDefault="002B5BCD" w:rsidP="00CD59CC">
      <w:pPr>
        <w:rPr>
          <w:rFonts w:ascii="Arial" w:hAnsi="Arial" w:cs="Arial"/>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2017"/>
        <w:gridCol w:w="2017"/>
        <w:gridCol w:w="2785"/>
        <w:gridCol w:w="1817"/>
        <w:gridCol w:w="2258"/>
      </w:tblGrid>
      <w:tr w:rsidR="002B5BCD" w:rsidRPr="00CD59CC" w14:paraId="6AF004B2" w14:textId="77777777" w:rsidTr="00E34CF1">
        <w:trPr>
          <w:trHeight w:val="701"/>
          <w:tblHeader/>
        </w:trPr>
        <w:tc>
          <w:tcPr>
            <w:tcW w:w="2174" w:type="dxa"/>
          </w:tcPr>
          <w:p w14:paraId="59359E2C" w14:textId="77777777" w:rsidR="002B5BCD" w:rsidRPr="00CD59CC" w:rsidRDefault="002B5BCD" w:rsidP="00CD59CC">
            <w:pPr>
              <w:rPr>
                <w:rFonts w:ascii="Arial" w:hAnsi="Arial" w:cs="Arial"/>
                <w:b/>
              </w:rPr>
            </w:pPr>
            <w:r w:rsidRPr="00CD59CC">
              <w:rPr>
                <w:rFonts w:ascii="Arial" w:hAnsi="Arial" w:cs="Arial"/>
                <w:b/>
              </w:rPr>
              <w:t>Instrument</w:t>
            </w:r>
          </w:p>
        </w:tc>
        <w:tc>
          <w:tcPr>
            <w:tcW w:w="2017" w:type="dxa"/>
          </w:tcPr>
          <w:p w14:paraId="7901D5CC" w14:textId="77777777" w:rsidR="002B5BCD" w:rsidRPr="00CD59CC" w:rsidRDefault="002B5BCD" w:rsidP="00CD59CC">
            <w:pPr>
              <w:rPr>
                <w:rFonts w:ascii="Arial" w:hAnsi="Arial" w:cs="Arial"/>
                <w:b/>
              </w:rPr>
            </w:pPr>
            <w:r w:rsidRPr="00CD59CC">
              <w:rPr>
                <w:rFonts w:ascii="Arial" w:hAnsi="Arial" w:cs="Arial"/>
                <w:b/>
              </w:rPr>
              <w:t>Date of signature (if not signed please indicate)</w:t>
            </w:r>
          </w:p>
          <w:p w14:paraId="5673EED1" w14:textId="77777777" w:rsidR="002B5BCD" w:rsidRPr="00CD59CC" w:rsidRDefault="002B5BCD" w:rsidP="00CD59CC">
            <w:pPr>
              <w:rPr>
                <w:rFonts w:ascii="Arial" w:hAnsi="Arial" w:cs="Arial"/>
                <w:b/>
              </w:rPr>
            </w:pPr>
            <w:r w:rsidRPr="00CD59CC">
              <w:rPr>
                <w:rFonts w:ascii="Arial" w:hAnsi="Arial" w:cs="Arial"/>
                <w:b/>
              </w:rPr>
              <w:t>Day/month/year</w:t>
            </w:r>
          </w:p>
        </w:tc>
        <w:tc>
          <w:tcPr>
            <w:tcW w:w="2017" w:type="dxa"/>
          </w:tcPr>
          <w:p w14:paraId="389D9D92" w14:textId="77777777" w:rsidR="002B5BCD" w:rsidRPr="00CD59CC" w:rsidRDefault="002B5BCD" w:rsidP="00CD59CC">
            <w:pPr>
              <w:rPr>
                <w:rFonts w:ascii="Arial" w:hAnsi="Arial" w:cs="Arial"/>
                <w:b/>
              </w:rPr>
            </w:pPr>
            <w:r w:rsidRPr="00CD59CC">
              <w:rPr>
                <w:rFonts w:ascii="Arial" w:hAnsi="Arial" w:cs="Arial"/>
                <w:b/>
              </w:rPr>
              <w:t>Date of ratification (if not ratified please indicate)</w:t>
            </w:r>
          </w:p>
          <w:p w14:paraId="11B2B51F" w14:textId="77777777" w:rsidR="002B5BCD" w:rsidRPr="00CD59CC" w:rsidRDefault="002B5BCD" w:rsidP="00CD59CC">
            <w:pPr>
              <w:rPr>
                <w:rFonts w:ascii="Arial" w:hAnsi="Arial" w:cs="Arial"/>
                <w:b/>
              </w:rPr>
            </w:pPr>
            <w:r w:rsidRPr="00CD59CC">
              <w:rPr>
                <w:rFonts w:ascii="Arial" w:hAnsi="Arial" w:cs="Arial"/>
                <w:b/>
              </w:rPr>
              <w:t>Day/month/year</w:t>
            </w:r>
          </w:p>
        </w:tc>
        <w:tc>
          <w:tcPr>
            <w:tcW w:w="2785" w:type="dxa"/>
          </w:tcPr>
          <w:p w14:paraId="0FDB19E4" w14:textId="77777777" w:rsidR="002B5BCD" w:rsidRPr="00CD59CC" w:rsidRDefault="002B5BCD" w:rsidP="00CD59CC">
            <w:pPr>
              <w:rPr>
                <w:rFonts w:ascii="Arial" w:hAnsi="Arial" w:cs="Arial"/>
                <w:b/>
              </w:rPr>
            </w:pPr>
            <w:r w:rsidRPr="00CD59CC">
              <w:rPr>
                <w:rFonts w:ascii="Arial" w:hAnsi="Arial" w:cs="Arial"/>
                <w:b/>
              </w:rPr>
              <w:t>Derogations/ reservations relevant to equality and non-discrimination</w:t>
            </w:r>
          </w:p>
        </w:tc>
        <w:tc>
          <w:tcPr>
            <w:tcW w:w="1817" w:type="dxa"/>
          </w:tcPr>
          <w:p w14:paraId="637CF912" w14:textId="77777777" w:rsidR="002B5BCD" w:rsidRPr="00CD59CC" w:rsidRDefault="002B5BCD" w:rsidP="00CD59CC">
            <w:pPr>
              <w:rPr>
                <w:rFonts w:ascii="Arial" w:hAnsi="Arial" w:cs="Arial"/>
                <w:b/>
              </w:rPr>
            </w:pPr>
            <w:r w:rsidRPr="00CD59CC">
              <w:rPr>
                <w:rFonts w:ascii="Arial" w:hAnsi="Arial" w:cs="Arial"/>
                <w:b/>
              </w:rPr>
              <w:t>Right of individual petition accepted?</w:t>
            </w:r>
          </w:p>
        </w:tc>
        <w:tc>
          <w:tcPr>
            <w:tcW w:w="2258" w:type="dxa"/>
          </w:tcPr>
          <w:p w14:paraId="4C6C1F0D" w14:textId="77777777" w:rsidR="002B5BCD" w:rsidRPr="00CD59CC" w:rsidRDefault="002B5BCD" w:rsidP="00CD59CC">
            <w:pPr>
              <w:rPr>
                <w:rFonts w:ascii="Arial" w:hAnsi="Arial" w:cs="Arial"/>
                <w:b/>
              </w:rPr>
            </w:pPr>
            <w:r w:rsidRPr="00CD59CC">
              <w:rPr>
                <w:rFonts w:ascii="Arial" w:hAnsi="Arial" w:cs="Arial"/>
                <w:b/>
              </w:rPr>
              <w:t>Can this instrument be directly relied upon in domestic courts by individuals?</w:t>
            </w:r>
          </w:p>
        </w:tc>
      </w:tr>
      <w:tr w:rsidR="00F37633" w:rsidRPr="00CD59CC" w14:paraId="50F9F504" w14:textId="77777777" w:rsidTr="00E34CF1">
        <w:trPr>
          <w:cantSplit/>
          <w:trHeight w:val="701"/>
        </w:trPr>
        <w:tc>
          <w:tcPr>
            <w:tcW w:w="2174" w:type="dxa"/>
          </w:tcPr>
          <w:p w14:paraId="14F10BBD" w14:textId="77777777" w:rsidR="00F37633" w:rsidRPr="00CD59CC" w:rsidRDefault="00F37633" w:rsidP="00CD59CC">
            <w:pPr>
              <w:rPr>
                <w:rFonts w:ascii="Arial" w:hAnsi="Arial" w:cs="Arial"/>
              </w:rPr>
            </w:pPr>
            <w:r w:rsidRPr="00CD59CC">
              <w:rPr>
                <w:rFonts w:ascii="Arial" w:hAnsi="Arial" w:cs="Arial"/>
              </w:rPr>
              <w:t>European Convention on Human Rights (ECHR)</w:t>
            </w:r>
          </w:p>
        </w:tc>
        <w:tc>
          <w:tcPr>
            <w:tcW w:w="2017" w:type="dxa"/>
          </w:tcPr>
          <w:p w14:paraId="7E5C1ADD" w14:textId="77777777" w:rsidR="00F37633" w:rsidRPr="00CD59CC" w:rsidRDefault="00F37633" w:rsidP="00CD59CC">
            <w:pPr>
              <w:rPr>
                <w:rFonts w:ascii="Arial" w:hAnsi="Arial" w:cs="Arial"/>
              </w:rPr>
            </w:pPr>
            <w:r w:rsidRPr="00CD59CC">
              <w:rPr>
                <w:rFonts w:ascii="Arial" w:hAnsi="Arial" w:cs="Arial"/>
              </w:rPr>
              <w:t>06/11/1990</w:t>
            </w:r>
          </w:p>
        </w:tc>
        <w:tc>
          <w:tcPr>
            <w:tcW w:w="2017" w:type="dxa"/>
          </w:tcPr>
          <w:p w14:paraId="2E7F7BE2" w14:textId="77777777" w:rsidR="00F37633" w:rsidRPr="00CD59CC" w:rsidRDefault="00F37633" w:rsidP="00CD59CC">
            <w:pPr>
              <w:rPr>
                <w:rFonts w:ascii="Arial" w:hAnsi="Arial" w:cs="Arial"/>
              </w:rPr>
            </w:pPr>
            <w:r w:rsidRPr="00CD59CC">
              <w:rPr>
                <w:rFonts w:ascii="Arial" w:hAnsi="Arial" w:cs="Arial"/>
              </w:rPr>
              <w:t>05/11/1992</w:t>
            </w:r>
          </w:p>
        </w:tc>
        <w:tc>
          <w:tcPr>
            <w:tcW w:w="2785" w:type="dxa"/>
          </w:tcPr>
          <w:p w14:paraId="6BC060A5" w14:textId="77777777" w:rsidR="00F37633" w:rsidRPr="00CD59CC" w:rsidRDefault="00F37633" w:rsidP="00CD59CC">
            <w:pPr>
              <w:snapToGrid w:val="0"/>
              <w:rPr>
                <w:rFonts w:ascii="Arial" w:hAnsi="Arial" w:cs="Arial"/>
              </w:rPr>
            </w:pPr>
            <w:r w:rsidRPr="00CD59CC">
              <w:rPr>
                <w:rFonts w:ascii="Arial" w:hAnsi="Arial" w:cs="Arial"/>
              </w:rPr>
              <w:t>No</w:t>
            </w:r>
          </w:p>
        </w:tc>
        <w:tc>
          <w:tcPr>
            <w:tcW w:w="1817" w:type="dxa"/>
          </w:tcPr>
          <w:p w14:paraId="4E488816" w14:textId="77777777" w:rsidR="00F37633" w:rsidRPr="00CD59CC" w:rsidRDefault="00F37633" w:rsidP="00CD59CC">
            <w:pPr>
              <w:snapToGrid w:val="0"/>
              <w:rPr>
                <w:rFonts w:ascii="Arial" w:hAnsi="Arial" w:cs="Arial"/>
              </w:rPr>
            </w:pPr>
            <w:r w:rsidRPr="00CD59CC">
              <w:rPr>
                <w:rFonts w:ascii="Arial" w:hAnsi="Arial" w:cs="Arial"/>
              </w:rPr>
              <w:t>Yes</w:t>
            </w:r>
          </w:p>
        </w:tc>
        <w:tc>
          <w:tcPr>
            <w:tcW w:w="2258" w:type="dxa"/>
          </w:tcPr>
          <w:p w14:paraId="4F998E6E" w14:textId="77777777" w:rsidR="00F37633" w:rsidRPr="00CD59CC" w:rsidRDefault="00F37633" w:rsidP="00CD59CC">
            <w:pPr>
              <w:snapToGrid w:val="0"/>
              <w:rPr>
                <w:rFonts w:ascii="Arial" w:hAnsi="Arial" w:cs="Arial"/>
              </w:rPr>
            </w:pPr>
            <w:r w:rsidRPr="00CD59CC">
              <w:rPr>
                <w:rFonts w:ascii="Arial" w:hAnsi="Arial" w:cs="Arial"/>
              </w:rPr>
              <w:t>Theoretically yes, practically with some difficulties</w:t>
            </w:r>
          </w:p>
        </w:tc>
      </w:tr>
      <w:tr w:rsidR="00F37633" w:rsidRPr="00CD59CC" w14:paraId="6A3CDDC3" w14:textId="77777777" w:rsidTr="00E34CF1">
        <w:trPr>
          <w:trHeight w:val="702"/>
        </w:trPr>
        <w:tc>
          <w:tcPr>
            <w:tcW w:w="2174" w:type="dxa"/>
          </w:tcPr>
          <w:p w14:paraId="2039793D" w14:textId="77777777" w:rsidR="00F37633" w:rsidRPr="00CD59CC" w:rsidRDefault="00F37633" w:rsidP="00CD59CC">
            <w:pPr>
              <w:rPr>
                <w:rFonts w:ascii="Arial" w:hAnsi="Arial" w:cs="Arial"/>
              </w:rPr>
            </w:pPr>
            <w:r w:rsidRPr="00CD59CC">
              <w:rPr>
                <w:rFonts w:ascii="Arial" w:hAnsi="Arial" w:cs="Arial"/>
              </w:rPr>
              <w:t>Protocol 12, ECHR</w:t>
            </w:r>
          </w:p>
        </w:tc>
        <w:tc>
          <w:tcPr>
            <w:tcW w:w="2017" w:type="dxa"/>
          </w:tcPr>
          <w:p w14:paraId="57ECEA62" w14:textId="77777777" w:rsidR="00F37633" w:rsidRPr="00CD59CC" w:rsidRDefault="00F37633" w:rsidP="00CD59CC">
            <w:pPr>
              <w:rPr>
                <w:rFonts w:ascii="Arial" w:hAnsi="Arial" w:cs="Arial"/>
              </w:rPr>
            </w:pPr>
            <w:r w:rsidRPr="00CD59CC">
              <w:rPr>
                <w:rFonts w:ascii="Arial" w:hAnsi="Arial" w:cs="Arial"/>
              </w:rPr>
              <w:t>04/11/2000</w:t>
            </w:r>
          </w:p>
        </w:tc>
        <w:tc>
          <w:tcPr>
            <w:tcW w:w="2017" w:type="dxa"/>
          </w:tcPr>
          <w:p w14:paraId="36E8878C" w14:textId="77777777" w:rsidR="00F37633" w:rsidRPr="00CD59CC" w:rsidRDefault="00F37633" w:rsidP="00CD59CC">
            <w:pPr>
              <w:rPr>
                <w:rFonts w:ascii="Arial" w:hAnsi="Arial" w:cs="Arial"/>
              </w:rPr>
            </w:pPr>
            <w:r w:rsidRPr="00CD59CC">
              <w:rPr>
                <w:rFonts w:ascii="Arial" w:hAnsi="Arial" w:cs="Arial"/>
              </w:rPr>
              <w:t>Not ratified</w:t>
            </w:r>
          </w:p>
        </w:tc>
        <w:tc>
          <w:tcPr>
            <w:tcW w:w="2785" w:type="dxa"/>
          </w:tcPr>
          <w:p w14:paraId="11A4C673" w14:textId="77777777" w:rsidR="00F37633" w:rsidRPr="00CD59CC" w:rsidRDefault="00F37633" w:rsidP="00CD59CC">
            <w:pPr>
              <w:snapToGrid w:val="0"/>
              <w:rPr>
                <w:rFonts w:ascii="Arial" w:hAnsi="Arial" w:cs="Arial"/>
              </w:rPr>
            </w:pPr>
            <w:r w:rsidRPr="00CD59CC">
              <w:rPr>
                <w:rFonts w:ascii="Arial" w:hAnsi="Arial" w:cs="Arial"/>
              </w:rPr>
              <w:t>N/A</w:t>
            </w:r>
          </w:p>
        </w:tc>
        <w:tc>
          <w:tcPr>
            <w:tcW w:w="1817" w:type="dxa"/>
          </w:tcPr>
          <w:p w14:paraId="795DF347" w14:textId="77777777" w:rsidR="00F37633" w:rsidRPr="00CD59CC" w:rsidRDefault="00F37633" w:rsidP="00CD59CC">
            <w:pPr>
              <w:snapToGrid w:val="0"/>
              <w:rPr>
                <w:rFonts w:ascii="Arial" w:hAnsi="Arial" w:cs="Arial"/>
              </w:rPr>
            </w:pPr>
            <w:r w:rsidRPr="00CD59CC">
              <w:rPr>
                <w:rFonts w:ascii="Arial" w:hAnsi="Arial" w:cs="Arial"/>
              </w:rPr>
              <w:t>N/A</w:t>
            </w:r>
          </w:p>
        </w:tc>
        <w:tc>
          <w:tcPr>
            <w:tcW w:w="2258" w:type="dxa"/>
          </w:tcPr>
          <w:p w14:paraId="244AF244" w14:textId="77777777" w:rsidR="00F37633" w:rsidRPr="00CD59CC" w:rsidRDefault="00F37633" w:rsidP="00CD59CC">
            <w:pPr>
              <w:snapToGrid w:val="0"/>
              <w:rPr>
                <w:rFonts w:ascii="Arial" w:hAnsi="Arial" w:cs="Arial"/>
              </w:rPr>
            </w:pPr>
            <w:r w:rsidRPr="00CD59CC">
              <w:rPr>
                <w:rFonts w:ascii="Arial" w:hAnsi="Arial" w:cs="Arial"/>
              </w:rPr>
              <w:t>N/A</w:t>
            </w:r>
          </w:p>
        </w:tc>
      </w:tr>
      <w:tr w:rsidR="00F37633" w:rsidRPr="00CD59CC" w14:paraId="4649C92F" w14:textId="77777777" w:rsidTr="00E34CF1">
        <w:trPr>
          <w:trHeight w:val="701"/>
        </w:trPr>
        <w:tc>
          <w:tcPr>
            <w:tcW w:w="2174" w:type="dxa"/>
          </w:tcPr>
          <w:p w14:paraId="3C14717C" w14:textId="77777777" w:rsidR="00F37633" w:rsidRPr="00CD59CC" w:rsidRDefault="00F37633" w:rsidP="00CD59CC">
            <w:pPr>
              <w:rPr>
                <w:rFonts w:ascii="Arial" w:hAnsi="Arial" w:cs="Arial"/>
              </w:rPr>
            </w:pPr>
            <w:r w:rsidRPr="00CD59CC">
              <w:rPr>
                <w:rFonts w:ascii="Arial" w:hAnsi="Arial" w:cs="Arial"/>
              </w:rPr>
              <w:t>Revised European Social Charter</w:t>
            </w:r>
          </w:p>
        </w:tc>
        <w:tc>
          <w:tcPr>
            <w:tcW w:w="2017" w:type="dxa"/>
          </w:tcPr>
          <w:p w14:paraId="77526E3F" w14:textId="77777777" w:rsidR="00F37633" w:rsidRPr="00CD59CC" w:rsidRDefault="00F37633" w:rsidP="00CD59CC">
            <w:pPr>
              <w:rPr>
                <w:rFonts w:ascii="Arial" w:hAnsi="Arial" w:cs="Arial"/>
              </w:rPr>
            </w:pPr>
            <w:r w:rsidRPr="00CD59CC">
              <w:rPr>
                <w:rFonts w:ascii="Arial" w:hAnsi="Arial" w:cs="Arial"/>
              </w:rPr>
              <w:t>07/10/2004</w:t>
            </w:r>
          </w:p>
        </w:tc>
        <w:tc>
          <w:tcPr>
            <w:tcW w:w="2017" w:type="dxa"/>
          </w:tcPr>
          <w:p w14:paraId="305C5CAD" w14:textId="77777777" w:rsidR="00F37633" w:rsidRPr="00CD59CC" w:rsidRDefault="00F37633" w:rsidP="00CD59CC">
            <w:pPr>
              <w:rPr>
                <w:rFonts w:ascii="Arial" w:hAnsi="Arial" w:cs="Arial"/>
              </w:rPr>
            </w:pPr>
            <w:r w:rsidRPr="00CD59CC">
              <w:rPr>
                <w:rFonts w:ascii="Arial" w:hAnsi="Arial" w:cs="Arial"/>
              </w:rPr>
              <w:t>20/04/2009</w:t>
            </w:r>
          </w:p>
        </w:tc>
        <w:tc>
          <w:tcPr>
            <w:tcW w:w="2785" w:type="dxa"/>
          </w:tcPr>
          <w:p w14:paraId="625C2100" w14:textId="77777777" w:rsidR="00F37633" w:rsidRPr="00CD59CC" w:rsidRDefault="00F37633" w:rsidP="00CD59CC">
            <w:pPr>
              <w:snapToGrid w:val="0"/>
              <w:rPr>
                <w:rFonts w:ascii="Arial" w:hAnsi="Arial" w:cs="Arial"/>
              </w:rPr>
            </w:pPr>
            <w:r w:rsidRPr="00CD59CC">
              <w:rPr>
                <w:rFonts w:ascii="Arial" w:hAnsi="Arial" w:cs="Arial"/>
              </w:rPr>
              <w:t>No</w:t>
            </w:r>
          </w:p>
        </w:tc>
        <w:tc>
          <w:tcPr>
            <w:tcW w:w="1817" w:type="dxa"/>
          </w:tcPr>
          <w:p w14:paraId="036AFA22" w14:textId="77777777" w:rsidR="00F37633" w:rsidRPr="00CD59CC" w:rsidRDefault="00F37633" w:rsidP="00CD59CC">
            <w:pPr>
              <w:snapToGrid w:val="0"/>
              <w:rPr>
                <w:rFonts w:ascii="Arial" w:hAnsi="Arial" w:cs="Arial"/>
              </w:rPr>
            </w:pPr>
            <w:r w:rsidRPr="00CD59CC">
              <w:rPr>
                <w:rFonts w:ascii="Arial" w:hAnsi="Arial" w:cs="Arial"/>
              </w:rPr>
              <w:t>Collective complaints protocol signed but not ratified</w:t>
            </w:r>
          </w:p>
        </w:tc>
        <w:tc>
          <w:tcPr>
            <w:tcW w:w="2258" w:type="dxa"/>
          </w:tcPr>
          <w:p w14:paraId="3A0AAADE" w14:textId="77777777" w:rsidR="00F37633" w:rsidRPr="00CD59CC" w:rsidRDefault="00F37633" w:rsidP="00CD59CC">
            <w:pPr>
              <w:snapToGrid w:val="0"/>
              <w:rPr>
                <w:rFonts w:ascii="Arial" w:hAnsi="Arial" w:cs="Arial"/>
              </w:rPr>
            </w:pPr>
            <w:r w:rsidRPr="00CD59CC">
              <w:rPr>
                <w:rFonts w:ascii="Arial" w:hAnsi="Arial" w:cs="Arial"/>
              </w:rPr>
              <w:t>Theoretically yes, practically with some difficulties</w:t>
            </w:r>
          </w:p>
        </w:tc>
      </w:tr>
      <w:tr w:rsidR="00F37633" w:rsidRPr="00CD59CC" w14:paraId="7DBB1792" w14:textId="77777777" w:rsidTr="00E34CF1">
        <w:trPr>
          <w:trHeight w:val="701"/>
        </w:trPr>
        <w:tc>
          <w:tcPr>
            <w:tcW w:w="2174" w:type="dxa"/>
          </w:tcPr>
          <w:p w14:paraId="17B7F54E" w14:textId="77777777" w:rsidR="00F37633" w:rsidRPr="00CD59CC" w:rsidRDefault="00F37633" w:rsidP="00CD59CC">
            <w:pPr>
              <w:rPr>
                <w:rFonts w:ascii="Arial" w:hAnsi="Arial" w:cs="Arial"/>
              </w:rPr>
            </w:pPr>
            <w:r w:rsidRPr="00CD59CC">
              <w:rPr>
                <w:rFonts w:ascii="Arial" w:hAnsi="Arial" w:cs="Arial"/>
              </w:rPr>
              <w:t>International Covenant on Civil and Political Rights</w:t>
            </w:r>
          </w:p>
        </w:tc>
        <w:tc>
          <w:tcPr>
            <w:tcW w:w="2017" w:type="dxa"/>
          </w:tcPr>
          <w:p w14:paraId="074A7407" w14:textId="77777777" w:rsidR="00F37633" w:rsidRPr="00CD59CC" w:rsidRDefault="00F37633" w:rsidP="00CD59CC">
            <w:pPr>
              <w:rPr>
                <w:rFonts w:ascii="Arial" w:hAnsi="Arial" w:cs="Arial"/>
              </w:rPr>
            </w:pPr>
            <w:r w:rsidRPr="00CD59CC">
              <w:rPr>
                <w:rFonts w:ascii="Arial" w:hAnsi="Arial" w:cs="Arial"/>
              </w:rPr>
              <w:t>25/03/1969</w:t>
            </w:r>
          </w:p>
        </w:tc>
        <w:tc>
          <w:tcPr>
            <w:tcW w:w="2017" w:type="dxa"/>
          </w:tcPr>
          <w:p w14:paraId="4E51D6FB" w14:textId="77777777" w:rsidR="00F37633" w:rsidRPr="00CD59CC" w:rsidRDefault="00F37633" w:rsidP="00CD59CC">
            <w:pPr>
              <w:rPr>
                <w:rFonts w:ascii="Arial" w:hAnsi="Arial" w:cs="Arial"/>
              </w:rPr>
            </w:pPr>
            <w:r w:rsidRPr="00CD59CC">
              <w:rPr>
                <w:rFonts w:ascii="Arial" w:hAnsi="Arial" w:cs="Arial"/>
              </w:rPr>
              <w:t>17/01/1974</w:t>
            </w:r>
          </w:p>
        </w:tc>
        <w:tc>
          <w:tcPr>
            <w:tcW w:w="2785" w:type="dxa"/>
          </w:tcPr>
          <w:p w14:paraId="34B13BFE" w14:textId="77777777" w:rsidR="00F37633" w:rsidRPr="00CD59CC" w:rsidRDefault="00F37633" w:rsidP="00CD59CC">
            <w:pPr>
              <w:snapToGrid w:val="0"/>
              <w:rPr>
                <w:rFonts w:ascii="Arial" w:hAnsi="Arial" w:cs="Arial"/>
              </w:rPr>
            </w:pPr>
            <w:r w:rsidRPr="00CD59CC">
              <w:rPr>
                <w:rFonts w:ascii="Arial" w:hAnsi="Arial" w:cs="Arial"/>
              </w:rPr>
              <w:t>No</w:t>
            </w:r>
          </w:p>
        </w:tc>
        <w:tc>
          <w:tcPr>
            <w:tcW w:w="1817" w:type="dxa"/>
          </w:tcPr>
          <w:p w14:paraId="0E574CD4" w14:textId="77777777" w:rsidR="00F37633" w:rsidRPr="00CD59CC" w:rsidRDefault="00F37633" w:rsidP="00CD59CC">
            <w:pPr>
              <w:snapToGrid w:val="0"/>
              <w:rPr>
                <w:rFonts w:ascii="Arial" w:hAnsi="Arial" w:cs="Arial"/>
              </w:rPr>
            </w:pPr>
            <w:r w:rsidRPr="00CD59CC">
              <w:rPr>
                <w:rFonts w:ascii="Arial" w:hAnsi="Arial" w:cs="Arial"/>
              </w:rPr>
              <w:t>Yes</w:t>
            </w:r>
          </w:p>
        </w:tc>
        <w:tc>
          <w:tcPr>
            <w:tcW w:w="2258" w:type="dxa"/>
          </w:tcPr>
          <w:p w14:paraId="462B146B" w14:textId="77777777" w:rsidR="00F37633" w:rsidRPr="00CD59CC" w:rsidRDefault="00F37633" w:rsidP="00CD59CC">
            <w:pPr>
              <w:snapToGrid w:val="0"/>
              <w:rPr>
                <w:rFonts w:ascii="Arial" w:hAnsi="Arial" w:cs="Arial"/>
              </w:rPr>
            </w:pPr>
            <w:r w:rsidRPr="00CD59CC">
              <w:rPr>
                <w:rFonts w:ascii="Arial" w:hAnsi="Arial" w:cs="Arial"/>
              </w:rPr>
              <w:t>Theoretically yes, practically with some difficulties</w:t>
            </w:r>
          </w:p>
        </w:tc>
      </w:tr>
      <w:tr w:rsidR="00F37633" w:rsidRPr="00CD59CC" w14:paraId="31DE11DF" w14:textId="77777777" w:rsidTr="00E34CF1">
        <w:trPr>
          <w:trHeight w:val="701"/>
        </w:trPr>
        <w:tc>
          <w:tcPr>
            <w:tcW w:w="2174" w:type="dxa"/>
          </w:tcPr>
          <w:p w14:paraId="0D843FEB" w14:textId="77777777" w:rsidR="00F37633" w:rsidRPr="00CD59CC" w:rsidRDefault="00F37633" w:rsidP="00CD59CC">
            <w:pPr>
              <w:rPr>
                <w:rFonts w:ascii="Arial" w:hAnsi="Arial" w:cs="Arial"/>
              </w:rPr>
            </w:pPr>
            <w:r w:rsidRPr="00CD59CC">
              <w:rPr>
                <w:rFonts w:ascii="Arial" w:hAnsi="Arial" w:cs="Arial"/>
              </w:rPr>
              <w:lastRenderedPageBreak/>
              <w:t>Framework Convention</w:t>
            </w:r>
            <w:r w:rsidRPr="00CD59CC">
              <w:rPr>
                <w:rFonts w:ascii="Arial" w:hAnsi="Arial" w:cs="Arial"/>
              </w:rPr>
              <w:br/>
              <w:t>for the Protection of National Minorities</w:t>
            </w:r>
          </w:p>
        </w:tc>
        <w:tc>
          <w:tcPr>
            <w:tcW w:w="2017" w:type="dxa"/>
          </w:tcPr>
          <w:p w14:paraId="2594C1DC" w14:textId="77777777" w:rsidR="00F37633" w:rsidRPr="00CD59CC" w:rsidRDefault="00F37633" w:rsidP="00CD59CC">
            <w:pPr>
              <w:rPr>
                <w:rFonts w:ascii="Arial" w:hAnsi="Arial" w:cs="Arial"/>
              </w:rPr>
            </w:pPr>
            <w:r w:rsidRPr="00CD59CC">
              <w:rPr>
                <w:rFonts w:ascii="Arial" w:hAnsi="Arial" w:cs="Arial"/>
              </w:rPr>
              <w:t>01/02/1995</w:t>
            </w:r>
          </w:p>
        </w:tc>
        <w:tc>
          <w:tcPr>
            <w:tcW w:w="2017" w:type="dxa"/>
          </w:tcPr>
          <w:p w14:paraId="56DDE432" w14:textId="77777777" w:rsidR="00F37633" w:rsidRPr="00CD59CC" w:rsidRDefault="00F37633" w:rsidP="00CD59CC">
            <w:pPr>
              <w:rPr>
                <w:rFonts w:ascii="Arial" w:hAnsi="Arial" w:cs="Arial"/>
              </w:rPr>
            </w:pPr>
            <w:r w:rsidRPr="00CD59CC">
              <w:rPr>
                <w:rFonts w:ascii="Arial" w:hAnsi="Arial" w:cs="Arial"/>
              </w:rPr>
              <w:t>25/09/1995</w:t>
            </w:r>
          </w:p>
        </w:tc>
        <w:tc>
          <w:tcPr>
            <w:tcW w:w="2785" w:type="dxa"/>
          </w:tcPr>
          <w:p w14:paraId="198832C0" w14:textId="77777777" w:rsidR="00F37633" w:rsidRPr="00CD59CC" w:rsidRDefault="00F37633" w:rsidP="00CD59CC">
            <w:pPr>
              <w:snapToGrid w:val="0"/>
              <w:rPr>
                <w:rFonts w:ascii="Arial" w:hAnsi="Arial" w:cs="Arial"/>
              </w:rPr>
            </w:pPr>
            <w:r w:rsidRPr="00CD59CC">
              <w:rPr>
                <w:rFonts w:ascii="Arial" w:hAnsi="Arial" w:cs="Arial"/>
              </w:rPr>
              <w:t>No</w:t>
            </w:r>
          </w:p>
        </w:tc>
        <w:tc>
          <w:tcPr>
            <w:tcW w:w="1817" w:type="dxa"/>
          </w:tcPr>
          <w:p w14:paraId="190FA866" w14:textId="77777777" w:rsidR="00F37633" w:rsidRPr="00CD59CC" w:rsidRDefault="00F37633" w:rsidP="00CD59CC">
            <w:pPr>
              <w:snapToGrid w:val="0"/>
              <w:rPr>
                <w:rFonts w:ascii="Arial" w:hAnsi="Arial" w:cs="Arial"/>
              </w:rPr>
            </w:pPr>
            <w:r w:rsidRPr="00CD59CC">
              <w:rPr>
                <w:rFonts w:ascii="Arial" w:hAnsi="Arial" w:cs="Arial"/>
              </w:rPr>
              <w:t>N/A</w:t>
            </w:r>
          </w:p>
        </w:tc>
        <w:tc>
          <w:tcPr>
            <w:tcW w:w="2258" w:type="dxa"/>
          </w:tcPr>
          <w:p w14:paraId="08BC10D3" w14:textId="77777777" w:rsidR="00F37633" w:rsidRPr="00CD59CC" w:rsidRDefault="00F37633" w:rsidP="00CD59CC">
            <w:pPr>
              <w:snapToGrid w:val="0"/>
              <w:rPr>
                <w:rFonts w:ascii="Arial" w:hAnsi="Arial" w:cs="Arial"/>
              </w:rPr>
            </w:pPr>
            <w:r w:rsidRPr="00CD59CC">
              <w:rPr>
                <w:rFonts w:ascii="Arial" w:hAnsi="Arial" w:cs="Arial"/>
              </w:rPr>
              <w:t>Theoretically yes, practically with some difficulties</w:t>
            </w:r>
          </w:p>
        </w:tc>
      </w:tr>
      <w:tr w:rsidR="00F37633" w:rsidRPr="00CD59CC" w14:paraId="36E794CD" w14:textId="77777777" w:rsidTr="00E34CF1">
        <w:trPr>
          <w:trHeight w:val="702"/>
        </w:trPr>
        <w:tc>
          <w:tcPr>
            <w:tcW w:w="2174" w:type="dxa"/>
          </w:tcPr>
          <w:p w14:paraId="2F6059BA" w14:textId="77777777" w:rsidR="00F37633" w:rsidRPr="00CD59CC" w:rsidRDefault="00F37633" w:rsidP="00CD59CC">
            <w:pPr>
              <w:rPr>
                <w:rFonts w:ascii="Arial" w:hAnsi="Arial" w:cs="Arial"/>
              </w:rPr>
            </w:pPr>
            <w:r w:rsidRPr="00CD59CC">
              <w:rPr>
                <w:rFonts w:ascii="Arial" w:hAnsi="Arial" w:cs="Arial"/>
              </w:rPr>
              <w:t>International Convention on Economic, Social and Cultural Rights</w:t>
            </w:r>
          </w:p>
        </w:tc>
        <w:tc>
          <w:tcPr>
            <w:tcW w:w="2017" w:type="dxa"/>
          </w:tcPr>
          <w:p w14:paraId="1E5EF383" w14:textId="77777777" w:rsidR="00F37633" w:rsidRPr="00CD59CC" w:rsidRDefault="00F37633" w:rsidP="00CD59CC">
            <w:pPr>
              <w:rPr>
                <w:rFonts w:ascii="Arial" w:hAnsi="Arial" w:cs="Arial"/>
              </w:rPr>
            </w:pPr>
            <w:r w:rsidRPr="00CD59CC">
              <w:rPr>
                <w:rFonts w:ascii="Arial" w:hAnsi="Arial" w:cs="Arial"/>
              </w:rPr>
              <w:t>25/03/1969</w:t>
            </w:r>
          </w:p>
        </w:tc>
        <w:tc>
          <w:tcPr>
            <w:tcW w:w="2017" w:type="dxa"/>
          </w:tcPr>
          <w:p w14:paraId="3BB0B23F" w14:textId="77777777" w:rsidR="00F37633" w:rsidRPr="00CD59CC" w:rsidRDefault="00F37633" w:rsidP="00CD59CC">
            <w:pPr>
              <w:rPr>
                <w:rFonts w:ascii="Arial" w:hAnsi="Arial" w:cs="Arial"/>
              </w:rPr>
            </w:pPr>
            <w:r w:rsidRPr="00CD59CC">
              <w:rPr>
                <w:rFonts w:ascii="Arial" w:hAnsi="Arial" w:cs="Arial"/>
              </w:rPr>
              <w:t>17/01/1974</w:t>
            </w:r>
          </w:p>
        </w:tc>
        <w:tc>
          <w:tcPr>
            <w:tcW w:w="2785" w:type="dxa"/>
          </w:tcPr>
          <w:p w14:paraId="04B2E392" w14:textId="77777777" w:rsidR="00F37633" w:rsidRPr="00CD59CC" w:rsidRDefault="00F37633" w:rsidP="00CD59CC">
            <w:pPr>
              <w:snapToGrid w:val="0"/>
              <w:rPr>
                <w:rFonts w:ascii="Arial" w:hAnsi="Arial" w:cs="Arial"/>
              </w:rPr>
            </w:pPr>
            <w:r w:rsidRPr="00CD59CC">
              <w:rPr>
                <w:rFonts w:ascii="Arial" w:hAnsi="Arial" w:cs="Arial"/>
              </w:rPr>
              <w:t>No</w:t>
            </w:r>
          </w:p>
        </w:tc>
        <w:tc>
          <w:tcPr>
            <w:tcW w:w="1817" w:type="dxa"/>
          </w:tcPr>
          <w:p w14:paraId="5DD112DB" w14:textId="77777777" w:rsidR="00F37633" w:rsidRPr="00CD59CC" w:rsidRDefault="00F37633" w:rsidP="00CD59CC">
            <w:pPr>
              <w:snapToGrid w:val="0"/>
              <w:rPr>
                <w:rFonts w:ascii="Arial" w:hAnsi="Arial" w:cs="Arial"/>
              </w:rPr>
            </w:pPr>
            <w:r w:rsidRPr="00CD59CC">
              <w:rPr>
                <w:rFonts w:ascii="Arial" w:hAnsi="Arial" w:cs="Arial"/>
              </w:rPr>
              <w:t>No</w:t>
            </w:r>
          </w:p>
        </w:tc>
        <w:tc>
          <w:tcPr>
            <w:tcW w:w="2258" w:type="dxa"/>
          </w:tcPr>
          <w:p w14:paraId="38CD4BF4" w14:textId="77777777" w:rsidR="00F37633" w:rsidRPr="00CD59CC" w:rsidRDefault="00F37633" w:rsidP="00CD59CC">
            <w:pPr>
              <w:snapToGrid w:val="0"/>
              <w:rPr>
                <w:rFonts w:ascii="Arial" w:hAnsi="Arial" w:cs="Arial"/>
              </w:rPr>
            </w:pPr>
            <w:r w:rsidRPr="00CD59CC">
              <w:rPr>
                <w:rFonts w:ascii="Arial" w:hAnsi="Arial" w:cs="Arial"/>
              </w:rPr>
              <w:t>Theoretically yes, practically with some difficulties</w:t>
            </w:r>
          </w:p>
        </w:tc>
      </w:tr>
      <w:tr w:rsidR="00F37633" w:rsidRPr="00CD59CC" w14:paraId="65C4C24A" w14:textId="77777777" w:rsidTr="00E34CF1">
        <w:trPr>
          <w:trHeight w:val="701"/>
        </w:trPr>
        <w:tc>
          <w:tcPr>
            <w:tcW w:w="2174" w:type="dxa"/>
          </w:tcPr>
          <w:p w14:paraId="6D44490C" w14:textId="77777777" w:rsidR="00F37633" w:rsidRPr="00CD59CC" w:rsidRDefault="00F37633" w:rsidP="00CD59CC">
            <w:pPr>
              <w:rPr>
                <w:rFonts w:ascii="Arial" w:hAnsi="Arial" w:cs="Arial"/>
              </w:rPr>
            </w:pPr>
            <w:r w:rsidRPr="00CD59CC">
              <w:rPr>
                <w:rFonts w:ascii="Arial" w:hAnsi="Arial" w:cs="Arial"/>
              </w:rPr>
              <w:t>Convention on the Elimination of All Forms of Racial Discrimination</w:t>
            </w:r>
          </w:p>
        </w:tc>
        <w:tc>
          <w:tcPr>
            <w:tcW w:w="2017" w:type="dxa"/>
          </w:tcPr>
          <w:p w14:paraId="6FB3439F" w14:textId="77777777" w:rsidR="00F37633" w:rsidRPr="00CD59CC" w:rsidRDefault="00F37633" w:rsidP="00CD59CC">
            <w:pPr>
              <w:rPr>
                <w:rFonts w:ascii="Arial" w:hAnsi="Arial" w:cs="Arial"/>
              </w:rPr>
            </w:pPr>
            <w:r w:rsidRPr="00CD59CC">
              <w:rPr>
                <w:rFonts w:ascii="Arial" w:hAnsi="Arial" w:cs="Arial"/>
              </w:rPr>
              <w:t>15/09/1966</w:t>
            </w:r>
          </w:p>
        </w:tc>
        <w:tc>
          <w:tcPr>
            <w:tcW w:w="2017" w:type="dxa"/>
          </w:tcPr>
          <w:p w14:paraId="4B362B1D" w14:textId="77777777" w:rsidR="00F37633" w:rsidRPr="00CD59CC" w:rsidRDefault="00F37633" w:rsidP="00CD59CC">
            <w:pPr>
              <w:rPr>
                <w:rFonts w:ascii="Arial" w:hAnsi="Arial" w:cs="Arial"/>
              </w:rPr>
            </w:pPr>
            <w:r w:rsidRPr="00CD59CC">
              <w:rPr>
                <w:rFonts w:ascii="Arial" w:hAnsi="Arial" w:cs="Arial"/>
              </w:rPr>
              <w:t>04/05/1967</w:t>
            </w:r>
          </w:p>
        </w:tc>
        <w:tc>
          <w:tcPr>
            <w:tcW w:w="2785" w:type="dxa"/>
          </w:tcPr>
          <w:p w14:paraId="7820D737" w14:textId="77777777" w:rsidR="00F37633" w:rsidRPr="00CD59CC" w:rsidRDefault="00F37633" w:rsidP="00CD59CC">
            <w:pPr>
              <w:snapToGrid w:val="0"/>
              <w:rPr>
                <w:rFonts w:ascii="Arial" w:hAnsi="Arial" w:cs="Arial"/>
              </w:rPr>
            </w:pPr>
            <w:r w:rsidRPr="00CD59CC">
              <w:rPr>
                <w:rFonts w:ascii="Arial" w:hAnsi="Arial" w:cs="Arial"/>
              </w:rPr>
              <w:t>No</w:t>
            </w:r>
          </w:p>
        </w:tc>
        <w:tc>
          <w:tcPr>
            <w:tcW w:w="1817" w:type="dxa"/>
          </w:tcPr>
          <w:p w14:paraId="1EED5776" w14:textId="77777777" w:rsidR="00F37633" w:rsidRPr="00CD59CC" w:rsidRDefault="00F37633" w:rsidP="00CD59CC">
            <w:pPr>
              <w:snapToGrid w:val="0"/>
              <w:rPr>
                <w:rFonts w:ascii="Arial" w:hAnsi="Arial" w:cs="Arial"/>
              </w:rPr>
            </w:pPr>
            <w:r w:rsidRPr="00CD59CC">
              <w:rPr>
                <w:rFonts w:ascii="Arial" w:hAnsi="Arial" w:cs="Arial"/>
              </w:rPr>
              <w:t>Yes</w:t>
            </w:r>
          </w:p>
        </w:tc>
        <w:tc>
          <w:tcPr>
            <w:tcW w:w="2258" w:type="dxa"/>
          </w:tcPr>
          <w:p w14:paraId="124114B9" w14:textId="77777777" w:rsidR="00F37633" w:rsidRPr="00CD59CC" w:rsidRDefault="00F37633" w:rsidP="00CD59CC">
            <w:pPr>
              <w:snapToGrid w:val="0"/>
              <w:rPr>
                <w:rFonts w:ascii="Arial" w:hAnsi="Arial" w:cs="Arial"/>
              </w:rPr>
            </w:pPr>
            <w:r w:rsidRPr="00CD59CC">
              <w:rPr>
                <w:rFonts w:ascii="Arial" w:hAnsi="Arial" w:cs="Arial"/>
              </w:rPr>
              <w:t>Theoretically yes, practically with some difficulties</w:t>
            </w:r>
          </w:p>
        </w:tc>
      </w:tr>
      <w:tr w:rsidR="00F37633" w:rsidRPr="00CD59CC" w14:paraId="2EC8B9E6" w14:textId="77777777" w:rsidTr="00E34CF1">
        <w:trPr>
          <w:trHeight w:val="701"/>
        </w:trPr>
        <w:tc>
          <w:tcPr>
            <w:tcW w:w="2174" w:type="dxa"/>
          </w:tcPr>
          <w:p w14:paraId="485E7CDB" w14:textId="77777777" w:rsidR="00F37633" w:rsidRPr="00CD59CC" w:rsidRDefault="00F37633" w:rsidP="00CD59CC">
            <w:pPr>
              <w:rPr>
                <w:rFonts w:ascii="Arial" w:hAnsi="Arial" w:cs="Arial"/>
              </w:rPr>
            </w:pPr>
            <w:r w:rsidRPr="00CD59CC">
              <w:rPr>
                <w:rFonts w:ascii="Arial" w:hAnsi="Arial" w:cs="Arial"/>
              </w:rPr>
              <w:t>Convention on the Elimination of Discrimination Against Women</w:t>
            </w:r>
          </w:p>
        </w:tc>
        <w:tc>
          <w:tcPr>
            <w:tcW w:w="2017" w:type="dxa"/>
          </w:tcPr>
          <w:p w14:paraId="6BE8AD94" w14:textId="77777777" w:rsidR="00F37633" w:rsidRPr="00CD59CC" w:rsidRDefault="00F37633" w:rsidP="00CD59CC">
            <w:pPr>
              <w:rPr>
                <w:rFonts w:ascii="Arial" w:hAnsi="Arial" w:cs="Arial"/>
              </w:rPr>
            </w:pPr>
            <w:r w:rsidRPr="00CD59CC">
              <w:rPr>
                <w:rFonts w:ascii="Arial" w:hAnsi="Arial" w:cs="Arial"/>
              </w:rPr>
              <w:t xml:space="preserve">06 /06/1980 </w:t>
            </w:r>
          </w:p>
        </w:tc>
        <w:tc>
          <w:tcPr>
            <w:tcW w:w="2017" w:type="dxa"/>
          </w:tcPr>
          <w:p w14:paraId="585806AB" w14:textId="77777777" w:rsidR="00F37633" w:rsidRPr="00CD59CC" w:rsidRDefault="00F37633" w:rsidP="00CD59CC">
            <w:pPr>
              <w:rPr>
                <w:rFonts w:ascii="Arial" w:hAnsi="Arial" w:cs="Arial"/>
              </w:rPr>
            </w:pPr>
            <w:r w:rsidRPr="00CD59CC">
              <w:rPr>
                <w:rFonts w:ascii="Arial" w:hAnsi="Arial" w:cs="Arial"/>
              </w:rPr>
              <w:t>22/12/1980</w:t>
            </w:r>
          </w:p>
        </w:tc>
        <w:tc>
          <w:tcPr>
            <w:tcW w:w="2785" w:type="dxa"/>
          </w:tcPr>
          <w:p w14:paraId="4404AA5C" w14:textId="77777777" w:rsidR="00F37633" w:rsidRPr="00CD59CC" w:rsidRDefault="00F37633" w:rsidP="00CD59CC">
            <w:pPr>
              <w:snapToGrid w:val="0"/>
              <w:rPr>
                <w:rFonts w:ascii="Arial" w:hAnsi="Arial" w:cs="Arial"/>
              </w:rPr>
            </w:pPr>
            <w:r w:rsidRPr="00CD59CC">
              <w:rPr>
                <w:rFonts w:ascii="Arial" w:hAnsi="Arial" w:cs="Arial"/>
              </w:rPr>
              <w:t>No</w:t>
            </w:r>
          </w:p>
        </w:tc>
        <w:tc>
          <w:tcPr>
            <w:tcW w:w="1817" w:type="dxa"/>
          </w:tcPr>
          <w:p w14:paraId="020855E8" w14:textId="77777777" w:rsidR="00F37633" w:rsidRPr="00CD59CC" w:rsidRDefault="00F37633" w:rsidP="00CD59CC">
            <w:pPr>
              <w:snapToGrid w:val="0"/>
              <w:rPr>
                <w:rFonts w:ascii="Arial" w:hAnsi="Arial" w:cs="Arial"/>
              </w:rPr>
            </w:pPr>
            <w:r w:rsidRPr="00CD59CC">
              <w:rPr>
                <w:rFonts w:ascii="Arial" w:hAnsi="Arial" w:cs="Arial"/>
              </w:rPr>
              <w:t>Yes</w:t>
            </w:r>
          </w:p>
        </w:tc>
        <w:tc>
          <w:tcPr>
            <w:tcW w:w="2258" w:type="dxa"/>
          </w:tcPr>
          <w:p w14:paraId="14D44787" w14:textId="77777777" w:rsidR="00F37633" w:rsidRPr="00CD59CC" w:rsidRDefault="00F37633" w:rsidP="00CD59CC">
            <w:pPr>
              <w:snapToGrid w:val="0"/>
              <w:rPr>
                <w:rFonts w:ascii="Arial" w:hAnsi="Arial" w:cs="Arial"/>
              </w:rPr>
            </w:pPr>
            <w:r w:rsidRPr="00CD59CC">
              <w:rPr>
                <w:rFonts w:ascii="Arial" w:hAnsi="Arial" w:cs="Arial"/>
              </w:rPr>
              <w:t>Theoretically yes, practically with some difficulties</w:t>
            </w:r>
          </w:p>
        </w:tc>
      </w:tr>
      <w:tr w:rsidR="00F37633" w:rsidRPr="00CD59CC" w14:paraId="4258405A" w14:textId="77777777" w:rsidTr="00E34CF1">
        <w:trPr>
          <w:trHeight w:val="702"/>
        </w:trPr>
        <w:tc>
          <w:tcPr>
            <w:tcW w:w="2174" w:type="dxa"/>
          </w:tcPr>
          <w:p w14:paraId="65906B58" w14:textId="77777777" w:rsidR="00F37633" w:rsidRPr="00CD59CC" w:rsidRDefault="00F37633" w:rsidP="00CD59CC">
            <w:pPr>
              <w:rPr>
                <w:rFonts w:ascii="Arial" w:hAnsi="Arial" w:cs="Arial"/>
              </w:rPr>
            </w:pPr>
            <w:r w:rsidRPr="00CD59CC">
              <w:rPr>
                <w:rFonts w:ascii="Arial" w:hAnsi="Arial" w:cs="Arial"/>
              </w:rPr>
              <w:t>ILO Convention No. 111 on Discrimination</w:t>
            </w:r>
          </w:p>
        </w:tc>
        <w:tc>
          <w:tcPr>
            <w:tcW w:w="2017" w:type="dxa"/>
          </w:tcPr>
          <w:p w14:paraId="7072F10C" w14:textId="77777777" w:rsidR="00F37633" w:rsidRPr="00CD59CC" w:rsidRDefault="00F37633" w:rsidP="00CD59CC">
            <w:pPr>
              <w:rPr>
                <w:rFonts w:ascii="Arial" w:hAnsi="Arial" w:cs="Arial"/>
              </w:rPr>
            </w:pPr>
            <w:r w:rsidRPr="00CD59CC">
              <w:rPr>
                <w:rFonts w:ascii="Arial" w:hAnsi="Arial" w:cs="Arial"/>
              </w:rPr>
              <w:t>not indicated on ILO website</w:t>
            </w:r>
          </w:p>
        </w:tc>
        <w:tc>
          <w:tcPr>
            <w:tcW w:w="2017" w:type="dxa"/>
          </w:tcPr>
          <w:p w14:paraId="049650A6" w14:textId="77777777" w:rsidR="00F37633" w:rsidRPr="00CD59CC" w:rsidRDefault="00F37633" w:rsidP="00CD59CC">
            <w:pPr>
              <w:rPr>
                <w:rFonts w:ascii="Arial" w:hAnsi="Arial" w:cs="Arial"/>
              </w:rPr>
            </w:pPr>
            <w:r w:rsidRPr="00CD59CC">
              <w:rPr>
                <w:rFonts w:ascii="Arial" w:hAnsi="Arial" w:cs="Arial"/>
              </w:rPr>
              <w:t>20/06/1961</w:t>
            </w:r>
          </w:p>
        </w:tc>
        <w:tc>
          <w:tcPr>
            <w:tcW w:w="2785" w:type="dxa"/>
          </w:tcPr>
          <w:p w14:paraId="15A0AA61" w14:textId="77777777" w:rsidR="00F37633" w:rsidRPr="00CD59CC" w:rsidRDefault="00F37633" w:rsidP="00CD59CC">
            <w:pPr>
              <w:snapToGrid w:val="0"/>
              <w:rPr>
                <w:rFonts w:ascii="Arial" w:hAnsi="Arial" w:cs="Arial"/>
              </w:rPr>
            </w:pPr>
            <w:r w:rsidRPr="00CD59CC">
              <w:rPr>
                <w:rFonts w:ascii="Arial" w:hAnsi="Arial" w:cs="Arial"/>
              </w:rPr>
              <w:t>No</w:t>
            </w:r>
          </w:p>
        </w:tc>
        <w:tc>
          <w:tcPr>
            <w:tcW w:w="1817" w:type="dxa"/>
          </w:tcPr>
          <w:p w14:paraId="4FB4F5F2" w14:textId="77777777" w:rsidR="00F37633" w:rsidRPr="00CD59CC" w:rsidRDefault="00F37633" w:rsidP="00CD59CC">
            <w:pPr>
              <w:snapToGrid w:val="0"/>
              <w:rPr>
                <w:rFonts w:ascii="Arial" w:hAnsi="Arial" w:cs="Arial"/>
              </w:rPr>
            </w:pPr>
            <w:r w:rsidRPr="00CD59CC">
              <w:rPr>
                <w:rFonts w:ascii="Arial" w:hAnsi="Arial" w:cs="Arial"/>
              </w:rPr>
              <w:t>N/A</w:t>
            </w:r>
          </w:p>
        </w:tc>
        <w:tc>
          <w:tcPr>
            <w:tcW w:w="2258" w:type="dxa"/>
          </w:tcPr>
          <w:p w14:paraId="6C4C3348" w14:textId="77777777" w:rsidR="00F37633" w:rsidRPr="00CD59CC" w:rsidRDefault="00F37633" w:rsidP="00CD59CC">
            <w:pPr>
              <w:snapToGrid w:val="0"/>
              <w:rPr>
                <w:rFonts w:ascii="Arial" w:hAnsi="Arial" w:cs="Arial"/>
              </w:rPr>
            </w:pPr>
            <w:r w:rsidRPr="00CD59CC">
              <w:rPr>
                <w:rFonts w:ascii="Arial" w:hAnsi="Arial" w:cs="Arial"/>
              </w:rPr>
              <w:t>Theoretically yes, practically with some difficulties</w:t>
            </w:r>
          </w:p>
        </w:tc>
      </w:tr>
      <w:tr w:rsidR="00F37633" w:rsidRPr="00CD59CC" w14:paraId="6766C847" w14:textId="77777777" w:rsidTr="00E34CF1">
        <w:trPr>
          <w:trHeight w:val="702"/>
        </w:trPr>
        <w:tc>
          <w:tcPr>
            <w:tcW w:w="2174" w:type="dxa"/>
          </w:tcPr>
          <w:p w14:paraId="4EA98573" w14:textId="77777777" w:rsidR="00F37633" w:rsidRPr="00CD59CC" w:rsidRDefault="00F37633" w:rsidP="00CD59CC">
            <w:pPr>
              <w:rPr>
                <w:rFonts w:ascii="Arial" w:hAnsi="Arial" w:cs="Arial"/>
              </w:rPr>
            </w:pPr>
            <w:r w:rsidRPr="00CD59CC">
              <w:rPr>
                <w:rFonts w:ascii="Arial" w:hAnsi="Arial" w:cs="Arial"/>
              </w:rPr>
              <w:lastRenderedPageBreak/>
              <w:t>Convention on the Rights of the Child</w:t>
            </w:r>
          </w:p>
        </w:tc>
        <w:tc>
          <w:tcPr>
            <w:tcW w:w="2017" w:type="dxa"/>
          </w:tcPr>
          <w:p w14:paraId="587174ED" w14:textId="77777777" w:rsidR="00F37633" w:rsidRPr="00CD59CC" w:rsidRDefault="00F37633" w:rsidP="00CD59CC">
            <w:pPr>
              <w:rPr>
                <w:rFonts w:ascii="Arial" w:hAnsi="Arial" w:cs="Arial"/>
              </w:rPr>
            </w:pPr>
            <w:r w:rsidRPr="00CD59CC">
              <w:rPr>
                <w:rFonts w:ascii="Arial" w:hAnsi="Arial" w:cs="Arial"/>
              </w:rPr>
              <w:t>14/03/1990</w:t>
            </w:r>
          </w:p>
        </w:tc>
        <w:tc>
          <w:tcPr>
            <w:tcW w:w="2017" w:type="dxa"/>
          </w:tcPr>
          <w:p w14:paraId="139F945F" w14:textId="77777777" w:rsidR="00F37633" w:rsidRPr="00CD59CC" w:rsidRDefault="00F37633" w:rsidP="00CD59CC">
            <w:pPr>
              <w:rPr>
                <w:rFonts w:ascii="Arial" w:hAnsi="Arial" w:cs="Arial"/>
              </w:rPr>
            </w:pPr>
            <w:r w:rsidRPr="00CD59CC">
              <w:rPr>
                <w:rFonts w:ascii="Arial" w:hAnsi="Arial" w:cs="Arial"/>
              </w:rPr>
              <w:t>07/10/1991</w:t>
            </w:r>
          </w:p>
        </w:tc>
        <w:tc>
          <w:tcPr>
            <w:tcW w:w="2785" w:type="dxa"/>
          </w:tcPr>
          <w:p w14:paraId="6C0BC60B" w14:textId="77777777" w:rsidR="00F37633" w:rsidRPr="00CD59CC" w:rsidRDefault="00F37633" w:rsidP="00CD59CC">
            <w:pPr>
              <w:snapToGrid w:val="0"/>
              <w:rPr>
                <w:rFonts w:ascii="Arial" w:hAnsi="Arial" w:cs="Arial"/>
              </w:rPr>
            </w:pPr>
            <w:r w:rsidRPr="00CD59CC">
              <w:rPr>
                <w:rFonts w:ascii="Arial" w:hAnsi="Arial" w:cs="Arial"/>
              </w:rPr>
              <w:t>No</w:t>
            </w:r>
          </w:p>
        </w:tc>
        <w:tc>
          <w:tcPr>
            <w:tcW w:w="1817" w:type="dxa"/>
          </w:tcPr>
          <w:p w14:paraId="1AB9836B" w14:textId="77777777" w:rsidR="00F37633" w:rsidRPr="00CD59CC" w:rsidRDefault="00F37633" w:rsidP="00CD59CC">
            <w:pPr>
              <w:snapToGrid w:val="0"/>
              <w:rPr>
                <w:rFonts w:ascii="Arial" w:hAnsi="Arial" w:cs="Arial"/>
              </w:rPr>
            </w:pPr>
            <w:r w:rsidRPr="00CD59CC">
              <w:rPr>
                <w:rFonts w:ascii="Arial" w:hAnsi="Arial" w:cs="Arial"/>
              </w:rPr>
              <w:t>N/A</w:t>
            </w:r>
          </w:p>
        </w:tc>
        <w:tc>
          <w:tcPr>
            <w:tcW w:w="2258" w:type="dxa"/>
          </w:tcPr>
          <w:p w14:paraId="59F3573E" w14:textId="77777777" w:rsidR="00F37633" w:rsidRPr="00CD59CC" w:rsidRDefault="00F37633" w:rsidP="00CD59CC">
            <w:pPr>
              <w:snapToGrid w:val="0"/>
              <w:rPr>
                <w:rFonts w:ascii="Arial" w:hAnsi="Arial" w:cs="Arial"/>
              </w:rPr>
            </w:pPr>
            <w:r w:rsidRPr="00CD59CC">
              <w:rPr>
                <w:rFonts w:ascii="Arial" w:hAnsi="Arial" w:cs="Arial"/>
              </w:rPr>
              <w:t>Theoretically yes, practically with some difficulties</w:t>
            </w:r>
          </w:p>
        </w:tc>
      </w:tr>
      <w:tr w:rsidR="00F37633" w:rsidRPr="00CD59CC" w14:paraId="0234F4E3" w14:textId="77777777" w:rsidTr="00E34CF1">
        <w:trPr>
          <w:trHeight w:val="702"/>
        </w:trPr>
        <w:tc>
          <w:tcPr>
            <w:tcW w:w="2174" w:type="dxa"/>
          </w:tcPr>
          <w:p w14:paraId="6D1E3511" w14:textId="77777777" w:rsidR="00F37633" w:rsidRPr="00CD59CC" w:rsidRDefault="00F37633" w:rsidP="00CD59CC">
            <w:pPr>
              <w:rPr>
                <w:rFonts w:ascii="Arial" w:hAnsi="Arial" w:cs="Arial"/>
              </w:rPr>
            </w:pPr>
            <w:r w:rsidRPr="00CD59CC">
              <w:rPr>
                <w:rFonts w:ascii="Arial" w:hAnsi="Arial" w:cs="Arial"/>
              </w:rPr>
              <w:t xml:space="preserve">Convention on the Rights of Persons with Disabilities </w:t>
            </w:r>
          </w:p>
        </w:tc>
        <w:tc>
          <w:tcPr>
            <w:tcW w:w="2017" w:type="dxa"/>
          </w:tcPr>
          <w:p w14:paraId="3AE6AEE2" w14:textId="77777777" w:rsidR="00F37633" w:rsidRPr="00CD59CC" w:rsidRDefault="00F37633" w:rsidP="00CD59CC">
            <w:pPr>
              <w:rPr>
                <w:rFonts w:ascii="Arial" w:hAnsi="Arial" w:cs="Arial"/>
              </w:rPr>
            </w:pPr>
            <w:r w:rsidRPr="00CD59CC">
              <w:rPr>
                <w:rFonts w:ascii="Arial" w:hAnsi="Arial" w:cs="Arial"/>
              </w:rPr>
              <w:t xml:space="preserve">30/03/2007 </w:t>
            </w:r>
          </w:p>
        </w:tc>
        <w:tc>
          <w:tcPr>
            <w:tcW w:w="2017" w:type="dxa"/>
          </w:tcPr>
          <w:p w14:paraId="3ECFE88C" w14:textId="77777777" w:rsidR="00F37633" w:rsidRPr="00CD59CC" w:rsidRDefault="00F37633" w:rsidP="00CD59CC">
            <w:pPr>
              <w:rPr>
                <w:rFonts w:ascii="Arial" w:hAnsi="Arial" w:cs="Arial"/>
              </w:rPr>
            </w:pPr>
            <w:r w:rsidRPr="00CD59CC">
              <w:rPr>
                <w:rFonts w:ascii="Arial" w:hAnsi="Arial" w:cs="Arial"/>
              </w:rPr>
              <w:t>20/06/2007</w:t>
            </w:r>
          </w:p>
        </w:tc>
        <w:tc>
          <w:tcPr>
            <w:tcW w:w="2785" w:type="dxa"/>
          </w:tcPr>
          <w:p w14:paraId="49191189" w14:textId="77777777" w:rsidR="00F37633" w:rsidRPr="00CD59CC" w:rsidRDefault="00F37633" w:rsidP="00CD59CC">
            <w:pPr>
              <w:snapToGrid w:val="0"/>
              <w:rPr>
                <w:rFonts w:ascii="Arial" w:hAnsi="Arial" w:cs="Arial"/>
              </w:rPr>
            </w:pPr>
            <w:r w:rsidRPr="00CD59CC">
              <w:rPr>
                <w:rFonts w:ascii="Arial" w:hAnsi="Arial" w:cs="Arial"/>
              </w:rPr>
              <w:t>No</w:t>
            </w:r>
          </w:p>
        </w:tc>
        <w:tc>
          <w:tcPr>
            <w:tcW w:w="1817" w:type="dxa"/>
          </w:tcPr>
          <w:p w14:paraId="61C283F8" w14:textId="77777777" w:rsidR="00F37633" w:rsidRPr="00CD59CC" w:rsidRDefault="00F37633" w:rsidP="00CD59CC">
            <w:pPr>
              <w:snapToGrid w:val="0"/>
              <w:rPr>
                <w:rFonts w:ascii="Arial" w:hAnsi="Arial" w:cs="Arial"/>
              </w:rPr>
            </w:pPr>
            <w:r w:rsidRPr="00CD59CC">
              <w:rPr>
                <w:rFonts w:ascii="Arial" w:hAnsi="Arial" w:cs="Arial"/>
              </w:rPr>
              <w:t>Yes</w:t>
            </w:r>
          </w:p>
        </w:tc>
        <w:tc>
          <w:tcPr>
            <w:tcW w:w="2258" w:type="dxa"/>
          </w:tcPr>
          <w:p w14:paraId="7E4D9AB4" w14:textId="77777777" w:rsidR="00F37633" w:rsidRPr="00CD59CC" w:rsidRDefault="00F37633" w:rsidP="00CD59CC">
            <w:pPr>
              <w:snapToGrid w:val="0"/>
              <w:rPr>
                <w:rFonts w:ascii="Arial" w:hAnsi="Arial" w:cs="Arial"/>
              </w:rPr>
            </w:pPr>
            <w:r w:rsidRPr="00CD59CC">
              <w:rPr>
                <w:rFonts w:ascii="Arial" w:hAnsi="Arial" w:cs="Arial"/>
              </w:rPr>
              <w:t>Theoretically yes, practically with some difficulties</w:t>
            </w:r>
          </w:p>
        </w:tc>
      </w:tr>
    </w:tbl>
    <w:p w14:paraId="44A367EE" w14:textId="77777777" w:rsidR="002B5BCD" w:rsidRPr="00CD59CC" w:rsidRDefault="002B5BCD" w:rsidP="00CD59CC">
      <w:pPr>
        <w:rPr>
          <w:rFonts w:ascii="Arial" w:hAnsi="Arial" w:cs="Arial"/>
        </w:rPr>
      </w:pPr>
    </w:p>
    <w:p w14:paraId="4BD6E988" w14:textId="77777777" w:rsidR="00CF4A10" w:rsidRPr="00CD59CC" w:rsidRDefault="00CF4A10" w:rsidP="00CD59CC">
      <w:pPr>
        <w:rPr>
          <w:rFonts w:ascii="Arial" w:hAnsi="Arial" w:cs="Arial"/>
        </w:rPr>
      </w:pPr>
    </w:p>
    <w:p w14:paraId="0EC9EF9C" w14:textId="77777777" w:rsidR="007714FA" w:rsidRPr="00E34CF1" w:rsidRDefault="007714FA" w:rsidP="00BB4E9F">
      <w:pPr>
        <w:sectPr w:rsidR="007714FA" w:rsidRPr="00E34CF1" w:rsidSect="00BB4E9F">
          <w:headerReference w:type="default" r:id="rId32"/>
          <w:footerReference w:type="default" r:id="rId33"/>
          <w:headerReference w:type="first" r:id="rId34"/>
          <w:footerReference w:type="first" r:id="rId35"/>
          <w:pgSz w:w="16838" w:h="11906" w:orient="landscape" w:code="9"/>
          <w:pgMar w:top="1985" w:right="1418" w:bottom="1985" w:left="1985" w:header="709" w:footer="709" w:gutter="0"/>
          <w:cols w:space="708"/>
          <w:titlePg/>
          <w:docGrid w:linePitch="360"/>
        </w:sectPr>
      </w:pPr>
    </w:p>
    <w:p w14:paraId="73F9E80B" w14:textId="0B69472B" w:rsidR="002B5BCD" w:rsidRPr="00CD59CC" w:rsidRDefault="000C1EA0" w:rsidP="00CD59CC">
      <w:pPr>
        <w:pStyle w:val="Heading1"/>
        <w:numPr>
          <w:ilvl w:val="0"/>
          <w:numId w:val="0"/>
        </w:numPr>
        <w:ind w:left="432" w:hanging="432"/>
        <w:rPr>
          <w:rFonts w:cs="Arial"/>
        </w:rPr>
      </w:pPr>
      <w:bookmarkStart w:id="375" w:name="_Toc392758761"/>
      <w:bookmarkStart w:id="376" w:name="_Toc366846371"/>
      <w:r w:rsidRPr="00CD59CC">
        <w:rPr>
          <w:rFonts w:cs="Arial"/>
        </w:rPr>
        <w:lastRenderedPageBreak/>
        <w:t xml:space="preserve">ANNEX 3: </w:t>
      </w:r>
      <w:r w:rsidR="002B5BCD" w:rsidRPr="00CD59CC">
        <w:rPr>
          <w:rFonts w:cs="Arial"/>
        </w:rPr>
        <w:t>PREVIOUS CASE-LAW</w:t>
      </w:r>
      <w:bookmarkEnd w:id="375"/>
      <w:bookmarkEnd w:id="376"/>
      <w:r w:rsidR="00DD3B68" w:rsidRPr="00CD59CC">
        <w:rPr>
          <w:rFonts w:cs="Arial"/>
        </w:rPr>
        <w:t xml:space="preserve"> </w:t>
      </w:r>
    </w:p>
    <w:p w14:paraId="5547ECEC" w14:textId="77777777" w:rsidR="002B5BCD" w:rsidRPr="00CD59CC" w:rsidRDefault="002B5BCD" w:rsidP="00CD59CC">
      <w:pPr>
        <w:rPr>
          <w:rFonts w:ascii="Arial" w:hAnsi="Arial" w:cs="Arial"/>
        </w:rPr>
      </w:pPr>
    </w:p>
    <w:p w14:paraId="43590E8C" w14:textId="77777777" w:rsidR="002B5BCD" w:rsidRPr="00CD59CC" w:rsidRDefault="002B5BCD" w:rsidP="00CD59CC">
      <w:pPr>
        <w:rPr>
          <w:rFonts w:ascii="Arial" w:hAnsi="Arial" w:cs="Arial"/>
          <w:b/>
          <w:iCs/>
        </w:rPr>
      </w:pPr>
      <w:r w:rsidRPr="00CD59CC">
        <w:rPr>
          <w:rFonts w:ascii="Arial" w:hAnsi="Arial" w:cs="Arial"/>
          <w:b/>
          <w:iCs/>
        </w:rPr>
        <w:t>Name of the court</w:t>
      </w:r>
    </w:p>
    <w:p w14:paraId="4A8FF184" w14:textId="77777777" w:rsidR="002B5BCD" w:rsidRPr="00CD59CC" w:rsidRDefault="002B5BCD" w:rsidP="00CD59CC">
      <w:pPr>
        <w:pStyle w:val="BodyTextIndent"/>
        <w:rPr>
          <w:rFonts w:ascii="Arial" w:hAnsi="Arial" w:cs="Arial"/>
          <w:b/>
          <w:szCs w:val="24"/>
        </w:rPr>
      </w:pPr>
      <w:r w:rsidRPr="00CD59CC">
        <w:rPr>
          <w:rFonts w:ascii="Arial" w:hAnsi="Arial" w:cs="Arial"/>
          <w:b/>
          <w:szCs w:val="24"/>
        </w:rPr>
        <w:t xml:space="preserve">Date of decision </w:t>
      </w:r>
    </w:p>
    <w:p w14:paraId="0F313AEF" w14:textId="77777777" w:rsidR="002B5BCD" w:rsidRPr="00CD59CC" w:rsidRDefault="002B5BCD" w:rsidP="00CD59CC">
      <w:pPr>
        <w:rPr>
          <w:rFonts w:ascii="Arial" w:hAnsi="Arial" w:cs="Arial"/>
          <w:b/>
          <w:iCs/>
        </w:rPr>
      </w:pPr>
      <w:r w:rsidRPr="00CD59CC">
        <w:rPr>
          <w:rFonts w:ascii="Arial" w:hAnsi="Arial" w:cs="Arial"/>
          <w:b/>
          <w:iCs/>
        </w:rPr>
        <w:t>Name of the parties</w:t>
      </w:r>
    </w:p>
    <w:p w14:paraId="6EAE9E77" w14:textId="77777777" w:rsidR="002B5BCD" w:rsidRPr="00CD59CC" w:rsidRDefault="002B5BCD" w:rsidP="00CD59CC">
      <w:pPr>
        <w:pStyle w:val="BodyTextIndent"/>
        <w:ind w:left="0" w:firstLine="0"/>
        <w:rPr>
          <w:rFonts w:ascii="Arial" w:hAnsi="Arial" w:cs="Arial"/>
          <w:szCs w:val="24"/>
        </w:rPr>
      </w:pPr>
      <w:r w:rsidRPr="00CD59CC">
        <w:rPr>
          <w:rFonts w:ascii="Arial" w:hAnsi="Arial" w:cs="Arial"/>
          <w:b/>
          <w:szCs w:val="24"/>
        </w:rPr>
        <w:t>Reference number</w:t>
      </w:r>
      <w:r w:rsidRPr="00CD59CC">
        <w:rPr>
          <w:rFonts w:ascii="Arial" w:hAnsi="Arial" w:cs="Arial"/>
          <w:szCs w:val="24"/>
        </w:rPr>
        <w:t xml:space="preserve"> (or place where the case is reported). </w:t>
      </w:r>
    </w:p>
    <w:p w14:paraId="3C022B8C" w14:textId="77777777" w:rsidR="002B5BCD" w:rsidRPr="00CD59CC" w:rsidRDefault="002B5BCD" w:rsidP="00CD59CC">
      <w:pPr>
        <w:pStyle w:val="BodyTextIndent"/>
        <w:ind w:left="0" w:firstLine="0"/>
        <w:rPr>
          <w:rFonts w:ascii="Arial" w:hAnsi="Arial" w:cs="Arial"/>
          <w:szCs w:val="24"/>
        </w:rPr>
      </w:pPr>
      <w:r w:rsidRPr="00CD59CC">
        <w:rPr>
          <w:rFonts w:ascii="Arial" w:hAnsi="Arial" w:cs="Arial"/>
          <w:b/>
          <w:szCs w:val="24"/>
        </w:rPr>
        <w:t>Address of the webpage</w:t>
      </w:r>
      <w:r w:rsidRPr="00CD59CC">
        <w:rPr>
          <w:rFonts w:ascii="Arial" w:hAnsi="Arial" w:cs="Arial"/>
          <w:szCs w:val="24"/>
        </w:rPr>
        <w:t xml:space="preserve"> (if the decision is available electronically)</w:t>
      </w:r>
    </w:p>
    <w:p w14:paraId="3A4D7E7D" w14:textId="77777777" w:rsidR="002B5BCD" w:rsidRPr="00CD59CC" w:rsidRDefault="002B5BCD" w:rsidP="00CD59CC">
      <w:pPr>
        <w:rPr>
          <w:rFonts w:ascii="Arial" w:hAnsi="Arial" w:cs="Arial"/>
          <w:iCs/>
        </w:rPr>
      </w:pPr>
      <w:r w:rsidRPr="00CD59CC">
        <w:rPr>
          <w:rFonts w:ascii="Arial" w:hAnsi="Arial" w:cs="Arial"/>
          <w:b/>
          <w:iCs/>
        </w:rPr>
        <w:t>Brief summary</w:t>
      </w:r>
      <w:r w:rsidRPr="00CD59CC">
        <w:rPr>
          <w:rFonts w:ascii="Arial" w:hAnsi="Arial" w:cs="Arial"/>
          <w:iCs/>
        </w:rPr>
        <w:t xml:space="preserve"> of the key points of </w:t>
      </w:r>
      <w:r w:rsidRPr="00CD59CC">
        <w:rPr>
          <w:rFonts w:ascii="Arial" w:hAnsi="Arial" w:cs="Arial"/>
          <w:iCs/>
          <w:u w:val="single"/>
        </w:rPr>
        <w:t>law</w:t>
      </w:r>
      <w:r w:rsidRPr="00CD59CC">
        <w:rPr>
          <w:rFonts w:ascii="Arial" w:hAnsi="Arial" w:cs="Arial"/>
          <w:iCs/>
        </w:rPr>
        <w:t xml:space="preserve"> and of the actual facts (no more than several sentences).</w:t>
      </w:r>
    </w:p>
    <w:p w14:paraId="49FA5913" w14:textId="77777777" w:rsidR="002B5BCD" w:rsidRPr="00CD59CC" w:rsidRDefault="002B5BCD" w:rsidP="00CD59CC">
      <w:pPr>
        <w:rPr>
          <w:rFonts w:ascii="Arial" w:hAnsi="Arial" w:cs="Arial"/>
        </w:rPr>
      </w:pPr>
    </w:p>
    <w:p w14:paraId="24381BAD" w14:textId="77777777" w:rsidR="00FE7587" w:rsidRPr="00CD59CC" w:rsidRDefault="00FE7587" w:rsidP="00CD59CC">
      <w:pPr>
        <w:pStyle w:val="BodyText2"/>
        <w:jc w:val="left"/>
        <w:rPr>
          <w:rFonts w:ascii="Arial" w:hAnsi="Arial" w:cs="Arial"/>
          <w:u w:val="single"/>
        </w:rPr>
      </w:pPr>
      <w:r w:rsidRPr="00CD59CC">
        <w:rPr>
          <w:rFonts w:ascii="Arial" w:hAnsi="Arial" w:cs="Arial"/>
          <w:u w:val="single"/>
        </w:rPr>
        <w:t>Court decisions</w:t>
      </w:r>
    </w:p>
    <w:p w14:paraId="178A734C" w14:textId="77777777" w:rsidR="00FE7587" w:rsidRPr="00CD59CC" w:rsidRDefault="00FE7587" w:rsidP="00CD59CC">
      <w:pPr>
        <w:pStyle w:val="BodyText2"/>
        <w:jc w:val="left"/>
        <w:rPr>
          <w:rFonts w:ascii="Arial" w:hAnsi="Arial" w:cs="Arial"/>
        </w:rPr>
      </w:pPr>
    </w:p>
    <w:p w14:paraId="3575EDF9" w14:textId="77777777" w:rsidR="00FE7587" w:rsidRPr="00CD59CC" w:rsidRDefault="00FE7587" w:rsidP="00CD59CC">
      <w:pPr>
        <w:pStyle w:val="Szvegtrzs22"/>
        <w:tabs>
          <w:tab w:val="left" w:pos="567"/>
        </w:tabs>
        <w:jc w:val="left"/>
        <w:rPr>
          <w:rFonts w:ascii="Arial" w:hAnsi="Arial" w:cs="Arial"/>
          <w:u w:val="single"/>
        </w:rPr>
      </w:pPr>
      <w:r w:rsidRPr="00CD59CC">
        <w:rPr>
          <w:rFonts w:ascii="Arial" w:hAnsi="Arial" w:cs="Arial"/>
          <w:b/>
        </w:rPr>
        <w:t>Name of the court:</w:t>
      </w:r>
      <w:r w:rsidRPr="00CD59CC">
        <w:rPr>
          <w:rFonts w:ascii="Arial" w:hAnsi="Arial" w:cs="Arial"/>
        </w:rPr>
        <w:t xml:space="preserve"> Supreme Court</w:t>
      </w:r>
    </w:p>
    <w:p w14:paraId="08372840"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8 June 2005 </w:t>
      </w:r>
    </w:p>
    <w:p w14:paraId="470FDAF8"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Háttér Társaság a Melegekért Egyesület v. Károli Gáspár Református Egyetem</w:t>
      </w:r>
    </w:p>
    <w:p w14:paraId="46502D0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Reference number:</w:t>
      </w:r>
      <w:r w:rsidRPr="00CD59CC">
        <w:rPr>
          <w:rFonts w:ascii="Arial" w:hAnsi="Arial" w:cs="Arial"/>
        </w:rPr>
        <w:t xml:space="preserve"> BH 2006. 14</w:t>
      </w:r>
    </w:p>
    <w:p w14:paraId="0CDBD2E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Brief summary: </w:t>
      </w:r>
      <w:r w:rsidRPr="00CD59CC">
        <w:rPr>
          <w:rFonts w:ascii="Arial" w:hAnsi="Arial" w:cs="Arial"/>
        </w:rPr>
        <w:t xml:space="preserve">In the case the Metropolitan City Court took stance in the conflict of a denominational university's freedom of expression (religious belief) and discrimination on the ground of sexual orientation, granting priority to the former. The decision (delivered in the first case ever emerging under the ETA) also touched upon some very important issues, such as the legal standing of NGOs in actio popularis claims, and whether sexual orientation may be regarded as an essential personal characteristic (which is a precondition for launching such a claim). For further description and analysis, please refer to Section 4.2. </w:t>
      </w:r>
    </w:p>
    <w:p w14:paraId="68361F89" w14:textId="77777777" w:rsidR="00FE7587" w:rsidRPr="00CD59CC" w:rsidRDefault="00FE7587" w:rsidP="00CD59CC">
      <w:pPr>
        <w:pStyle w:val="Szvegtrzs22"/>
        <w:tabs>
          <w:tab w:val="left" w:pos="567"/>
        </w:tabs>
        <w:jc w:val="left"/>
        <w:rPr>
          <w:rFonts w:ascii="Arial" w:hAnsi="Arial" w:cs="Arial"/>
        </w:rPr>
      </w:pPr>
    </w:p>
    <w:p w14:paraId="7F64B92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court:</w:t>
      </w:r>
      <w:r w:rsidRPr="00CD59CC">
        <w:rPr>
          <w:rFonts w:ascii="Arial" w:hAnsi="Arial" w:cs="Arial"/>
        </w:rPr>
        <w:t xml:space="preserve"> Debrecen Regional Appeals Court</w:t>
      </w:r>
    </w:p>
    <w:p w14:paraId="561F62E8"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9 June 2006</w:t>
      </w:r>
    </w:p>
    <w:p w14:paraId="0D224D67"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Esélyt a Hátrányos Helyzetû Gyerekeknek Alapítvány v. Miskolc Megyei Jogú Város Önkormányzata</w:t>
      </w:r>
    </w:p>
    <w:p w14:paraId="78002A3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Reference number:</w:t>
      </w:r>
      <w:r w:rsidRPr="00CD59CC">
        <w:rPr>
          <w:rFonts w:ascii="Arial" w:hAnsi="Arial" w:cs="Arial"/>
        </w:rPr>
        <w:t xml:space="preserve"> ÍH 2006. 115 [Ítélőtáblai Határozatok (Appeals Court Decisions), September 2006]</w:t>
      </w:r>
    </w:p>
    <w:p w14:paraId="395FF92A"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Address of webpage:</w:t>
      </w:r>
      <w:r w:rsidRPr="00CD59CC">
        <w:rPr>
          <w:rFonts w:ascii="Arial" w:hAnsi="Arial" w:cs="Arial"/>
        </w:rPr>
        <w:t xml:space="preserve"> </w:t>
      </w:r>
      <w:hyperlink r:id="rId36" w:history="1">
        <w:r w:rsidRPr="00CD59CC">
          <w:rPr>
            <w:rStyle w:val="Hyperlink"/>
            <w:rFonts w:ascii="Arial" w:hAnsi="Arial" w:cs="Arial"/>
          </w:rPr>
          <w:t>http</w:t>
        </w:r>
        <w:bookmarkStart w:id="377" w:name="_Hlt391636833"/>
        <w:r w:rsidRPr="00CD59CC">
          <w:rPr>
            <w:rStyle w:val="Hyperlink"/>
            <w:rFonts w:ascii="Arial" w:hAnsi="Arial" w:cs="Arial"/>
          </w:rPr>
          <w:t>:</w:t>
        </w:r>
        <w:bookmarkEnd w:id="377"/>
        <w:r w:rsidRPr="00CD59CC">
          <w:rPr>
            <w:rStyle w:val="Hyperlink"/>
            <w:rFonts w:ascii="Arial" w:hAnsi="Arial" w:cs="Arial"/>
          </w:rPr>
          <w:t>//www.cfcf.hu/?ne</w:t>
        </w:r>
        <w:bookmarkStart w:id="378" w:name="_Hlt366846158"/>
        <w:r w:rsidRPr="00CD59CC">
          <w:rPr>
            <w:rStyle w:val="Hyperlink"/>
            <w:rFonts w:ascii="Arial" w:hAnsi="Arial" w:cs="Arial"/>
          </w:rPr>
          <w:t>l</w:t>
        </w:r>
        <w:bookmarkEnd w:id="378"/>
        <w:r w:rsidRPr="00CD59CC">
          <w:rPr>
            <w:rStyle w:val="Hyperlink"/>
            <w:rFonts w:ascii="Arial" w:hAnsi="Arial" w:cs="Arial"/>
          </w:rPr>
          <w:t>ement_id=3&amp;article_id=31</w:t>
        </w:r>
      </w:hyperlink>
      <w:r w:rsidRPr="00CD59CC">
        <w:rPr>
          <w:rFonts w:ascii="Arial" w:hAnsi="Arial" w:cs="Arial"/>
          <w:iCs w:val="0"/>
          <w:lang w:eastAsia="en-US"/>
        </w:rPr>
        <w:t xml:space="preserve"> </w:t>
      </w:r>
    </w:p>
    <w:p w14:paraId="31E685DE"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Brief summary: </w:t>
      </w:r>
      <w:r w:rsidRPr="00CD59CC">
        <w:rPr>
          <w:rFonts w:ascii="Arial" w:hAnsi="Arial" w:cs="Arial"/>
        </w:rPr>
        <w:t xml:space="preserve">In April 2004 the local council of Miskolc (Northern Hungary) integrated seven schools without simultaneously re-drawing the catchment areas, and therefore maintaining the segregation of Roma children. </w:t>
      </w:r>
    </w:p>
    <w:p w14:paraId="73AA65AB" w14:textId="77777777" w:rsidR="00FE7587" w:rsidRPr="00CD59CC" w:rsidRDefault="00FE7587" w:rsidP="00CD59CC">
      <w:pPr>
        <w:pStyle w:val="Szvegtrzs22"/>
        <w:tabs>
          <w:tab w:val="left" w:pos="567"/>
        </w:tabs>
        <w:jc w:val="left"/>
        <w:rPr>
          <w:rFonts w:ascii="Arial" w:hAnsi="Arial" w:cs="Arial"/>
        </w:rPr>
      </w:pPr>
    </w:p>
    <w:p w14:paraId="6B0B5105"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In June 2005 the Chance for Children Foundation (CFCF) brought an actio popularis claim against the local council, alleging that the council was indirectly responsible for segregation of Roma children in primary education. In November 2005, the Borsod-Abaúj-Zemplén County Court acknowledged the fact that Roma children were over-represented in some of the merged schools, but rejected the claim. </w:t>
      </w:r>
    </w:p>
    <w:p w14:paraId="2C302F6B" w14:textId="77777777" w:rsidR="00FE7587" w:rsidRPr="00CD59CC" w:rsidRDefault="00FE7587" w:rsidP="00CD59CC">
      <w:pPr>
        <w:pStyle w:val="Szvegtrzs22"/>
        <w:tabs>
          <w:tab w:val="left" w:pos="567"/>
        </w:tabs>
        <w:jc w:val="left"/>
        <w:rPr>
          <w:rFonts w:ascii="Arial" w:hAnsi="Arial" w:cs="Arial"/>
        </w:rPr>
      </w:pPr>
    </w:p>
    <w:p w14:paraId="4F97E66D"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On appeal the Debrecen Appeals Court partially modified the first instance judgment. It found that as a result of the decision to integrate the schools without simultaneously re-drawing the catchment areas Miskolc maintained the segregation </w:t>
      </w:r>
      <w:r w:rsidRPr="00CD59CC">
        <w:rPr>
          <w:rFonts w:ascii="Arial" w:hAnsi="Arial" w:cs="Arial"/>
        </w:rPr>
        <w:lastRenderedPageBreak/>
        <w:t>of Roma children, violating their right to equal treatment based on ethnic origin. The court ordered Miskolc to publicise its finding through the Hungarian Press Agency. However, the court stated that it could not grant the order requested by CFCF to integrate Roma children into mainstream classes along the relevant provisions and ministerial guidance, as this would be beyond the civil court's scope of authority to instruct a public authority in detail on how such integration should be achieved.</w:t>
      </w:r>
    </w:p>
    <w:p w14:paraId="116FB32D" w14:textId="77777777" w:rsidR="00FE7587" w:rsidRPr="00CD59CC" w:rsidRDefault="00FE7587" w:rsidP="00CD59CC">
      <w:pPr>
        <w:pStyle w:val="Szvegtrzs22"/>
        <w:tabs>
          <w:tab w:val="left" w:pos="567"/>
        </w:tabs>
        <w:jc w:val="left"/>
        <w:rPr>
          <w:rFonts w:ascii="Arial" w:hAnsi="Arial" w:cs="Arial"/>
          <w:b/>
        </w:rPr>
      </w:pPr>
    </w:p>
    <w:p w14:paraId="05397515"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court:</w:t>
      </w:r>
      <w:r w:rsidRPr="00CD59CC">
        <w:rPr>
          <w:rFonts w:ascii="Arial" w:hAnsi="Arial" w:cs="Arial"/>
        </w:rPr>
        <w:t xml:space="preserve"> Supreme Court</w:t>
      </w:r>
    </w:p>
    <w:p w14:paraId="084D4ECB"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Date of the decision: </w:t>
      </w:r>
      <w:r w:rsidRPr="00CD59CC">
        <w:rPr>
          <w:rFonts w:ascii="Arial" w:hAnsi="Arial" w:cs="Arial"/>
        </w:rPr>
        <w:t>19 November 2008</w:t>
      </w:r>
    </w:p>
    <w:p w14:paraId="18D4830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Esélyt a Hátrányos Helyzetû Gyerekeknek Alapítvány v. Hajdúhadház Város Önkormányzata, Bocskai István Két Tanítási nyelvű Általános Iskola, Dr. Földi János Általános és Művészeti Iskola</w:t>
      </w:r>
    </w:p>
    <w:p w14:paraId="2BB2C596"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Pfv.IV.20.936/2008/4.</w:t>
      </w:r>
    </w:p>
    <w:p w14:paraId="0452C78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Brief summary: </w:t>
      </w:r>
      <w:r w:rsidRPr="00CD59CC">
        <w:rPr>
          <w:rFonts w:ascii="Arial" w:hAnsi="Arial" w:cs="Arial"/>
        </w:rPr>
        <w:t xml:space="preserve">The Chance for Children Foundation (CFCF) launched an actio popularis claim against the local council of Hajdúhadház and the two elementary schools providing education in the city claiming segregation and direct discrimination. Both schools have three buildings: one central and two supplementary buildings. </w:t>
      </w:r>
    </w:p>
    <w:p w14:paraId="76BCB305" w14:textId="77777777" w:rsidR="00FE7587" w:rsidRPr="00CD59CC" w:rsidRDefault="00FE7587" w:rsidP="00CD59CC">
      <w:pPr>
        <w:pStyle w:val="Szvegtrzs22"/>
        <w:tabs>
          <w:tab w:val="left" w:pos="567"/>
        </w:tabs>
        <w:jc w:val="left"/>
        <w:rPr>
          <w:rFonts w:ascii="Arial" w:hAnsi="Arial" w:cs="Arial"/>
        </w:rPr>
      </w:pPr>
    </w:p>
    <w:p w14:paraId="402CBD21"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In the case of both schools the proportion of Roma pupils educated in the central building is relatively low (28 and 22 percent respectively), whereas in the supplementary buildings the proportion of Roma pupils is very high (86 and 96 percent in one school, and 100 percent in the other). In the case of both schools, the central building is much more well-equipped than the supplementary buildings, where no gymnasium, library, computers or specialised class rooms can be found. </w:t>
      </w:r>
    </w:p>
    <w:p w14:paraId="0F606DA3" w14:textId="77777777" w:rsidR="00FE7587" w:rsidRPr="00CD59CC" w:rsidRDefault="00FE7587" w:rsidP="00CD59CC">
      <w:pPr>
        <w:pStyle w:val="Szvegtrzs22"/>
        <w:tabs>
          <w:tab w:val="left" w:pos="567"/>
        </w:tabs>
        <w:jc w:val="left"/>
        <w:rPr>
          <w:rFonts w:ascii="Arial" w:hAnsi="Arial" w:cs="Arial"/>
        </w:rPr>
      </w:pPr>
    </w:p>
    <w:p w14:paraId="015AC71B"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In its decision no. 6.P.20.341/2006/50. delivered in May 2007, the Hajdú-Bihar County Court established that the situation described above amounts to segregation by the schools and the local council maintaining them. Furthermore, the Roma pupils have also been directly discriminated against due to the fact that in their segregated buildings the physical conditions are significantly worse than in the central ones. The Court ordered the defendants to terminate the violation by the beginning of the 2007/2008 academic year, and the local council was obliged to publish a letter of apology. </w:t>
      </w:r>
    </w:p>
    <w:p w14:paraId="129515D4" w14:textId="77777777" w:rsidR="00FE7587" w:rsidRPr="00CD59CC" w:rsidRDefault="00FE7587" w:rsidP="00CD59CC">
      <w:pPr>
        <w:pStyle w:val="Szvegtrzs22"/>
        <w:tabs>
          <w:tab w:val="left" w:pos="567"/>
        </w:tabs>
        <w:jc w:val="left"/>
        <w:rPr>
          <w:rFonts w:ascii="Arial" w:hAnsi="Arial" w:cs="Arial"/>
        </w:rPr>
      </w:pPr>
    </w:p>
    <w:p w14:paraId="7C731046"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In its decision Pf.I.20.631/2007/8 delivered in December 2007 upon appeal, the Debrecen Regional Appeals Court partly overturned the decision, and concluded – in contradiction to its former jurisprudence – that for segregation to be established, it would have needed to be proven that the defendants have taken active measures to segregate the Roma pupils and had the intention to unlawfully separate them from their non-Roma peers. </w:t>
      </w:r>
    </w:p>
    <w:p w14:paraId="654443DA" w14:textId="77777777" w:rsidR="00FE7587" w:rsidRPr="00CD59CC" w:rsidRDefault="00FE7587" w:rsidP="00CD59CC">
      <w:pPr>
        <w:pStyle w:val="Szvegtrzs22"/>
        <w:tabs>
          <w:tab w:val="left" w:pos="567"/>
        </w:tabs>
        <w:jc w:val="left"/>
        <w:rPr>
          <w:rFonts w:ascii="Arial" w:hAnsi="Arial" w:cs="Arial"/>
        </w:rPr>
      </w:pPr>
    </w:p>
    <w:p w14:paraId="06EBF284" w14:textId="60DBF8B6" w:rsidR="00FE7587" w:rsidRPr="00CD59CC" w:rsidRDefault="00FE7587" w:rsidP="00CD59CC">
      <w:pPr>
        <w:pStyle w:val="Szvegtrzs22"/>
        <w:tabs>
          <w:tab w:val="left" w:pos="567"/>
        </w:tabs>
        <w:jc w:val="left"/>
        <w:rPr>
          <w:rFonts w:ascii="Arial" w:hAnsi="Arial" w:cs="Arial"/>
        </w:rPr>
      </w:pPr>
      <w:r w:rsidRPr="00CD59CC">
        <w:rPr>
          <w:rFonts w:ascii="Arial" w:hAnsi="Arial" w:cs="Arial"/>
        </w:rPr>
        <w:t>In the absence of such evidence the court established no segregation. On the other hand, it stated that defendants directly discriminated Roma pupils, because the buildings where the majority of Roma pupils study and where almost exclusively Roma pupils study are much worse equipped than central school buildings where majority pupils study.</w:t>
      </w:r>
      <w:r w:rsidR="007B7640" w:rsidRPr="00CD59CC">
        <w:rPr>
          <w:rFonts w:ascii="Arial" w:hAnsi="Arial" w:cs="Arial"/>
        </w:rPr>
        <w:t xml:space="preserve"> </w:t>
      </w:r>
    </w:p>
    <w:p w14:paraId="24C37025" w14:textId="77777777" w:rsidR="00FE7587" w:rsidRDefault="00FE7587" w:rsidP="00CD59CC">
      <w:pPr>
        <w:pStyle w:val="Szvegtrzs22"/>
        <w:tabs>
          <w:tab w:val="left" w:pos="567"/>
        </w:tabs>
        <w:jc w:val="left"/>
        <w:rPr>
          <w:rFonts w:ascii="Arial" w:hAnsi="Arial" w:cs="Arial"/>
        </w:rPr>
      </w:pPr>
      <w:r w:rsidRPr="00CD59CC">
        <w:rPr>
          <w:rFonts w:ascii="Arial" w:hAnsi="Arial" w:cs="Arial"/>
        </w:rPr>
        <w:lastRenderedPageBreak/>
        <w:t xml:space="preserve">Upon the plaintiff’s request for review, in its decision Pfv.IV.20.936/2008, the Supreme Court partly overturned the second instance court’s decision. It pointed out that – in line with the first instance court’s decision – neither the lack of space in the central buildings, the long-standing traditions, nor the launching of the so-called “Gipsy minority education” justified the segregation of the Roma pupils. Neither did the parents request separate placement of their children. </w:t>
      </w:r>
    </w:p>
    <w:p w14:paraId="78B20C23" w14:textId="77777777" w:rsidR="00BA1E10" w:rsidRPr="00CD59CC" w:rsidRDefault="00BA1E10" w:rsidP="00CD59CC">
      <w:pPr>
        <w:pStyle w:val="Szvegtrzs22"/>
        <w:tabs>
          <w:tab w:val="left" w:pos="567"/>
        </w:tabs>
        <w:jc w:val="left"/>
        <w:rPr>
          <w:rFonts w:ascii="Arial" w:hAnsi="Arial" w:cs="Arial"/>
        </w:rPr>
      </w:pPr>
    </w:p>
    <w:p w14:paraId="61888C9B"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Thus, the Supreme Court established that – besides the direct discrimination recognised by the court of second instance – segregation has also taken place and ordered the local council to publicise the decision through the Hungarian News Agency. </w:t>
      </w:r>
    </w:p>
    <w:p w14:paraId="4E86F3BE" w14:textId="77777777" w:rsidR="00FE7587" w:rsidRPr="00CD59CC" w:rsidRDefault="00FE7587" w:rsidP="00CD59CC">
      <w:pPr>
        <w:pStyle w:val="Szvegtrzs22"/>
        <w:tabs>
          <w:tab w:val="left" w:pos="567"/>
        </w:tabs>
        <w:jc w:val="left"/>
        <w:rPr>
          <w:rFonts w:ascii="Arial" w:hAnsi="Arial" w:cs="Arial"/>
        </w:rPr>
      </w:pPr>
    </w:p>
    <w:p w14:paraId="2A41AD45"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court:</w:t>
      </w:r>
      <w:r w:rsidRPr="00CD59CC">
        <w:rPr>
          <w:rFonts w:ascii="Arial" w:hAnsi="Arial" w:cs="Arial"/>
        </w:rPr>
        <w:t xml:space="preserve"> Supreme Court</w:t>
      </w:r>
    </w:p>
    <w:p w14:paraId="34A10376"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Date of the decision: </w:t>
      </w:r>
      <w:r w:rsidRPr="00CD59CC">
        <w:rPr>
          <w:rFonts w:ascii="Arial" w:hAnsi="Arial" w:cs="Arial"/>
        </w:rPr>
        <w:t>2 June 2010</w:t>
      </w:r>
    </w:p>
    <w:p w14:paraId="200EA61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A, B, C, D, E. v. the Local Council of Miskolc</w:t>
      </w:r>
    </w:p>
    <w:p w14:paraId="6D06096E" w14:textId="71E151E1"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00FC01BB">
        <w:rPr>
          <w:rFonts w:ascii="Arial" w:hAnsi="Arial" w:cs="Arial"/>
        </w:rPr>
        <w:t>Pfv.IV.20.510/2010/3.</w:t>
      </w:r>
    </w:p>
    <w:p w14:paraId="1BA4BBB2" w14:textId="6C0F16ED" w:rsidR="00FE7587" w:rsidRPr="00CD59CC" w:rsidRDefault="00FE7587" w:rsidP="00CD59CC">
      <w:pPr>
        <w:pStyle w:val="Szvegtrzs22"/>
        <w:tabs>
          <w:tab w:val="left" w:pos="567"/>
        </w:tabs>
        <w:jc w:val="left"/>
        <w:rPr>
          <w:rFonts w:ascii="Arial" w:hAnsi="Arial" w:cs="Arial"/>
          <w:b/>
        </w:rPr>
      </w:pPr>
      <w:r w:rsidRPr="00CD59CC">
        <w:rPr>
          <w:rFonts w:ascii="Arial" w:hAnsi="Arial" w:cs="Arial"/>
          <w:b/>
        </w:rPr>
        <w:t>Address of webpage:</w:t>
      </w:r>
      <w:r w:rsidRPr="00BB4E9F">
        <w:rPr>
          <w:rStyle w:val="Hyperlink"/>
          <w:rFonts w:ascii="Arial" w:hAnsi="Arial"/>
        </w:rPr>
        <w:t xml:space="preserve"> </w:t>
      </w:r>
      <w:hyperlink r:id="rId37" w:history="1">
        <w:r w:rsidRPr="00CD59CC">
          <w:rPr>
            <w:rStyle w:val="Hyperlink"/>
            <w:rFonts w:ascii="Arial" w:hAnsi="Arial" w:cs="Arial"/>
          </w:rPr>
          <w:t>w</w:t>
        </w:r>
        <w:bookmarkStart w:id="379" w:name="_Hlt391636850"/>
        <w:r w:rsidRPr="00CD59CC">
          <w:rPr>
            <w:rStyle w:val="Hyperlink"/>
            <w:rFonts w:ascii="Arial" w:hAnsi="Arial" w:cs="Arial"/>
          </w:rPr>
          <w:t>w</w:t>
        </w:r>
        <w:bookmarkEnd w:id="379"/>
        <w:r w:rsidRPr="00CD59CC">
          <w:rPr>
            <w:rStyle w:val="Hyperlink"/>
            <w:rFonts w:ascii="Arial" w:hAnsi="Arial" w:cs="Arial"/>
          </w:rPr>
          <w:t>w.bi</w:t>
        </w:r>
        <w:bookmarkStart w:id="380" w:name="_Hlt366846164"/>
        <w:r w:rsidRPr="00CD59CC">
          <w:rPr>
            <w:rStyle w:val="Hyperlink"/>
            <w:rFonts w:ascii="Arial" w:hAnsi="Arial" w:cs="Arial"/>
          </w:rPr>
          <w:t>r</w:t>
        </w:r>
        <w:bookmarkEnd w:id="380"/>
        <w:r w:rsidRPr="00CD59CC">
          <w:rPr>
            <w:rStyle w:val="Hyperlink"/>
            <w:rFonts w:ascii="Arial" w:hAnsi="Arial" w:cs="Arial"/>
          </w:rPr>
          <w:t>o</w:t>
        </w:r>
        <w:bookmarkStart w:id="381" w:name="_Hlt366755341"/>
        <w:r w:rsidRPr="00CD59CC">
          <w:rPr>
            <w:rStyle w:val="Hyperlink"/>
            <w:rFonts w:ascii="Arial" w:hAnsi="Arial" w:cs="Arial"/>
          </w:rPr>
          <w:t>s</w:t>
        </w:r>
        <w:bookmarkEnd w:id="381"/>
        <w:r w:rsidRPr="00CD59CC">
          <w:rPr>
            <w:rStyle w:val="Hyperlink"/>
            <w:rFonts w:ascii="Arial" w:hAnsi="Arial" w:cs="Arial"/>
          </w:rPr>
          <w:t>ag.hu</w:t>
        </w:r>
      </w:hyperlink>
      <w:r w:rsidR="007B7640" w:rsidRPr="00BB4E9F">
        <w:rPr>
          <w:rFonts w:ascii="Arial" w:hAnsi="Arial"/>
        </w:rPr>
        <w:t xml:space="preserve"> </w:t>
      </w:r>
    </w:p>
    <w:p w14:paraId="19C16386"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Brief summary: </w:t>
      </w:r>
      <w:r w:rsidRPr="00CD59CC">
        <w:rPr>
          <w:rFonts w:ascii="Arial" w:hAnsi="Arial" w:cs="Arial"/>
        </w:rPr>
        <w:t>In 2006, based on the action popularis claim of the Chance for Children Foundation (CFCF), the Debrecen Appeals Court delivered a final and binding judgement in which it established that the local council of Miskolc (Northern Hungary) violated the requirement of equal treatment when it integrated seven schools without simultaneously re-drawing the catchment areas, and therefore maintaining the segregation of Roma children. Although the Court obliged the local council to put an end to the violation, the situation has not changed. Therefore, in 2007, the CFCF assisted five Roma pupils attending the segregated schools in launching a lawsuit. The plaintiffs claimed that the segregation violated their inherent personal rights protected by the Civil Code, and demanded non-pecuniary damages for the violation. Both the first and the second instance courts rejected the claim, on the basis that while the segregation could be established, the plaintiffs could not prove that they had suffered moral damages as a result. Therefore, the plaintiffs requested a review of the case from the Supreme Court.</w:t>
      </w:r>
    </w:p>
    <w:p w14:paraId="2B13C693" w14:textId="77777777" w:rsidR="00FE7587" w:rsidRPr="00CD59CC" w:rsidRDefault="00FE7587" w:rsidP="00CD59CC">
      <w:pPr>
        <w:pStyle w:val="Szvegtrzs22"/>
        <w:tabs>
          <w:tab w:val="left" w:pos="567"/>
        </w:tabs>
        <w:jc w:val="left"/>
        <w:rPr>
          <w:rFonts w:ascii="Arial" w:hAnsi="Arial" w:cs="Arial"/>
        </w:rPr>
      </w:pPr>
    </w:p>
    <w:p w14:paraId="30B5C667" w14:textId="19EF7B69" w:rsidR="00FE7587" w:rsidRPr="00CD59CC" w:rsidRDefault="00FE7587" w:rsidP="00CD59CC">
      <w:pPr>
        <w:pStyle w:val="Szvegtrzs22"/>
        <w:tabs>
          <w:tab w:val="left" w:pos="567"/>
        </w:tabs>
        <w:jc w:val="left"/>
        <w:rPr>
          <w:rFonts w:ascii="Arial" w:hAnsi="Arial" w:cs="Arial"/>
        </w:rPr>
      </w:pPr>
      <w:r w:rsidRPr="00CD59CC">
        <w:rPr>
          <w:rFonts w:ascii="Arial" w:hAnsi="Arial" w:cs="Arial"/>
        </w:rPr>
        <w:t>Changing the judgements of the lower courts, in its decision of 2 June 2010, the Supreme Court granted non-pecuniary damages in the amount of HUF 100,000 (EUR 330) for each plaintiff. The Supreme Court stated that irrespective of whether and how the plaintiffs can continue their studies after primary school, the fact of segregation in itself substantiates non-pecuniary damages.</w:t>
      </w:r>
      <w:r w:rsidR="007B7640" w:rsidRPr="00CD59CC">
        <w:rPr>
          <w:rFonts w:ascii="Arial" w:hAnsi="Arial" w:cs="Arial"/>
        </w:rPr>
        <w:t xml:space="preserve"> </w:t>
      </w:r>
    </w:p>
    <w:p w14:paraId="48891E75" w14:textId="77777777" w:rsidR="00FE7587" w:rsidRPr="00CD59CC" w:rsidRDefault="00FE7587" w:rsidP="00CD59CC">
      <w:pPr>
        <w:pStyle w:val="Szvegtrzs22"/>
        <w:tabs>
          <w:tab w:val="left" w:pos="567"/>
        </w:tabs>
        <w:jc w:val="left"/>
        <w:rPr>
          <w:rFonts w:ascii="Arial" w:hAnsi="Arial" w:cs="Arial"/>
        </w:rPr>
      </w:pPr>
    </w:p>
    <w:p w14:paraId="4F623B7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court:</w:t>
      </w:r>
      <w:r w:rsidRPr="00CD59CC">
        <w:rPr>
          <w:rFonts w:ascii="Arial" w:hAnsi="Arial" w:cs="Arial"/>
        </w:rPr>
        <w:t xml:space="preserve"> Supreme Court</w:t>
      </w:r>
    </w:p>
    <w:p w14:paraId="068FBFE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Date of the decision: </w:t>
      </w:r>
      <w:r w:rsidRPr="00CD59CC">
        <w:rPr>
          <w:rFonts w:ascii="Arial" w:hAnsi="Arial" w:cs="Arial"/>
        </w:rPr>
        <w:t>24 November 2010</w:t>
      </w:r>
    </w:p>
    <w:p w14:paraId="53C12CC6"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Chance for Children Foundation v. City of Kaposvár</w:t>
      </w:r>
    </w:p>
    <w:p w14:paraId="34DF8272"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Pfv.IV.21.568/2010/5.</w:t>
      </w:r>
    </w:p>
    <w:p w14:paraId="7D9C1312"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Brief summary:</w:t>
      </w:r>
      <w:r w:rsidRPr="00CD59CC">
        <w:rPr>
          <w:rFonts w:ascii="Arial" w:hAnsi="Arial" w:cs="Arial"/>
        </w:rPr>
        <w:t xml:space="preserve"> The Chance for Children Foundation launched an </w:t>
      </w:r>
      <w:r w:rsidRPr="00CD59CC">
        <w:rPr>
          <w:rFonts w:ascii="Arial" w:hAnsi="Arial" w:cs="Arial"/>
          <w:i/>
        </w:rPr>
        <w:t>actio popularis</w:t>
      </w:r>
      <w:r w:rsidRPr="00CD59CC">
        <w:rPr>
          <w:rFonts w:ascii="Arial" w:hAnsi="Arial" w:cs="Arial"/>
        </w:rPr>
        <w:t xml:space="preserve"> lawsuit against the city of Kaposvár claiming that the city as the maintainer of local schools had defined the school catchment areas in a way that the Roma neighbourhood fell within one catchment area resulting in segregation between the </w:t>
      </w:r>
      <w:r w:rsidRPr="00CD59CC">
        <w:rPr>
          <w:rFonts w:ascii="Arial" w:hAnsi="Arial" w:cs="Arial"/>
        </w:rPr>
        <w:lastRenderedPageBreak/>
        <w:t xml:space="preserve">educational institutions, because the vast majority of Roma pupils have to go to the school serving that particular area. Furthermore, the Foundation claimed that the education provided in that school is substandard, and not even comparable to the services offered by other schools of the city. </w:t>
      </w:r>
    </w:p>
    <w:p w14:paraId="67949A90" w14:textId="77777777" w:rsidR="00FE7587" w:rsidRPr="00CD59CC" w:rsidRDefault="00FE7587" w:rsidP="00CD59CC">
      <w:pPr>
        <w:pStyle w:val="Szvegtrzs22"/>
        <w:tabs>
          <w:tab w:val="left" w:pos="567"/>
        </w:tabs>
        <w:jc w:val="left"/>
        <w:rPr>
          <w:rFonts w:ascii="Arial" w:hAnsi="Arial" w:cs="Arial"/>
        </w:rPr>
      </w:pPr>
    </w:p>
    <w:p w14:paraId="4AFA7E6C"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The Foundation requested the court to order the defendant to stop the violation and to put an end to the unlawful situation through closing the school and distributing the pupils among the other schools of the city.</w:t>
      </w:r>
    </w:p>
    <w:p w14:paraId="06D0D599" w14:textId="77777777" w:rsidR="00FE7587" w:rsidRPr="00CD59CC" w:rsidRDefault="00FE7587" w:rsidP="00CD59CC">
      <w:pPr>
        <w:pStyle w:val="Szvegtrzs22"/>
        <w:tabs>
          <w:tab w:val="left" w:pos="567"/>
        </w:tabs>
        <w:jc w:val="left"/>
        <w:rPr>
          <w:rFonts w:ascii="Arial" w:hAnsi="Arial" w:cs="Arial"/>
        </w:rPr>
      </w:pPr>
    </w:p>
    <w:p w14:paraId="149EF25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The first instance court held that the city had segregated the Roma pupils and – through providing them with substandard education – also discriminated them. It ordered the defendant to stop the violation but rejected the plaintiff’s request to order the city to close the school.</w:t>
      </w:r>
    </w:p>
    <w:p w14:paraId="30C32648" w14:textId="77777777" w:rsidR="00FE7587" w:rsidRPr="00CD59CC" w:rsidRDefault="00FE7587" w:rsidP="00CD59CC">
      <w:pPr>
        <w:pStyle w:val="Szvegtrzs22"/>
        <w:tabs>
          <w:tab w:val="left" w:pos="567"/>
        </w:tabs>
        <w:jc w:val="left"/>
        <w:rPr>
          <w:rFonts w:ascii="Arial" w:hAnsi="Arial" w:cs="Arial"/>
        </w:rPr>
      </w:pPr>
    </w:p>
    <w:p w14:paraId="49A0609D" w14:textId="1D3C8643" w:rsidR="00FE7587" w:rsidRPr="00CD59CC" w:rsidRDefault="00FE7587" w:rsidP="00CD59CC">
      <w:pPr>
        <w:pStyle w:val="Szvegtrzs22"/>
        <w:tabs>
          <w:tab w:val="left" w:pos="567"/>
        </w:tabs>
        <w:jc w:val="left"/>
        <w:rPr>
          <w:rFonts w:ascii="Arial" w:hAnsi="Arial" w:cs="Arial"/>
        </w:rPr>
      </w:pPr>
      <w:r w:rsidRPr="00CD59CC">
        <w:rPr>
          <w:rFonts w:ascii="Arial" w:hAnsi="Arial" w:cs="Arial"/>
        </w:rPr>
        <w:t>Upon appeal from both parties, the court of second instance partly modified the first instance decision. It found – in agreement with the first instance court – that by failing to take measures that could have offset the spontaneous segregation that had evolved as a result of segregation in housing, the city of Kaposvár had segregated the Roma pupils. On the other hand, it held that while results of the pupils had been worse in some respects than in other schools, this in</w:t>
      </w:r>
      <w:r w:rsidR="007B7640" w:rsidRPr="00CD59CC">
        <w:rPr>
          <w:rFonts w:ascii="Arial" w:hAnsi="Arial" w:cs="Arial"/>
        </w:rPr>
        <w:t xml:space="preserve"> </w:t>
      </w:r>
      <w:r w:rsidRPr="00CD59CC">
        <w:rPr>
          <w:rFonts w:ascii="Arial" w:hAnsi="Arial" w:cs="Arial"/>
        </w:rPr>
        <w:t>itself cannot serve as the basis for establishing that the Roma pupils had been discriminated as well.</w:t>
      </w:r>
      <w:r w:rsidR="007B7640" w:rsidRPr="00CD59CC">
        <w:rPr>
          <w:rFonts w:ascii="Arial" w:hAnsi="Arial" w:cs="Arial"/>
        </w:rPr>
        <w:t xml:space="preserve"> </w:t>
      </w:r>
      <w:r w:rsidRPr="00CD59CC">
        <w:rPr>
          <w:rFonts w:ascii="Arial" w:hAnsi="Arial" w:cs="Arial"/>
        </w:rPr>
        <w:t>The court of second instance held that the ordering of the termination of the violation was necessary, and – changing the first instance decision – also obliged the city to put an end to the unlawful situation, however without specifying how it should be done. I.e. the court did not oblige the city to close the school and distribute its pupils among other schools. The argument was that the segregation has developed in a public law context, and therefore, it cannot be handled within the framework of a civil lawsuit.</w:t>
      </w:r>
    </w:p>
    <w:p w14:paraId="28A73350" w14:textId="77777777" w:rsidR="00FE7587" w:rsidRPr="00CD59CC" w:rsidRDefault="00FE7587" w:rsidP="00CD59CC">
      <w:pPr>
        <w:pStyle w:val="Szvegtrzs22"/>
        <w:tabs>
          <w:tab w:val="left" w:pos="567"/>
        </w:tabs>
        <w:jc w:val="left"/>
        <w:rPr>
          <w:rFonts w:ascii="Arial" w:hAnsi="Arial" w:cs="Arial"/>
        </w:rPr>
      </w:pPr>
    </w:p>
    <w:p w14:paraId="31685A75" w14:textId="73E994D0" w:rsidR="00FE7587" w:rsidRPr="00CD59CC" w:rsidRDefault="00FE7587" w:rsidP="00CD59CC">
      <w:pPr>
        <w:pStyle w:val="Szvegtrzs22"/>
        <w:tabs>
          <w:tab w:val="left" w:pos="567"/>
        </w:tabs>
        <w:jc w:val="left"/>
        <w:rPr>
          <w:rFonts w:ascii="Arial" w:hAnsi="Arial" w:cs="Arial"/>
        </w:rPr>
      </w:pPr>
      <w:r w:rsidRPr="00CD59CC">
        <w:rPr>
          <w:rFonts w:ascii="Arial" w:hAnsi="Arial" w:cs="Arial"/>
        </w:rPr>
        <w:t>In its decision of November 2010, the Supreme Court partly changed the second instance decision. It shared the first and second instance courts’ view that the defendant violated the requirement of equal treatment by segregating the Roma pupils. It approved of the second instance court’s decision that direct or indirect discrimination in relation</w:t>
      </w:r>
      <w:r w:rsidR="007B7640" w:rsidRPr="00CD59CC">
        <w:rPr>
          <w:rFonts w:ascii="Arial" w:hAnsi="Arial" w:cs="Arial"/>
        </w:rPr>
        <w:t xml:space="preserve"> </w:t>
      </w:r>
      <w:r w:rsidRPr="00CD59CC">
        <w:rPr>
          <w:rFonts w:ascii="Arial" w:hAnsi="Arial" w:cs="Arial"/>
        </w:rPr>
        <w:t xml:space="preserve">to the quality of education may not be established, however, mainly on a procedural basis (because the plaintiff’s claim did not contain an </w:t>
      </w:r>
      <w:r w:rsidRPr="00CD59CC">
        <w:rPr>
          <w:rFonts w:ascii="Arial" w:hAnsi="Arial" w:cs="Arial"/>
          <w:i/>
        </w:rPr>
        <w:t xml:space="preserve">express </w:t>
      </w:r>
      <w:r w:rsidRPr="00CD59CC">
        <w:rPr>
          <w:rFonts w:ascii="Arial" w:hAnsi="Arial" w:cs="Arial"/>
        </w:rPr>
        <w:t>request for the court to establish the violation of the requirement of equal treatment in this respect).</w:t>
      </w:r>
      <w:r w:rsidR="007B7640" w:rsidRPr="00CD59CC">
        <w:rPr>
          <w:rFonts w:ascii="Arial" w:hAnsi="Arial" w:cs="Arial"/>
        </w:rPr>
        <w:t xml:space="preserve"> </w:t>
      </w:r>
      <w:r w:rsidRPr="00CD59CC">
        <w:rPr>
          <w:rFonts w:ascii="Arial" w:hAnsi="Arial" w:cs="Arial"/>
        </w:rPr>
        <w:t xml:space="preserve">The Supreme Court accepted that the defendant could be ordered to terminate the violation, but came to a different conclusion with regard to ending the unlawful situation. It held that – irrespective of the fact that educational relations belong to the sphere of public law – a court can in principle oblige a defendant to terminate an unlawful situation in a way that it prescribes concrete steps. This can only be done however, if the plaintiff puts forth a claim in which realistic and executable steps are defined. The Supreme Court held that the steps requested by the Foundation (the closing of the school and the distribution of the pupils among other schools) are not realistic and executable, so it rejected that part of the claim in which the Foundation requested the court to order the city to put an end to the unlawful situation. </w:t>
      </w:r>
    </w:p>
    <w:p w14:paraId="6FCBCB46"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lastRenderedPageBreak/>
        <w:t>Name of the court:</w:t>
      </w:r>
      <w:r w:rsidRPr="00CD59CC">
        <w:rPr>
          <w:rFonts w:ascii="Arial" w:hAnsi="Arial" w:cs="Arial"/>
        </w:rPr>
        <w:t xml:space="preserve"> Metropolitan Regional Appeals Court</w:t>
      </w:r>
    </w:p>
    <w:p w14:paraId="78421FC8"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Date of the decision: </w:t>
      </w:r>
      <w:r w:rsidRPr="00CD59CC">
        <w:rPr>
          <w:rFonts w:ascii="Arial" w:hAnsi="Arial" w:cs="Arial"/>
        </w:rPr>
        <w:t>7 December 2010</w:t>
      </w:r>
    </w:p>
    <w:p w14:paraId="1BCA3677"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Sz. Sz. v. Csemege-Match Zrt.</w:t>
      </w:r>
    </w:p>
    <w:p w14:paraId="379841FB"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2.Pf.21.104/2010/5.</w:t>
      </w:r>
    </w:p>
    <w:p w14:paraId="67281059" w14:textId="77777777" w:rsidR="00FE7587" w:rsidRPr="00CD59CC" w:rsidRDefault="00FE7587" w:rsidP="00CD59CC">
      <w:pPr>
        <w:pStyle w:val="Szvegtrzs22"/>
        <w:tabs>
          <w:tab w:val="left" w:pos="567"/>
        </w:tabs>
        <w:jc w:val="left"/>
        <w:rPr>
          <w:rStyle w:val="Hyperlink"/>
          <w:rFonts w:ascii="Arial" w:hAnsi="Arial" w:cs="Arial"/>
        </w:rPr>
      </w:pPr>
      <w:r w:rsidRPr="00CD59CC">
        <w:rPr>
          <w:rFonts w:ascii="Arial" w:hAnsi="Arial" w:cs="Arial"/>
          <w:b/>
        </w:rPr>
        <w:t xml:space="preserve">Address of webpage: </w:t>
      </w:r>
      <w:hyperlink r:id="rId38" w:history="1">
        <w:r w:rsidRPr="00CD59CC">
          <w:rPr>
            <w:rStyle w:val="Hyperlink"/>
            <w:rFonts w:ascii="Arial" w:hAnsi="Arial" w:cs="Arial"/>
          </w:rPr>
          <w:t>http://helsinki.hu/dokument</w:t>
        </w:r>
        <w:bookmarkStart w:id="382" w:name="_Hlt366755358"/>
        <w:r w:rsidRPr="00CD59CC">
          <w:rPr>
            <w:rStyle w:val="Hyperlink"/>
            <w:rFonts w:ascii="Arial" w:hAnsi="Arial" w:cs="Arial"/>
          </w:rPr>
          <w:t>u</w:t>
        </w:r>
        <w:bookmarkEnd w:id="382"/>
        <w:r w:rsidRPr="00CD59CC">
          <w:rPr>
            <w:rStyle w:val="Hyperlink"/>
            <w:rFonts w:ascii="Arial" w:hAnsi="Arial" w:cs="Arial"/>
          </w:rPr>
          <w:t>m/Fova</w:t>
        </w:r>
        <w:bookmarkStart w:id="383" w:name="_Hlt366846171"/>
        <w:r w:rsidRPr="00CD59CC">
          <w:rPr>
            <w:rStyle w:val="Hyperlink"/>
            <w:rFonts w:ascii="Arial" w:hAnsi="Arial" w:cs="Arial"/>
          </w:rPr>
          <w:t>r</w:t>
        </w:r>
        <w:bookmarkEnd w:id="383"/>
        <w:r w:rsidRPr="00CD59CC">
          <w:rPr>
            <w:rStyle w:val="Hyperlink"/>
            <w:rFonts w:ascii="Arial" w:hAnsi="Arial" w:cs="Arial"/>
          </w:rPr>
          <w:t>osi_Itelotabla_itelet_SzSz_20101207.pdf</w:t>
        </w:r>
      </w:hyperlink>
      <w:r w:rsidRPr="00CD59CC">
        <w:rPr>
          <w:rStyle w:val="Hyperlink"/>
          <w:rFonts w:ascii="Arial" w:hAnsi="Arial" w:cs="Arial"/>
        </w:rPr>
        <w:t xml:space="preserve"> </w:t>
      </w:r>
    </w:p>
    <w:p w14:paraId="07082231"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Brief summary:</w:t>
      </w:r>
      <w:r w:rsidRPr="00CD59CC">
        <w:rPr>
          <w:rFonts w:ascii="Arial" w:hAnsi="Arial" w:cs="Arial"/>
        </w:rPr>
        <w:t xml:space="preserve"> The visually impaired plaintiff wanted to enter a shop of one of the large supermarket chains of Hungary on 8 October 2009 with his guide-dog but the security guard told him that he had to leave the dog outside. The head cashier also confirmed that dogs may not be taken to the shop, consequently the plaintiff could not do the shopping himself. The plaintiff – represented by the Hungarian Helsinki Committee – requested the court to establish that this treatment amounted to the violation of his right to equal treatment. Furthermore, he asked the court – among others – to oblige the defendant to pay him non-pecuniary damages in the amount of HUF 500,000 (EUR 1,670). The defendant acknowledged that a violation had occurred, but contested that any non-pecuniary damage had occurred on the part of the plaintiff.</w:t>
      </w:r>
    </w:p>
    <w:p w14:paraId="5E146EF1" w14:textId="77777777" w:rsidR="00FE7587" w:rsidRPr="00CD59CC" w:rsidRDefault="00FE7587" w:rsidP="00CD59CC">
      <w:pPr>
        <w:pStyle w:val="Szvegtrzs22"/>
        <w:tabs>
          <w:tab w:val="left" w:pos="567"/>
        </w:tabs>
        <w:jc w:val="left"/>
        <w:rPr>
          <w:rFonts w:ascii="Arial" w:hAnsi="Arial" w:cs="Arial"/>
        </w:rPr>
      </w:pPr>
    </w:p>
    <w:p w14:paraId="50F0F5C8"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In its first instance decision of 18 March 2010 (no.: 40.P.26.486/2009/5), the Metropolitan Court, established that the plaintiff’s right to equal treatment had been violated, forbade the future violation, obliged the defendant to apologize in a private letter and granted non-pecuniary damages in the requested amount for the plaintiff. </w:t>
      </w:r>
    </w:p>
    <w:p w14:paraId="4711D884" w14:textId="77777777" w:rsidR="00FE7587" w:rsidRPr="00CD59CC" w:rsidRDefault="00FE7587" w:rsidP="00CD59CC">
      <w:pPr>
        <w:pStyle w:val="Szvegtrzs22"/>
        <w:tabs>
          <w:tab w:val="left" w:pos="567"/>
        </w:tabs>
        <w:jc w:val="left"/>
        <w:rPr>
          <w:rFonts w:ascii="Arial" w:hAnsi="Arial" w:cs="Arial"/>
        </w:rPr>
      </w:pPr>
    </w:p>
    <w:p w14:paraId="12AC1826"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The court articulated a number of important principles in the decision. It emphasized that denying a blind person the right to enter with his/her guide-dog, amounts to denying him/her access to services on the ground of disability. Furthermore, the court pointed out that the violation of the requirement of equal treatment (as a form of inherent personal rights violation) inevitably causes non-pecuniary damages, and evidence concerning the degree of the moral harm is only necessary if the compensation claimed by the plaintiff seems excessive (compared to the general perception and sense). </w:t>
      </w:r>
    </w:p>
    <w:p w14:paraId="6F271543" w14:textId="77777777" w:rsidR="00FE7587" w:rsidRPr="00CD59CC" w:rsidRDefault="00FE7587" w:rsidP="00CD59CC">
      <w:pPr>
        <w:pStyle w:val="Szvegtrzs22"/>
        <w:tabs>
          <w:tab w:val="left" w:pos="567"/>
        </w:tabs>
        <w:jc w:val="left"/>
        <w:rPr>
          <w:rFonts w:ascii="Arial" w:hAnsi="Arial" w:cs="Arial"/>
        </w:rPr>
      </w:pPr>
    </w:p>
    <w:p w14:paraId="496792AA"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The defendant appealed against the decision and while it acknowledged that the denial of access was not in line with the Hungarian laws, it requested that no compensation would be granted for the plaintiff, since the plaintiff had failed to prove the damages he had suffered as a result of the violation.</w:t>
      </w:r>
    </w:p>
    <w:p w14:paraId="2572702E" w14:textId="77777777" w:rsidR="00FE7587" w:rsidRPr="00CD59CC" w:rsidRDefault="00FE7587" w:rsidP="00CD59CC">
      <w:pPr>
        <w:pStyle w:val="Szvegtrzs22"/>
        <w:tabs>
          <w:tab w:val="left" w:pos="567"/>
        </w:tabs>
        <w:jc w:val="left"/>
        <w:rPr>
          <w:rFonts w:ascii="Arial" w:hAnsi="Arial" w:cs="Arial"/>
        </w:rPr>
      </w:pPr>
    </w:p>
    <w:p w14:paraId="3246682F"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In its decision delivered on 7 December 2010, the Metropolitan Appeals Court upheld the first instance decision. It emphasised that it is common knowledge that for a person with a disability, the denial of access on the basis of the disability is extremely humiliating. Denial of the entry of the dog amounts to denial of entry on the basis of disability, since the dog and the owner constitute an inseparable unit. Therefore, the fact that non-pecuniary damages had been suffered could be established without any further evidentiary procedure, simply on the basis of common knowledge. </w:t>
      </w:r>
    </w:p>
    <w:p w14:paraId="521793E3" w14:textId="77777777" w:rsidR="00FE7587" w:rsidRPr="00CD59CC" w:rsidRDefault="00FE7587" w:rsidP="00CD59CC">
      <w:pPr>
        <w:pStyle w:val="Szvegtrzs22"/>
        <w:tabs>
          <w:tab w:val="left" w:pos="567"/>
        </w:tabs>
        <w:jc w:val="left"/>
        <w:rPr>
          <w:rFonts w:ascii="Arial" w:hAnsi="Arial" w:cs="Arial"/>
        </w:rPr>
      </w:pPr>
    </w:p>
    <w:p w14:paraId="6D9149DF"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lastRenderedPageBreak/>
        <w:t xml:space="preserve">By referring to Article 8 of the ETA as the basis of their decisions, the courts expressed that they regard the incident as a form of direct discrimination committed through the failure to comply with a legislative measure aimed at levelling the opportunities for blind persons (namely the provision which states that guide dogs are exempt from the general ban on taking dogs into food stores, public baths and restaurants). </w:t>
      </w:r>
    </w:p>
    <w:p w14:paraId="79CBEB1E" w14:textId="77777777" w:rsidR="00FE7587" w:rsidRPr="00CD59CC" w:rsidRDefault="00FE7587" w:rsidP="00CD59CC">
      <w:pPr>
        <w:pStyle w:val="BodyText2"/>
        <w:jc w:val="left"/>
        <w:rPr>
          <w:rFonts w:ascii="Arial" w:hAnsi="Arial" w:cs="Arial"/>
        </w:rPr>
      </w:pPr>
    </w:p>
    <w:p w14:paraId="1F07C886"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court:</w:t>
      </w:r>
      <w:r w:rsidRPr="00CD59CC">
        <w:rPr>
          <w:rFonts w:ascii="Arial" w:hAnsi="Arial" w:cs="Arial"/>
        </w:rPr>
        <w:t xml:space="preserve"> Supreme Court</w:t>
      </w:r>
    </w:p>
    <w:p w14:paraId="08A48271"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Date of the decision: </w:t>
      </w:r>
      <w:r w:rsidRPr="00CD59CC">
        <w:rPr>
          <w:rFonts w:ascii="Arial" w:hAnsi="Arial" w:cs="Arial"/>
        </w:rPr>
        <w:t>16 March 2011</w:t>
      </w:r>
    </w:p>
    <w:p w14:paraId="2A2CE0A6"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Equal Treatment Authority v. the mayor of Edelény</w:t>
      </w:r>
    </w:p>
    <w:p w14:paraId="16B3119B"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Kfv.II.37.551/2010/5.</w:t>
      </w:r>
    </w:p>
    <w:p w14:paraId="6EB71DDB" w14:textId="77777777" w:rsidR="00FE7587" w:rsidRPr="00CD59CC" w:rsidRDefault="00FE7587" w:rsidP="00CD59CC">
      <w:pPr>
        <w:pStyle w:val="BodyText2"/>
        <w:jc w:val="left"/>
        <w:rPr>
          <w:rFonts w:ascii="Arial" w:hAnsi="Arial" w:cs="Arial"/>
        </w:rPr>
      </w:pPr>
      <w:r w:rsidRPr="00CD59CC">
        <w:rPr>
          <w:rFonts w:ascii="Arial" w:hAnsi="Arial" w:cs="Arial"/>
          <w:b/>
        </w:rPr>
        <w:t>Brief summary</w:t>
      </w:r>
      <w:r w:rsidRPr="00CD59CC">
        <w:rPr>
          <w:rFonts w:ascii="Arial" w:hAnsi="Arial" w:cs="Arial"/>
        </w:rPr>
        <w:t>: At the local council meeting of Edelény (North-East Hungary), the town’s mayor, Oszkár Molnár made the following statement: “in the neighbouring settlements, in settlements with a Gypsy majority, for instance in Lak, for instance in Szendrőlád, pregnant women take medication so that they would give birth to demented children so that they would be entitled to increased family allowance. Women during their pregnancy – I looked into this and it is true – keep hitting their bellies with rubber hammers so that they would give birth to disabled children.” In its decision no. 1475/2009, the Equal Treatment Authority established that the mayor’s statement amounted to harassment under Article 10 of the ETA. The Authority sanctioned the statement by ordering that its decision shall be made public for 90 days. The mayor filed for a judicial review against the decision, but the Metropolitan Court upheld the Authority's decision on 22 March 2010 The mayor filed for review by the Supreme Court.</w:t>
      </w:r>
    </w:p>
    <w:p w14:paraId="02013D65" w14:textId="77777777" w:rsidR="00FE7587" w:rsidRPr="00CD59CC" w:rsidRDefault="00FE7587" w:rsidP="00CD59CC">
      <w:pPr>
        <w:pStyle w:val="Szvegtrzs22"/>
        <w:tabs>
          <w:tab w:val="left" w:pos="567"/>
        </w:tabs>
        <w:jc w:val="left"/>
        <w:rPr>
          <w:rFonts w:ascii="Arial" w:hAnsi="Arial" w:cs="Arial"/>
        </w:rPr>
      </w:pPr>
    </w:p>
    <w:p w14:paraId="049CEF49"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In its decision of 16 March 2011, the Supreme Court quashed the decisions by the Authority and the Metropolitan Court, and terminated the case. The Supreme Court's argument was that Article 4 of the ETA states that mayors shall be obliged to observe the requirement of equal treatment in their legal relations, in the course of establishing legal relations and in the course of their proceedings and measures. Mayors – in this capacity – may only be in legal relations (i.e. legally regulated social relations) with the residents of their respective municipalities, and they may conduct proceedings and take measures also with regard to such residents. Since Oszkár Molnár is the mayor of Edelény, and his statements were made in relation to Roma women living in two other settlements, he did not fall under the scope of the ETA, therefore he could not be called to account for his statements. (For a more detailed analysis of the case, see Section 2.2).</w:t>
      </w:r>
    </w:p>
    <w:p w14:paraId="139481B7" w14:textId="77777777" w:rsidR="00FE7587" w:rsidRPr="00CD59CC" w:rsidRDefault="00FE7587" w:rsidP="00CD59CC">
      <w:pPr>
        <w:pStyle w:val="BodyText2"/>
        <w:jc w:val="left"/>
        <w:rPr>
          <w:rFonts w:ascii="Arial" w:hAnsi="Arial" w:cs="Arial"/>
        </w:rPr>
      </w:pPr>
    </w:p>
    <w:p w14:paraId="43410ACF"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court:</w:t>
      </w:r>
      <w:r w:rsidRPr="00CD59CC">
        <w:rPr>
          <w:rFonts w:ascii="Arial" w:hAnsi="Arial" w:cs="Arial"/>
        </w:rPr>
        <w:t xml:space="preserve"> Supreme Court</w:t>
      </w:r>
    </w:p>
    <w:p w14:paraId="314880C7"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Date of the decision: </w:t>
      </w:r>
      <w:r w:rsidRPr="00CD59CC">
        <w:rPr>
          <w:rFonts w:ascii="Arial" w:hAnsi="Arial" w:cs="Arial"/>
        </w:rPr>
        <w:t>29 June 2011</w:t>
      </w:r>
    </w:p>
    <w:p w14:paraId="45811EB8"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Chance for Children Foundation v. Local Council of Jászladány</w:t>
      </w:r>
    </w:p>
    <w:p w14:paraId="05845D2D"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Pfv.IV.20.037/2011/4.</w:t>
      </w:r>
    </w:p>
    <w:p w14:paraId="41F7432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Address of webpage: </w:t>
      </w:r>
      <w:hyperlink r:id="rId39" w:history="1">
        <w:r w:rsidRPr="00CD59CC">
          <w:rPr>
            <w:rStyle w:val="Hyperlink"/>
            <w:rFonts w:ascii="Arial" w:hAnsi="Arial" w:cs="Arial"/>
          </w:rPr>
          <w:t>http://w</w:t>
        </w:r>
        <w:bookmarkStart w:id="384" w:name="_Hlt369779490"/>
        <w:bookmarkStart w:id="385" w:name="_Hlt369779491"/>
        <w:bookmarkStart w:id="386" w:name="_Hlt391636868"/>
        <w:r w:rsidRPr="00CD59CC">
          <w:rPr>
            <w:rStyle w:val="Hyperlink"/>
            <w:rFonts w:ascii="Arial" w:hAnsi="Arial" w:cs="Arial"/>
          </w:rPr>
          <w:t>w</w:t>
        </w:r>
        <w:bookmarkEnd w:id="384"/>
        <w:bookmarkEnd w:id="385"/>
        <w:bookmarkEnd w:id="386"/>
        <w:r w:rsidRPr="00CD59CC">
          <w:rPr>
            <w:rStyle w:val="Hyperlink"/>
            <w:rFonts w:ascii="Arial" w:hAnsi="Arial" w:cs="Arial"/>
          </w:rPr>
          <w:t>w.cfcf.hu/en/component/content/article/192-a-legfelsbb-birosag-koezlem</w:t>
        </w:r>
        <w:bookmarkStart w:id="387" w:name="_Hlt370197308"/>
        <w:r w:rsidRPr="00CD59CC">
          <w:rPr>
            <w:rStyle w:val="Hyperlink"/>
            <w:rFonts w:ascii="Arial" w:hAnsi="Arial" w:cs="Arial"/>
          </w:rPr>
          <w:t>e</w:t>
        </w:r>
        <w:bookmarkEnd w:id="387"/>
        <w:r w:rsidRPr="00CD59CC">
          <w:rPr>
            <w:rStyle w:val="Hyperlink"/>
            <w:rFonts w:ascii="Arial" w:hAnsi="Arial" w:cs="Arial"/>
          </w:rPr>
          <w:t>nye.html</w:t>
        </w:r>
      </w:hyperlink>
      <w:r w:rsidRPr="00CD59CC">
        <w:rPr>
          <w:rFonts w:ascii="Arial" w:hAnsi="Arial" w:cs="Arial"/>
        </w:rPr>
        <w:t xml:space="preserve"> </w:t>
      </w:r>
    </w:p>
    <w:p w14:paraId="45D793F8" w14:textId="77777777" w:rsidR="00FE7587" w:rsidRPr="00CD59CC" w:rsidRDefault="00FE7587" w:rsidP="00CD59CC">
      <w:pPr>
        <w:pStyle w:val="BodyText2"/>
        <w:jc w:val="left"/>
        <w:rPr>
          <w:rFonts w:ascii="Arial" w:hAnsi="Arial" w:cs="Arial"/>
        </w:rPr>
      </w:pPr>
      <w:r w:rsidRPr="00CD59CC">
        <w:rPr>
          <w:rFonts w:ascii="Arial" w:hAnsi="Arial" w:cs="Arial"/>
          <w:b/>
        </w:rPr>
        <w:lastRenderedPageBreak/>
        <w:t xml:space="preserve">Brief summary: </w:t>
      </w:r>
      <w:r w:rsidRPr="00CD59CC">
        <w:rPr>
          <w:rFonts w:ascii="Arial" w:hAnsi="Arial" w:cs="Arial"/>
        </w:rPr>
        <w:t xml:space="preserve">With the declared intention to prevent majority parents from taking their children to schools located in other settlements, in 2002 the local council of Jászladány decided to rent a part of the local school building to a foundation which was established to provide the legal framework for the launching of a private school requiring a tuition fee from its pupils. The local council asked for a symbolic rental fee from the foundation, while provided the private school with significant financial support. The school started its operation in 2003. While most of the Roma pupils (who could not afford to pay the tuition fee) remained in the local school, most of the majority pupils enrolled to the private school. In 2007, the Chance for Children Foundation (CFCF) launched an </w:t>
      </w:r>
      <w:r w:rsidRPr="00CD59CC">
        <w:rPr>
          <w:rFonts w:ascii="Arial" w:hAnsi="Arial" w:cs="Arial"/>
          <w:i/>
        </w:rPr>
        <w:t>actio popularis</w:t>
      </w:r>
      <w:r w:rsidRPr="00CD59CC">
        <w:rPr>
          <w:rFonts w:ascii="Arial" w:hAnsi="Arial" w:cs="Arial"/>
        </w:rPr>
        <w:t xml:space="preserve"> claim against the local council and the foundation requesting the court – among others – to establish that the local council discriminated and segregated the Roma children, to oblige the defendant to refrain from future violation and to restore the situation that had prevailed before the violation started. The first and second instance courts rejected all the claims of CFCF. </w:t>
      </w:r>
    </w:p>
    <w:p w14:paraId="7A546D67" w14:textId="77777777" w:rsidR="00FE7587" w:rsidRPr="00CD59CC" w:rsidRDefault="00FE7587" w:rsidP="00CD59CC">
      <w:pPr>
        <w:pStyle w:val="BodyText2"/>
        <w:jc w:val="left"/>
        <w:rPr>
          <w:rFonts w:ascii="Arial" w:hAnsi="Arial" w:cs="Arial"/>
        </w:rPr>
      </w:pPr>
    </w:p>
    <w:p w14:paraId="13F6003B" w14:textId="77777777" w:rsidR="00FE7587" w:rsidRPr="00CD59CC" w:rsidRDefault="00FE7587" w:rsidP="00CD59CC">
      <w:pPr>
        <w:pStyle w:val="BodyText2"/>
        <w:jc w:val="left"/>
        <w:rPr>
          <w:rFonts w:ascii="Arial" w:hAnsi="Arial" w:cs="Arial"/>
        </w:rPr>
      </w:pPr>
      <w:r w:rsidRPr="00CD59CC">
        <w:rPr>
          <w:rFonts w:ascii="Arial" w:hAnsi="Arial" w:cs="Arial"/>
        </w:rPr>
        <w:t>In its decision, the Supreme Court found CFCF’s claim partly substantiated. The court was of the view that the situation of the Roma children studying in the local school is not comparable to that of the pupils in the private school, since such a comparison may only be made in relation to schools maintained by the same entity. Since the local school is maintained by the local council, while the private school is maintained by the foundation, this criterion of comparability is not in place, in spite of the fact that the local council provides the private school with significant financial support, the foundation regularly updates the council on its activities, and several members of the council are also on the foundation’s board. Therefore, the difference in the quality of education does not qualify as discrimination of the Roma pupils who study under much worse conditions.</w:t>
      </w:r>
    </w:p>
    <w:p w14:paraId="5F739BFE" w14:textId="77777777" w:rsidR="00FE7587" w:rsidRPr="00CD59CC" w:rsidRDefault="00FE7587" w:rsidP="00CD59CC">
      <w:pPr>
        <w:pStyle w:val="BodyText2"/>
        <w:jc w:val="left"/>
        <w:rPr>
          <w:rFonts w:ascii="Arial" w:hAnsi="Arial" w:cs="Arial"/>
        </w:rPr>
      </w:pPr>
    </w:p>
    <w:p w14:paraId="713440D4" w14:textId="62FEEE44" w:rsidR="00FE7587" w:rsidRPr="00CD59CC" w:rsidRDefault="00FE7587" w:rsidP="00CD59CC">
      <w:pPr>
        <w:pStyle w:val="BodyText2"/>
        <w:jc w:val="left"/>
        <w:rPr>
          <w:rFonts w:ascii="Arial" w:hAnsi="Arial" w:cs="Arial"/>
        </w:rPr>
      </w:pPr>
      <w:r w:rsidRPr="00CD59CC">
        <w:rPr>
          <w:rFonts w:ascii="Arial" w:hAnsi="Arial" w:cs="Arial"/>
        </w:rPr>
        <w:t xml:space="preserve">On the other hand, the Supreme Court found that the existence of segregation may be established on the basis that the local council is the owner of the building in which both the local school and the private school operates. By renting out part of the local school building to the foundation, the local council contributes to the maintenance of a situation in which Roma pupils are segregated from their non-Roma peers. CFCF as the plaintiff fulfilled its obligations under the burden of proof regulations (existence of a protected ground and the disadvantage), while the local council could not point to the legal provision allowing for such a separation of the two groups of pupils. Since under the ETA, the general exempting rule is not applicable in cases of differentiation based on ethnicity, while the separation of groups of students is only allowed if it is specifically permitted by an Act of Parliament, the defendant’s failure to be able to identify the legal basis of its action resulted in the Supreme Court establishing that the local council had been segregating the Roma pupils from their non-Roma peers. The Supreme Court therefore established the violation of the requirement of equal treatment and obliged the local council to refrain from future violation. The Supreme Court ordered the first instance court to carry out a new procedure to decide on the manner in which desegregation shall be carried out. In this respect, the Supreme Court indicated that it would regard a settlement between the parties desirable, but if </w:t>
      </w:r>
      <w:r w:rsidRPr="00CD59CC">
        <w:rPr>
          <w:rFonts w:ascii="Arial" w:hAnsi="Arial" w:cs="Arial"/>
        </w:rPr>
        <w:lastRenderedPageBreak/>
        <w:t>no such agreement can be reached, ultimately the private school has to move out from the local school’s building.</w:t>
      </w:r>
    </w:p>
    <w:p w14:paraId="7CA7F1E2" w14:textId="77777777" w:rsidR="00D47BF5" w:rsidRPr="00CD59CC" w:rsidRDefault="00D47BF5" w:rsidP="00BB4E9F">
      <w:pPr>
        <w:pStyle w:val="BodyText2"/>
        <w:jc w:val="left"/>
        <w:rPr>
          <w:rFonts w:ascii="Arial" w:hAnsi="Arial" w:cs="Arial"/>
        </w:rPr>
      </w:pPr>
    </w:p>
    <w:p w14:paraId="51F76875" w14:textId="77777777" w:rsidR="00D47BF5" w:rsidRPr="00CD59CC" w:rsidRDefault="00D47BF5" w:rsidP="00CD59CC">
      <w:pPr>
        <w:rPr>
          <w:rFonts w:ascii="Arial" w:hAnsi="Arial" w:cs="Arial"/>
          <w:iCs/>
        </w:rPr>
      </w:pPr>
      <w:r w:rsidRPr="00CD59CC">
        <w:rPr>
          <w:rFonts w:ascii="Arial" w:hAnsi="Arial" w:cs="Arial"/>
          <w:b/>
          <w:iCs/>
        </w:rPr>
        <w:t xml:space="preserve">Name of the body: </w:t>
      </w:r>
      <w:r w:rsidRPr="00CD59CC">
        <w:rPr>
          <w:rFonts w:ascii="Arial" w:hAnsi="Arial" w:cs="Arial"/>
          <w:iCs/>
        </w:rPr>
        <w:t>Curia (successor of the Supreme Court)</w:t>
      </w:r>
    </w:p>
    <w:p w14:paraId="1B6F2600" w14:textId="77777777" w:rsidR="00D47BF5" w:rsidRPr="00CD59CC" w:rsidRDefault="00D47BF5" w:rsidP="00CD59CC">
      <w:pPr>
        <w:pStyle w:val="BodyTextIndent"/>
        <w:rPr>
          <w:rFonts w:ascii="Arial" w:hAnsi="Arial" w:cs="Arial"/>
          <w:b/>
          <w:szCs w:val="24"/>
        </w:rPr>
      </w:pPr>
      <w:r w:rsidRPr="00CD59CC">
        <w:rPr>
          <w:rFonts w:ascii="Arial" w:hAnsi="Arial" w:cs="Arial"/>
          <w:b/>
          <w:szCs w:val="24"/>
        </w:rPr>
        <w:t xml:space="preserve">Date of decision: </w:t>
      </w:r>
      <w:r w:rsidRPr="00CD59CC">
        <w:rPr>
          <w:rFonts w:ascii="Arial" w:hAnsi="Arial" w:cs="Arial"/>
          <w:szCs w:val="24"/>
        </w:rPr>
        <w:t>16 May 2012</w:t>
      </w:r>
    </w:p>
    <w:p w14:paraId="12118B25" w14:textId="77777777" w:rsidR="00D47BF5" w:rsidRPr="00CD59CC" w:rsidRDefault="00D47BF5" w:rsidP="00CD59CC">
      <w:pPr>
        <w:rPr>
          <w:rFonts w:ascii="Arial" w:hAnsi="Arial" w:cs="Arial"/>
          <w:iCs/>
        </w:rPr>
      </w:pPr>
      <w:r w:rsidRPr="00CD59CC">
        <w:rPr>
          <w:rFonts w:ascii="Arial" w:hAnsi="Arial" w:cs="Arial"/>
          <w:b/>
          <w:iCs/>
        </w:rPr>
        <w:t xml:space="preserve">Name of the parties: </w:t>
      </w:r>
      <w:r w:rsidRPr="00CD59CC">
        <w:rPr>
          <w:rFonts w:ascii="Arial" w:hAnsi="Arial" w:cs="Arial"/>
          <w:iCs/>
        </w:rPr>
        <w:t>Chance for Children Foundation v. the Municipality of Győr</w:t>
      </w:r>
    </w:p>
    <w:p w14:paraId="4613C64F" w14:textId="77777777" w:rsidR="00D47BF5" w:rsidRPr="00CD59CC" w:rsidRDefault="00D47BF5" w:rsidP="00CD59CC">
      <w:pPr>
        <w:pStyle w:val="BodyTextIndent"/>
        <w:ind w:left="0" w:firstLine="0"/>
        <w:rPr>
          <w:rFonts w:ascii="Arial" w:hAnsi="Arial" w:cs="Arial"/>
          <w:szCs w:val="24"/>
        </w:rPr>
      </w:pPr>
      <w:r w:rsidRPr="00CD59CC">
        <w:rPr>
          <w:rFonts w:ascii="Arial" w:hAnsi="Arial" w:cs="Arial"/>
          <w:b/>
          <w:szCs w:val="24"/>
        </w:rPr>
        <w:t xml:space="preserve">Reference number: </w:t>
      </w:r>
      <w:r w:rsidRPr="00CD59CC">
        <w:rPr>
          <w:rFonts w:ascii="Arial" w:hAnsi="Arial" w:cs="Arial"/>
          <w:szCs w:val="24"/>
        </w:rPr>
        <w:t xml:space="preserve">Pfv.IV.20.068/2012/3 </w:t>
      </w:r>
    </w:p>
    <w:p w14:paraId="7FABA38E" w14:textId="77777777" w:rsidR="00D47BF5" w:rsidRPr="00CD59CC" w:rsidRDefault="00D47BF5" w:rsidP="00CD59CC">
      <w:pPr>
        <w:pStyle w:val="BodyTextIndent"/>
        <w:ind w:left="0" w:firstLine="0"/>
        <w:rPr>
          <w:rFonts w:ascii="Arial" w:hAnsi="Arial" w:cs="Arial"/>
          <w:szCs w:val="24"/>
        </w:rPr>
      </w:pPr>
      <w:r w:rsidRPr="00CD59CC">
        <w:rPr>
          <w:rFonts w:ascii="Arial" w:hAnsi="Arial" w:cs="Arial"/>
          <w:b/>
          <w:szCs w:val="24"/>
        </w:rPr>
        <w:t>Address of the webpage</w:t>
      </w:r>
      <w:r w:rsidRPr="00BB4E9F">
        <w:rPr>
          <w:rFonts w:ascii="Arial" w:hAnsi="Arial"/>
          <w:b/>
        </w:rPr>
        <w:t>:</w:t>
      </w:r>
      <w:r w:rsidRPr="00CD59CC">
        <w:rPr>
          <w:rFonts w:ascii="Arial" w:hAnsi="Arial" w:cs="Arial"/>
          <w:szCs w:val="24"/>
        </w:rPr>
        <w:t xml:space="preserve"> </w:t>
      </w:r>
      <w:hyperlink r:id="rId40" w:history="1">
        <w:r w:rsidRPr="00CD59CC">
          <w:rPr>
            <w:rStyle w:val="Hyperlink"/>
            <w:rFonts w:ascii="Arial" w:hAnsi="Arial" w:cs="Arial"/>
            <w:szCs w:val="24"/>
          </w:rPr>
          <w:t>http://www</w:t>
        </w:r>
        <w:bookmarkStart w:id="388" w:name="_Hlt391636875"/>
        <w:r w:rsidRPr="00CD59CC">
          <w:rPr>
            <w:rStyle w:val="Hyperlink"/>
            <w:rFonts w:ascii="Arial" w:hAnsi="Arial" w:cs="Arial"/>
            <w:szCs w:val="24"/>
          </w:rPr>
          <w:t>.</w:t>
        </w:r>
        <w:bookmarkEnd w:id="388"/>
        <w:r w:rsidRPr="00CD59CC">
          <w:rPr>
            <w:rStyle w:val="Hyperlink"/>
            <w:rFonts w:ascii="Arial" w:hAnsi="Arial" w:cs="Arial"/>
            <w:szCs w:val="24"/>
          </w:rPr>
          <w:t>cfcf.hu/hu/programjaink/uegyeink/96-gyor.html</w:t>
        </w:r>
      </w:hyperlink>
      <w:r w:rsidRPr="00CD59CC">
        <w:rPr>
          <w:rFonts w:ascii="Arial" w:hAnsi="Arial" w:cs="Arial"/>
          <w:szCs w:val="24"/>
        </w:rPr>
        <w:t xml:space="preserve"> </w:t>
      </w:r>
    </w:p>
    <w:p w14:paraId="76AE7D23" w14:textId="77777777" w:rsidR="00D47BF5" w:rsidRPr="00CD59CC" w:rsidRDefault="00D47BF5" w:rsidP="00CD59CC">
      <w:pPr>
        <w:pStyle w:val="BodyTextIndent"/>
        <w:ind w:left="0" w:firstLine="0"/>
        <w:rPr>
          <w:rFonts w:ascii="Arial" w:hAnsi="Arial" w:cs="Arial"/>
          <w:iCs w:val="0"/>
          <w:szCs w:val="24"/>
        </w:rPr>
      </w:pPr>
      <w:r w:rsidRPr="00CD59CC">
        <w:rPr>
          <w:rFonts w:ascii="Arial" w:hAnsi="Arial" w:cs="Arial"/>
          <w:b/>
          <w:szCs w:val="24"/>
        </w:rPr>
        <w:t xml:space="preserve">Brief summary: </w:t>
      </w:r>
      <w:r w:rsidRPr="00CD59CC">
        <w:rPr>
          <w:rFonts w:ascii="Arial" w:hAnsi="Arial" w:cs="Arial"/>
          <w:szCs w:val="24"/>
        </w:rPr>
        <w:t>Due to changes in the demographic characteristics of the</w:t>
      </w:r>
      <w:r w:rsidRPr="00CD59CC">
        <w:rPr>
          <w:rFonts w:ascii="Arial" w:hAnsi="Arial" w:cs="Arial"/>
          <w:b/>
          <w:szCs w:val="24"/>
        </w:rPr>
        <w:t xml:space="preserve"> </w:t>
      </w:r>
      <w:r w:rsidRPr="00CD59CC">
        <w:rPr>
          <w:rFonts w:ascii="Arial" w:hAnsi="Arial" w:cs="Arial"/>
          <w:szCs w:val="24"/>
        </w:rPr>
        <w:t xml:space="preserve">Kossuth Lajos Elementary School of the Municipality of Győr, by 2004, over two thirds of the pupils were of Roma ethnic origin and the proportion of pupils in “especially disadvantaged situation” was very high compared to other schools in the city. The Chance for Children Foundation launched an </w:t>
      </w:r>
      <w:r w:rsidRPr="00CD59CC">
        <w:rPr>
          <w:rFonts w:ascii="Arial" w:hAnsi="Arial" w:cs="Arial"/>
          <w:i/>
          <w:szCs w:val="24"/>
        </w:rPr>
        <w:t>actio popularis</w:t>
      </w:r>
      <w:r w:rsidRPr="00CD59CC">
        <w:rPr>
          <w:rFonts w:ascii="Arial" w:hAnsi="Arial" w:cs="Arial"/>
          <w:szCs w:val="24"/>
        </w:rPr>
        <w:t xml:space="preserve"> lawsuit claiming that by maintaining this situation, the municipality segregated Roma and indigent pupils, and requested the court to oblige the defendant to stop the violation and put an end to the unlawful situation. The court of first instance decided in favour of the Foundation, but refused to identify the manner in which the segregation shall be brought to an end. Upon the municipality’s appeal, the court of second instance modified the sentence: it concluded that the Foundation does not have a legal standing in relation to “children in an especially disadvantaged situation”, so in this regard it rejected the claim. Furthermore, it deleted from the sentence the obligation of the defendant to put an end to the unlawful situation. The court of second instance was of the view that being in an “especially disadvantaged situation” is not an</w:t>
      </w:r>
      <w:r w:rsidRPr="00CD59CC">
        <w:rPr>
          <w:rFonts w:ascii="Arial" w:hAnsi="Arial" w:cs="Arial"/>
          <w:iCs w:val="0"/>
          <w:szCs w:val="24"/>
        </w:rPr>
        <w:t xml:space="preserve"> “essential feature of the individual”, so it cannot serve as a basis for an action popularis claim. As to the other issue, the court of second instance concluded that the Foundation’s claim (namely that the defendant shall not launch new classes in which the ratio of Roma or disadvantaged pupils would be disproportionate) does not put an end to the unlawful situation (as it does not address the situation of the already segregated classes), therefore, the Foundation’s petition does not contain a claim that could be implemented if granted. </w:t>
      </w:r>
    </w:p>
    <w:p w14:paraId="1F039FFA" w14:textId="77777777" w:rsidR="00D47BF5" w:rsidRPr="00CD59CC" w:rsidRDefault="00D47BF5" w:rsidP="00CD59CC">
      <w:pPr>
        <w:pStyle w:val="BodyText2"/>
        <w:rPr>
          <w:rFonts w:ascii="Arial" w:hAnsi="Arial" w:cs="Arial"/>
          <w:iCs/>
        </w:rPr>
      </w:pPr>
    </w:p>
    <w:p w14:paraId="691D01D3" w14:textId="77777777" w:rsidR="00D47BF5" w:rsidRPr="00CD59CC" w:rsidRDefault="00D47BF5" w:rsidP="00CD59CC">
      <w:pPr>
        <w:pStyle w:val="BodyTextIndent"/>
        <w:ind w:left="0" w:firstLine="0"/>
        <w:rPr>
          <w:rFonts w:ascii="Arial" w:hAnsi="Arial" w:cs="Arial"/>
          <w:szCs w:val="24"/>
        </w:rPr>
      </w:pPr>
      <w:r w:rsidRPr="00CD59CC">
        <w:rPr>
          <w:rFonts w:ascii="Arial" w:hAnsi="Arial" w:cs="Arial"/>
          <w:iCs w:val="0"/>
          <w:szCs w:val="24"/>
        </w:rPr>
        <w:t xml:space="preserve">Based on the plaintiff’s request for extraordinary review, the Curia partly changed the second instance decision. It concluded that being in an “especially disadvantaged situation” can be regarded as referring to “social origin” and “financial situation”, which are expressly listed in the ETA as protected grounds, so it can serve as the basis of an actio popularis claim. In the other issue, the Curia sustained the second instance decision, but on the basis of a different argument. The Curia was of the view that a request for the obligation of the municipality to refrain from launching classes in which Roma and indigent pupils are disadvantaged is a claim that in principle is sufficiently concrete to be implemented, but the Curia held that such an obligation would practically be equal to ordering the municipality to direct the pupils into other schools and – ultimately – close down the school, which is beyond the scope of a civil court. </w:t>
      </w:r>
    </w:p>
    <w:p w14:paraId="18DBEAD9" w14:textId="77777777" w:rsidR="001437FB" w:rsidRPr="00CD59CC" w:rsidRDefault="001437FB" w:rsidP="00BB4E9F">
      <w:pPr>
        <w:pStyle w:val="BodyText2"/>
        <w:jc w:val="left"/>
        <w:rPr>
          <w:rFonts w:ascii="Arial" w:hAnsi="Arial" w:cs="Arial"/>
        </w:rPr>
      </w:pPr>
    </w:p>
    <w:p w14:paraId="47CD4F96" w14:textId="77777777" w:rsidR="00FE7587" w:rsidRPr="00CD59CC" w:rsidRDefault="00BA1E10" w:rsidP="00CD59CC">
      <w:pPr>
        <w:pStyle w:val="BodyText2"/>
        <w:jc w:val="left"/>
        <w:rPr>
          <w:rFonts w:ascii="Arial" w:hAnsi="Arial" w:cs="Arial"/>
          <w:u w:val="single"/>
        </w:rPr>
      </w:pPr>
      <w:r>
        <w:rPr>
          <w:rFonts w:ascii="Arial" w:hAnsi="Arial" w:cs="Arial"/>
          <w:u w:val="single"/>
        </w:rPr>
        <w:br w:type="page"/>
      </w:r>
      <w:r w:rsidR="00FE7587" w:rsidRPr="00CD59CC">
        <w:rPr>
          <w:rFonts w:ascii="Arial" w:hAnsi="Arial" w:cs="Arial"/>
          <w:u w:val="single"/>
        </w:rPr>
        <w:lastRenderedPageBreak/>
        <w:t>Equal Treatment Authority</w:t>
      </w:r>
    </w:p>
    <w:p w14:paraId="2A7315A5" w14:textId="77777777" w:rsidR="00FE7587" w:rsidRPr="00CD59CC" w:rsidRDefault="00FE7587" w:rsidP="00CD59CC">
      <w:pPr>
        <w:pStyle w:val="BodyText2"/>
        <w:jc w:val="left"/>
        <w:rPr>
          <w:rFonts w:ascii="Arial" w:hAnsi="Arial" w:cs="Arial"/>
        </w:rPr>
      </w:pPr>
    </w:p>
    <w:p w14:paraId="1C1220DA"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body:</w:t>
      </w:r>
      <w:r w:rsidRPr="00CD59CC">
        <w:rPr>
          <w:rFonts w:ascii="Arial" w:hAnsi="Arial" w:cs="Arial"/>
        </w:rPr>
        <w:t xml:space="preserve"> Equal Treatment Authority</w:t>
      </w:r>
    </w:p>
    <w:p w14:paraId="7E8310BA"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Date of the decision: </w:t>
      </w:r>
      <w:r w:rsidRPr="00CD59CC">
        <w:rPr>
          <w:rFonts w:ascii="Arial" w:hAnsi="Arial" w:cs="Arial"/>
        </w:rPr>
        <w:t>--</w:t>
      </w:r>
    </w:p>
    <w:p w14:paraId="05259EFE"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Name of the parties: </w:t>
      </w:r>
      <w:r w:rsidRPr="00CD59CC">
        <w:rPr>
          <w:rFonts w:ascii="Arial" w:hAnsi="Arial" w:cs="Arial"/>
        </w:rPr>
        <w:t>--</w:t>
      </w:r>
    </w:p>
    <w:p w14:paraId="0F512DA6"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180/2006</w:t>
      </w:r>
    </w:p>
    <w:p w14:paraId="3850F5B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Address of webpage: </w:t>
      </w:r>
      <w:hyperlink r:id="rId41" w:history="1">
        <w:r w:rsidRPr="00CD59CC">
          <w:rPr>
            <w:rStyle w:val="Hyperlink"/>
            <w:rFonts w:ascii="Arial" w:hAnsi="Arial" w:cs="Arial"/>
          </w:rPr>
          <w:t>http://www.egyenlobana</w:t>
        </w:r>
        <w:bookmarkStart w:id="389" w:name="_Hlt369778937"/>
        <w:bookmarkStart w:id="390" w:name="_Hlt370197321"/>
        <w:r w:rsidRPr="00CD59CC">
          <w:rPr>
            <w:rStyle w:val="Hyperlink"/>
            <w:rFonts w:ascii="Arial" w:hAnsi="Arial" w:cs="Arial"/>
          </w:rPr>
          <w:t>s</w:t>
        </w:r>
        <w:bookmarkStart w:id="391" w:name="_Hlt391636889"/>
        <w:bookmarkEnd w:id="389"/>
        <w:bookmarkEnd w:id="390"/>
        <w:r w:rsidRPr="00CD59CC">
          <w:rPr>
            <w:rStyle w:val="Hyperlink"/>
            <w:rFonts w:ascii="Arial" w:hAnsi="Arial" w:cs="Arial"/>
          </w:rPr>
          <w:t>m</w:t>
        </w:r>
        <w:bookmarkEnd w:id="391"/>
        <w:r w:rsidRPr="00CD59CC">
          <w:rPr>
            <w:rStyle w:val="Hyperlink"/>
            <w:rFonts w:ascii="Arial" w:hAnsi="Arial" w:cs="Arial"/>
          </w:rPr>
          <w:t>od.hu/jogesetek/hu/477.pdf</w:t>
        </w:r>
      </w:hyperlink>
      <w:r w:rsidRPr="00CD59CC">
        <w:rPr>
          <w:rFonts w:ascii="Arial" w:hAnsi="Arial" w:cs="Arial"/>
        </w:rPr>
        <w:t xml:space="preserve"> </w:t>
      </w:r>
    </w:p>
    <w:p w14:paraId="14EE96F1"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Brief summary: </w:t>
      </w:r>
      <w:r w:rsidRPr="00CD59CC">
        <w:rPr>
          <w:rFonts w:ascii="Arial" w:hAnsi="Arial" w:cs="Arial"/>
        </w:rPr>
        <w:t>In response to a newspaper advertisement, the complainant called a company which was recruiting painters. He met the requirements set by the employer, but when he informed the employer that he was of Roma origin, he was rejected. In a procedure including testing, the Equal Treatment Authority found that the employer directly discriminated in breach of Article 8 ETA and imposed a fine of HUF 700,000 (EUR 2,330) on him.</w:t>
      </w:r>
    </w:p>
    <w:p w14:paraId="202156E5" w14:textId="77777777" w:rsidR="00FE7587" w:rsidRPr="00CD59CC" w:rsidRDefault="00FE7587" w:rsidP="00CD59CC">
      <w:pPr>
        <w:pStyle w:val="Szvegtrzs22"/>
        <w:tabs>
          <w:tab w:val="left" w:pos="567"/>
        </w:tabs>
        <w:jc w:val="left"/>
        <w:rPr>
          <w:rFonts w:ascii="Arial" w:hAnsi="Arial" w:cs="Arial"/>
        </w:rPr>
      </w:pPr>
    </w:p>
    <w:p w14:paraId="3A0F63A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Name of the body: </w:t>
      </w:r>
      <w:r w:rsidRPr="00CD59CC">
        <w:rPr>
          <w:rFonts w:ascii="Arial" w:hAnsi="Arial" w:cs="Arial"/>
        </w:rPr>
        <w:t>Equal Treatment Authority</w:t>
      </w:r>
    </w:p>
    <w:p w14:paraId="7B6E32E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March 2006</w:t>
      </w:r>
    </w:p>
    <w:p w14:paraId="4DA32407"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X v. Pesti Központi Kerületi Bíróság</w:t>
      </w:r>
    </w:p>
    <w:p w14:paraId="06A9FA3C"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13/2006</w:t>
      </w:r>
    </w:p>
    <w:p w14:paraId="41F19388" w14:textId="60C11BD2" w:rsidR="00FE7587" w:rsidRPr="00CD59CC" w:rsidRDefault="00FE7587" w:rsidP="00CD59CC">
      <w:pPr>
        <w:pStyle w:val="Szvegtrzs22"/>
        <w:tabs>
          <w:tab w:val="left" w:pos="567"/>
        </w:tabs>
        <w:jc w:val="left"/>
        <w:rPr>
          <w:rFonts w:ascii="Arial" w:hAnsi="Arial" w:cs="Arial"/>
        </w:rPr>
      </w:pPr>
      <w:r w:rsidRPr="00CD59CC">
        <w:rPr>
          <w:rFonts w:ascii="Arial" w:hAnsi="Arial" w:cs="Arial"/>
          <w:b/>
        </w:rPr>
        <w:t>Address of webpage:</w:t>
      </w:r>
      <w:r w:rsidRPr="00CD59CC">
        <w:rPr>
          <w:rStyle w:val="Hyperlink"/>
          <w:rFonts w:ascii="Arial" w:hAnsi="Arial" w:cs="Arial"/>
        </w:rPr>
        <w:t xml:space="preserve"> </w:t>
      </w:r>
      <w:hyperlink r:id="rId42" w:history="1">
        <w:r w:rsidRPr="00CD59CC">
          <w:rPr>
            <w:rStyle w:val="Hyperlink"/>
            <w:rFonts w:ascii="Arial" w:hAnsi="Arial" w:cs="Arial"/>
          </w:rPr>
          <w:t>http://www.egyenlobanasmod.hu/jogesetek/hu</w:t>
        </w:r>
        <w:bookmarkStart w:id="392" w:name="_Hlt391636891"/>
        <w:r w:rsidRPr="00CD59CC">
          <w:rPr>
            <w:rStyle w:val="Hyperlink"/>
            <w:rFonts w:ascii="Arial" w:hAnsi="Arial" w:cs="Arial"/>
          </w:rPr>
          <w:t>/</w:t>
        </w:r>
        <w:bookmarkEnd w:id="392"/>
        <w:r w:rsidRPr="00CD59CC">
          <w:rPr>
            <w:rStyle w:val="Hyperlink"/>
            <w:rFonts w:ascii="Arial" w:hAnsi="Arial" w:cs="Arial"/>
          </w:rPr>
          <w:t>zanza03</w:t>
        </w:r>
        <w:bookmarkStart w:id="393" w:name="_Hlt370197323"/>
        <w:r w:rsidRPr="00CD59CC">
          <w:rPr>
            <w:rStyle w:val="Hyperlink"/>
            <w:rFonts w:ascii="Arial" w:hAnsi="Arial" w:cs="Arial"/>
          </w:rPr>
          <w:t>0</w:t>
        </w:r>
        <w:bookmarkEnd w:id="393"/>
        <w:r w:rsidRPr="00CD59CC">
          <w:rPr>
            <w:rStyle w:val="Hyperlink"/>
            <w:rFonts w:ascii="Arial" w:hAnsi="Arial" w:cs="Arial"/>
          </w:rPr>
          <w:t>7.pdf</w:t>
        </w:r>
      </w:hyperlink>
      <w:r w:rsidR="007B7640" w:rsidRPr="00CD59CC">
        <w:rPr>
          <w:rStyle w:val="Hyperlink"/>
          <w:rFonts w:ascii="Arial" w:hAnsi="Arial" w:cs="Arial"/>
        </w:rPr>
        <w:t xml:space="preserve">  </w:t>
      </w:r>
    </w:p>
    <w:p w14:paraId="6BB5AA09" w14:textId="6B553043"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Brief summary: </w:t>
      </w:r>
      <w:r w:rsidRPr="00CD59CC">
        <w:rPr>
          <w:rFonts w:ascii="Arial" w:hAnsi="Arial" w:cs="Arial"/>
        </w:rPr>
        <w:t>A person with disability filed a complaint with Equal Treatment Authority claiming that he had not been able to attend the court hearing held in his civil lawsuit because the Central District Court of Pest (CDCP) is not accessible for persons using wheelchairs, and the employees of the CDCP did not provide him with appropriate assistance. In the case, the Equal Treatment Authority did not accept the CDCP's</w:t>
      </w:r>
      <w:r w:rsidR="007B7640" w:rsidRPr="00CD59CC">
        <w:rPr>
          <w:rFonts w:ascii="Arial" w:hAnsi="Arial" w:cs="Arial"/>
        </w:rPr>
        <w:t xml:space="preserve"> </w:t>
      </w:r>
      <w:r w:rsidRPr="00CD59CC">
        <w:rPr>
          <w:rFonts w:ascii="Arial" w:hAnsi="Arial" w:cs="Arial"/>
        </w:rPr>
        <w:t>reference for financial problems as an objective exempting factor, and obliged the CDCP to terminate the injurious situation within 60 days and ordered that its decision be published on its own website.</w:t>
      </w:r>
    </w:p>
    <w:p w14:paraId="33490F1C" w14:textId="77777777" w:rsidR="00FE7587" w:rsidRPr="00CD59CC" w:rsidRDefault="00FE7587" w:rsidP="00CD59CC">
      <w:pPr>
        <w:pStyle w:val="Szvegtrzs22"/>
        <w:tabs>
          <w:tab w:val="left" w:pos="567"/>
        </w:tabs>
        <w:jc w:val="left"/>
        <w:rPr>
          <w:rFonts w:ascii="Arial" w:hAnsi="Arial" w:cs="Arial"/>
        </w:rPr>
      </w:pPr>
    </w:p>
    <w:p w14:paraId="14D5781F"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body:</w:t>
      </w:r>
      <w:r w:rsidRPr="00CD59CC">
        <w:rPr>
          <w:rFonts w:ascii="Arial" w:hAnsi="Arial" w:cs="Arial"/>
        </w:rPr>
        <w:t xml:space="preserve"> Equal Treatment Authority</w:t>
      </w:r>
    </w:p>
    <w:p w14:paraId="5C6DF3A9"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Date of the decision: </w:t>
      </w:r>
      <w:r w:rsidRPr="00CD59CC">
        <w:rPr>
          <w:rFonts w:ascii="Arial" w:hAnsi="Arial" w:cs="Arial"/>
        </w:rPr>
        <w:t>September 2006</w:t>
      </w:r>
    </w:p>
    <w:p w14:paraId="01296F4B"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w:t>
      </w:r>
    </w:p>
    <w:p w14:paraId="2D9F3C01"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295/2006</w:t>
      </w:r>
    </w:p>
    <w:p w14:paraId="50CDCF3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Address of webpage: </w:t>
      </w:r>
      <w:hyperlink r:id="rId43" w:history="1">
        <w:r w:rsidRPr="00CD59CC">
          <w:rPr>
            <w:rStyle w:val="Hyperlink"/>
            <w:rFonts w:ascii="Arial" w:hAnsi="Arial" w:cs="Arial"/>
          </w:rPr>
          <w:t>http://www.egyenlobanas</w:t>
        </w:r>
        <w:bookmarkStart w:id="394" w:name="_Hlt370197325"/>
        <w:r w:rsidRPr="00CD59CC">
          <w:rPr>
            <w:rStyle w:val="Hyperlink"/>
            <w:rFonts w:ascii="Arial" w:hAnsi="Arial" w:cs="Arial"/>
          </w:rPr>
          <w:t>m</w:t>
        </w:r>
        <w:bookmarkEnd w:id="394"/>
        <w:r w:rsidRPr="00CD59CC">
          <w:rPr>
            <w:rStyle w:val="Hyperlink"/>
            <w:rFonts w:ascii="Arial" w:hAnsi="Arial" w:cs="Arial"/>
          </w:rPr>
          <w:t>od.hu/jogese</w:t>
        </w:r>
        <w:bookmarkStart w:id="395" w:name="_Hlt369779090"/>
        <w:r w:rsidRPr="00CD59CC">
          <w:rPr>
            <w:rStyle w:val="Hyperlink"/>
            <w:rFonts w:ascii="Arial" w:hAnsi="Arial" w:cs="Arial"/>
          </w:rPr>
          <w:t>t</w:t>
        </w:r>
        <w:bookmarkEnd w:id="395"/>
        <w:r w:rsidRPr="00CD59CC">
          <w:rPr>
            <w:rStyle w:val="Hyperlink"/>
            <w:rFonts w:ascii="Arial" w:hAnsi="Arial" w:cs="Arial"/>
          </w:rPr>
          <w:t>e</w:t>
        </w:r>
        <w:bookmarkStart w:id="396" w:name="_Hlt391636898"/>
        <w:r w:rsidRPr="00CD59CC">
          <w:rPr>
            <w:rStyle w:val="Hyperlink"/>
            <w:rFonts w:ascii="Arial" w:hAnsi="Arial" w:cs="Arial"/>
          </w:rPr>
          <w:t>k</w:t>
        </w:r>
        <w:bookmarkEnd w:id="396"/>
        <w:r w:rsidRPr="00CD59CC">
          <w:rPr>
            <w:rStyle w:val="Hyperlink"/>
            <w:rFonts w:ascii="Arial" w:hAnsi="Arial" w:cs="Arial"/>
          </w:rPr>
          <w:t>/hu/295-2006.pdf</w:t>
        </w:r>
      </w:hyperlink>
      <w:r w:rsidRPr="00CD59CC">
        <w:rPr>
          <w:rFonts w:ascii="Arial" w:hAnsi="Arial" w:cs="Arial"/>
        </w:rPr>
        <w:t xml:space="preserve"> </w:t>
      </w:r>
    </w:p>
    <w:p w14:paraId="0292BEE5"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Brief summary: </w:t>
      </w:r>
      <w:r w:rsidRPr="00CD59CC">
        <w:rPr>
          <w:rFonts w:ascii="Arial" w:hAnsi="Arial" w:cs="Arial"/>
        </w:rPr>
        <w:t xml:space="preserve">The applicant is a visually impaired lawyer, who in the course of his search for a job, sent his CV to the defendant company. The company’s representative called him and they agreed on an interview. Following this, the applicant realized that the fact that he was visually impaired was not included in his CV. </w:t>
      </w:r>
    </w:p>
    <w:p w14:paraId="52B20D70" w14:textId="77777777" w:rsidR="00FE7587" w:rsidRPr="00CD59CC" w:rsidRDefault="00FE7587" w:rsidP="00CD59CC">
      <w:pPr>
        <w:pStyle w:val="Szvegtrzs22"/>
        <w:tabs>
          <w:tab w:val="left" w:pos="567"/>
        </w:tabs>
        <w:jc w:val="left"/>
        <w:rPr>
          <w:rFonts w:ascii="Arial" w:hAnsi="Arial" w:cs="Arial"/>
        </w:rPr>
      </w:pPr>
    </w:p>
    <w:p w14:paraId="13BA6F0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He immediately called the company’s representative, who tried to dissuade him from the job, saying that he would have difficulties in fulfilling his obligations, but in the end they agreed to carry on with the interview. </w:t>
      </w:r>
    </w:p>
    <w:p w14:paraId="72419117" w14:textId="77777777" w:rsidR="00FE7587" w:rsidRPr="00CD59CC" w:rsidRDefault="00FE7587" w:rsidP="00CD59CC">
      <w:pPr>
        <w:pStyle w:val="Szvegtrzs22"/>
        <w:tabs>
          <w:tab w:val="left" w:pos="567"/>
        </w:tabs>
        <w:jc w:val="left"/>
        <w:rPr>
          <w:rFonts w:ascii="Arial" w:hAnsi="Arial" w:cs="Arial"/>
        </w:rPr>
      </w:pPr>
    </w:p>
    <w:p w14:paraId="586818BD"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One day before the scheduled date, the applicant received an e-mail in which the interview was called off. The e-mail contained specific reference to the applicant’s disability.</w:t>
      </w:r>
    </w:p>
    <w:p w14:paraId="2C89EE6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lastRenderedPageBreak/>
        <w:t>The Equal Treatment Authority established the violation of the principle of equal treatment, ordered the company to refrain from such behaviour in the future, obliged the company to pay a fine of HUF 800,000 (EUR 2,670) and ordered that its decision be published on its website for 30 days.</w:t>
      </w:r>
    </w:p>
    <w:p w14:paraId="428B431A" w14:textId="77777777" w:rsidR="00FE7587" w:rsidRPr="00CD59CC" w:rsidRDefault="00FE7587" w:rsidP="00CD59CC">
      <w:pPr>
        <w:pStyle w:val="Szvegtrzs22"/>
        <w:tabs>
          <w:tab w:val="left" w:pos="567"/>
        </w:tabs>
        <w:jc w:val="left"/>
        <w:rPr>
          <w:rFonts w:ascii="Arial" w:hAnsi="Arial" w:cs="Arial"/>
        </w:rPr>
      </w:pPr>
    </w:p>
    <w:p w14:paraId="739A0EF0"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body:</w:t>
      </w:r>
      <w:r w:rsidRPr="00CD59CC">
        <w:rPr>
          <w:rFonts w:ascii="Arial" w:hAnsi="Arial" w:cs="Arial"/>
        </w:rPr>
        <w:t xml:space="preserve"> Equal Treatment Authority</w:t>
      </w:r>
    </w:p>
    <w:p w14:paraId="783C0CDD"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December 2007</w:t>
      </w:r>
    </w:p>
    <w:p w14:paraId="32C667E8"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w:t>
      </w:r>
    </w:p>
    <w:p w14:paraId="008CFF3C"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Reference number:</w:t>
      </w:r>
      <w:r w:rsidRPr="00CD59CC">
        <w:rPr>
          <w:rFonts w:ascii="Arial" w:hAnsi="Arial" w:cs="Arial"/>
        </w:rPr>
        <w:t xml:space="preserve"> 44/2007</w:t>
      </w:r>
    </w:p>
    <w:p w14:paraId="3C284D01"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Address of webpage:</w:t>
      </w:r>
      <w:r w:rsidRPr="00CD59CC">
        <w:rPr>
          <w:rFonts w:ascii="Arial" w:hAnsi="Arial" w:cs="Arial"/>
        </w:rPr>
        <w:t xml:space="preserve"> </w:t>
      </w:r>
      <w:hyperlink r:id="rId44" w:history="1">
        <w:r w:rsidRPr="00CD59CC">
          <w:rPr>
            <w:rStyle w:val="Hyperlink"/>
            <w:rFonts w:ascii="Arial" w:hAnsi="Arial" w:cs="Arial"/>
          </w:rPr>
          <w:t>http://ww</w:t>
        </w:r>
        <w:bookmarkStart w:id="397" w:name="_Hlt391636894"/>
        <w:r w:rsidRPr="00CD59CC">
          <w:rPr>
            <w:rStyle w:val="Hyperlink"/>
            <w:rFonts w:ascii="Arial" w:hAnsi="Arial" w:cs="Arial"/>
          </w:rPr>
          <w:t>w</w:t>
        </w:r>
        <w:bookmarkEnd w:id="397"/>
        <w:r w:rsidRPr="00CD59CC">
          <w:rPr>
            <w:rStyle w:val="Hyperlink"/>
            <w:rFonts w:ascii="Arial" w:hAnsi="Arial" w:cs="Arial"/>
          </w:rPr>
          <w:t>.egyenlo</w:t>
        </w:r>
        <w:bookmarkStart w:id="398" w:name="_Hlt369779128"/>
        <w:r w:rsidRPr="00CD59CC">
          <w:rPr>
            <w:rStyle w:val="Hyperlink"/>
            <w:rFonts w:ascii="Arial" w:hAnsi="Arial" w:cs="Arial"/>
          </w:rPr>
          <w:t>b</w:t>
        </w:r>
        <w:bookmarkEnd w:id="398"/>
        <w:r w:rsidRPr="00CD59CC">
          <w:rPr>
            <w:rStyle w:val="Hyperlink"/>
            <w:rFonts w:ascii="Arial" w:hAnsi="Arial" w:cs="Arial"/>
          </w:rPr>
          <w:t>anasmo</w:t>
        </w:r>
        <w:bookmarkStart w:id="399" w:name="_Hlt370197328"/>
        <w:r w:rsidRPr="00CD59CC">
          <w:rPr>
            <w:rStyle w:val="Hyperlink"/>
            <w:rFonts w:ascii="Arial" w:hAnsi="Arial" w:cs="Arial"/>
          </w:rPr>
          <w:t>d</w:t>
        </w:r>
        <w:bookmarkEnd w:id="399"/>
        <w:r w:rsidRPr="00CD59CC">
          <w:rPr>
            <w:rStyle w:val="Hyperlink"/>
            <w:rFonts w:ascii="Arial" w:hAnsi="Arial" w:cs="Arial"/>
          </w:rPr>
          <w:t>.hu/jogesetek/hu/44-2007.pdf</w:t>
        </w:r>
      </w:hyperlink>
      <w:r w:rsidRPr="00CD59CC">
        <w:rPr>
          <w:rFonts w:ascii="Arial" w:hAnsi="Arial" w:cs="Arial"/>
        </w:rPr>
        <w:t xml:space="preserve"> </w:t>
      </w:r>
    </w:p>
    <w:p w14:paraId="711EFFA5"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Brief summary: </w:t>
      </w:r>
      <w:r w:rsidRPr="00CD59CC">
        <w:rPr>
          <w:rFonts w:ascii="Arial" w:hAnsi="Arial" w:cs="Arial"/>
        </w:rPr>
        <w:t xml:space="preserve">The complainant turned to the police when he noticed a sign “We don’t serve Roma” posted by the manager of a pub. After the intervention of the police, the sign was removed. The Equal Treatment Authority proceeded against the company operating the pub for violating the principle of equal treatment. The respondent admitted that he had posted that sign, but he also added that it was due to the complainant’s offensive behaviour, which had also been reported to the police. </w:t>
      </w:r>
    </w:p>
    <w:p w14:paraId="4D4251E7" w14:textId="77777777" w:rsidR="00FE7587" w:rsidRPr="00CD59CC" w:rsidRDefault="00FE7587" w:rsidP="00CD59CC">
      <w:pPr>
        <w:pStyle w:val="Szvegtrzs22"/>
        <w:tabs>
          <w:tab w:val="left" w:pos="567"/>
        </w:tabs>
        <w:jc w:val="left"/>
        <w:rPr>
          <w:rFonts w:ascii="Arial" w:hAnsi="Arial" w:cs="Arial"/>
        </w:rPr>
      </w:pPr>
    </w:p>
    <w:p w14:paraId="044CF997"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The Equal Treatment Authority established that the complainant suffered discrimination based on his ethnic origin. It declared that former incidents related to Roma people do not qualify as a justified reason to exclude all Roma persons from the access to goods and services provided by the pub. In this manner the manager of the pub excluded not just certain people from access to goods and services, but he discriminated his guests on the basis of their ethnic origin. The Authority established that the respondent had violated the principle of equal treatment, it banned the continuation of the practice, imposed a fine of HUF 600,000 (EUR 2,000) on the respondent and ordered the publication of the decision for 90 days on its website.</w:t>
      </w:r>
    </w:p>
    <w:p w14:paraId="180FD433" w14:textId="77777777" w:rsidR="00FE7587" w:rsidRPr="00CD59CC" w:rsidRDefault="00FE7587" w:rsidP="00CD59CC">
      <w:pPr>
        <w:pStyle w:val="Szvegtrzs22"/>
        <w:tabs>
          <w:tab w:val="left" w:pos="567"/>
        </w:tabs>
        <w:jc w:val="left"/>
        <w:rPr>
          <w:rFonts w:ascii="Arial" w:hAnsi="Arial" w:cs="Arial"/>
          <w:i/>
        </w:rPr>
      </w:pPr>
    </w:p>
    <w:p w14:paraId="324C60CD"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body:</w:t>
      </w:r>
      <w:r w:rsidRPr="00CD59CC">
        <w:rPr>
          <w:rFonts w:ascii="Arial" w:hAnsi="Arial" w:cs="Arial"/>
        </w:rPr>
        <w:t xml:space="preserve"> Equal Treatment Authority</w:t>
      </w:r>
    </w:p>
    <w:p w14:paraId="372A5BC2"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February 2004</w:t>
      </w:r>
    </w:p>
    <w:p w14:paraId="6F0EFFA9"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Sz-né B.M., M. S-né and M.R. v. B.Q.B. Kft.</w:t>
      </w:r>
    </w:p>
    <w:p w14:paraId="2D72DC99"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Reference number:</w:t>
      </w:r>
      <w:r w:rsidRPr="00CD59CC">
        <w:rPr>
          <w:rFonts w:ascii="Arial" w:hAnsi="Arial" w:cs="Arial"/>
        </w:rPr>
        <w:t xml:space="preserve"> 94/2008</w:t>
      </w:r>
    </w:p>
    <w:p w14:paraId="2A85AA22"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Address of webpage:</w:t>
      </w:r>
      <w:r w:rsidRPr="00CD59CC">
        <w:rPr>
          <w:rFonts w:ascii="Arial" w:hAnsi="Arial" w:cs="Arial"/>
        </w:rPr>
        <w:t xml:space="preserve"> </w:t>
      </w:r>
      <w:hyperlink r:id="rId45" w:history="1">
        <w:r w:rsidRPr="00CD59CC">
          <w:rPr>
            <w:rStyle w:val="Hyperlink"/>
            <w:rFonts w:ascii="Arial" w:hAnsi="Arial" w:cs="Arial"/>
          </w:rPr>
          <w:t>htt</w:t>
        </w:r>
        <w:bookmarkStart w:id="400" w:name="_Hlt391636899"/>
        <w:r w:rsidRPr="00CD59CC">
          <w:rPr>
            <w:rStyle w:val="Hyperlink"/>
            <w:rFonts w:ascii="Arial" w:hAnsi="Arial" w:cs="Arial"/>
          </w:rPr>
          <w:t>p</w:t>
        </w:r>
        <w:bookmarkEnd w:id="400"/>
        <w:r w:rsidRPr="00CD59CC">
          <w:rPr>
            <w:rStyle w:val="Hyperlink"/>
            <w:rFonts w:ascii="Arial" w:hAnsi="Arial" w:cs="Arial"/>
          </w:rPr>
          <w:t>://www.egyenlobanasmod.hu/jogesetek/</w:t>
        </w:r>
        <w:bookmarkStart w:id="401" w:name="_Hlt370197330"/>
        <w:r w:rsidRPr="00CD59CC">
          <w:rPr>
            <w:rStyle w:val="Hyperlink"/>
            <w:rFonts w:ascii="Arial" w:hAnsi="Arial" w:cs="Arial"/>
          </w:rPr>
          <w:t>h</w:t>
        </w:r>
        <w:bookmarkEnd w:id="401"/>
        <w:r w:rsidRPr="00CD59CC">
          <w:rPr>
            <w:rStyle w:val="Hyperlink"/>
            <w:rFonts w:ascii="Arial" w:hAnsi="Arial" w:cs="Arial"/>
          </w:rPr>
          <w:t>u/44-2007.pdf</w:t>
        </w:r>
      </w:hyperlink>
      <w:r w:rsidRPr="00CD59CC">
        <w:rPr>
          <w:rFonts w:ascii="Arial" w:hAnsi="Arial" w:cs="Arial"/>
        </w:rPr>
        <w:t xml:space="preserve"> </w:t>
      </w:r>
    </w:p>
    <w:p w14:paraId="64DC97F1"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Brief summary: </w:t>
      </w:r>
      <w:r w:rsidRPr="00CD59CC">
        <w:rPr>
          <w:rFonts w:ascii="Arial" w:hAnsi="Arial" w:cs="Arial"/>
        </w:rPr>
        <w:t xml:space="preserve">Three complainants were provided with the phone number of an employer by an administrator of a Regional Labour Centre. They called the manager of the corporation, which registered itself in the Centre seeking for cleaning employees. During the call, the manager detailed the working conditions, they have arranged in starting the work next day. </w:t>
      </w:r>
    </w:p>
    <w:p w14:paraId="7DBDDE3A" w14:textId="77777777" w:rsidR="00FE7587" w:rsidRPr="00CD59CC" w:rsidRDefault="00FE7587" w:rsidP="00CD59CC">
      <w:pPr>
        <w:pStyle w:val="Szvegtrzs22"/>
        <w:tabs>
          <w:tab w:val="left" w:pos="567"/>
        </w:tabs>
        <w:jc w:val="left"/>
        <w:rPr>
          <w:rFonts w:ascii="Arial" w:hAnsi="Arial" w:cs="Arial"/>
        </w:rPr>
      </w:pPr>
    </w:p>
    <w:p w14:paraId="78034390"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At the end of the call, when the complainant asked whether their Roma origin was a problem for the employment, the manager hung up the phone. </w:t>
      </w:r>
    </w:p>
    <w:p w14:paraId="3043EC1E" w14:textId="77777777" w:rsidR="00FE7587" w:rsidRPr="00CD59CC" w:rsidRDefault="00FE7587" w:rsidP="00CD59CC">
      <w:pPr>
        <w:pStyle w:val="Szvegtrzs22"/>
        <w:tabs>
          <w:tab w:val="left" w:pos="567"/>
        </w:tabs>
        <w:jc w:val="left"/>
        <w:rPr>
          <w:rFonts w:ascii="Arial" w:hAnsi="Arial" w:cs="Arial"/>
        </w:rPr>
      </w:pPr>
    </w:p>
    <w:p w14:paraId="38C5F7AB"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 xml:space="preserve">Next day the complainants revisited the administrator of the Centre to tell him their case, whereof the administrator called the manager, who admitted that he did not want to employ Romas, because their employees did not like to work with them. Following that, the complainants with their lawyer turned to the Equal Treatment Authority, which launched a procedure against the corporation. The manager denied </w:t>
      </w:r>
      <w:r w:rsidRPr="00CD59CC">
        <w:rPr>
          <w:rFonts w:ascii="Arial" w:hAnsi="Arial" w:cs="Arial"/>
        </w:rPr>
        <w:lastRenderedPageBreak/>
        <w:t>that he had arranged a meeting with the complainants and also added that the vacancies had been already filled with members of his family, when complainants had been applying for the job.</w:t>
      </w:r>
    </w:p>
    <w:p w14:paraId="1DBB1A83" w14:textId="77777777" w:rsidR="00FE7587" w:rsidRPr="00CD59CC" w:rsidRDefault="00FE7587" w:rsidP="00CD59CC">
      <w:pPr>
        <w:pStyle w:val="Szvegtrzs22"/>
        <w:tabs>
          <w:tab w:val="left" w:pos="567"/>
        </w:tabs>
        <w:jc w:val="left"/>
        <w:rPr>
          <w:rFonts w:ascii="Arial" w:hAnsi="Arial" w:cs="Arial"/>
        </w:rPr>
      </w:pPr>
    </w:p>
    <w:p w14:paraId="2DF4E0B1"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rPr>
        <w:t>According to the burden of proof, the complainants proved that they had suffered a disadvantage when they were not employed, and they had a protected characteristic, which was their origin. The Authority stated that the respondent’s arguments were contradictory, he could not prove that the vacancies had been filled before the complainants’ application. The Authority found that the respondent had violated the principle of equal treatment, it banned the continuation of the practice, also imposed a fine of HUF 500,000 (EUR 1,670) and it found necessary to publish its decision for 90 days on the website of the Authority.</w:t>
      </w:r>
    </w:p>
    <w:p w14:paraId="265CBC9F" w14:textId="77777777" w:rsidR="00FE7587" w:rsidRPr="00CD59CC" w:rsidRDefault="00FE7587" w:rsidP="00CD59CC">
      <w:pPr>
        <w:pStyle w:val="BodyText2"/>
        <w:jc w:val="left"/>
        <w:rPr>
          <w:rFonts w:ascii="Arial" w:hAnsi="Arial" w:cs="Arial"/>
        </w:rPr>
      </w:pPr>
    </w:p>
    <w:p w14:paraId="4EBCDCD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body:</w:t>
      </w:r>
      <w:r w:rsidRPr="00CD59CC">
        <w:rPr>
          <w:rFonts w:ascii="Arial" w:hAnsi="Arial" w:cs="Arial"/>
        </w:rPr>
        <w:t xml:space="preserve"> Equal Treatment Authority</w:t>
      </w:r>
    </w:p>
    <w:p w14:paraId="3E708C47"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April 2008</w:t>
      </w:r>
    </w:p>
    <w:p w14:paraId="7EC262C5"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w:t>
      </w:r>
    </w:p>
    <w:p w14:paraId="02541DC0"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72/2008</w:t>
      </w:r>
    </w:p>
    <w:p w14:paraId="7005FDBA"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Address of webpage:</w:t>
      </w:r>
      <w:r w:rsidRPr="00CD59CC">
        <w:rPr>
          <w:rFonts w:ascii="Arial" w:hAnsi="Arial" w:cs="Arial"/>
        </w:rPr>
        <w:t xml:space="preserve"> </w:t>
      </w:r>
      <w:hyperlink r:id="rId46" w:history="1">
        <w:r w:rsidRPr="00CD59CC">
          <w:rPr>
            <w:rStyle w:val="Hyperlink"/>
            <w:rFonts w:ascii="Arial" w:hAnsi="Arial" w:cs="Arial"/>
          </w:rPr>
          <w:t>http://www</w:t>
        </w:r>
        <w:bookmarkStart w:id="402" w:name="_Hlt391636907"/>
        <w:r w:rsidRPr="00CD59CC">
          <w:rPr>
            <w:rStyle w:val="Hyperlink"/>
            <w:rFonts w:ascii="Arial" w:hAnsi="Arial" w:cs="Arial"/>
          </w:rPr>
          <w:t>.</w:t>
        </w:r>
        <w:bookmarkEnd w:id="402"/>
        <w:r w:rsidRPr="00CD59CC">
          <w:rPr>
            <w:rStyle w:val="Hyperlink"/>
            <w:rFonts w:ascii="Arial" w:hAnsi="Arial" w:cs="Arial"/>
          </w:rPr>
          <w:t>egyenloba</w:t>
        </w:r>
        <w:bookmarkStart w:id="403" w:name="_Hlt369779211"/>
        <w:r w:rsidRPr="00CD59CC">
          <w:rPr>
            <w:rStyle w:val="Hyperlink"/>
            <w:rFonts w:ascii="Arial" w:hAnsi="Arial" w:cs="Arial"/>
          </w:rPr>
          <w:t>n</w:t>
        </w:r>
        <w:bookmarkEnd w:id="403"/>
        <w:r w:rsidRPr="00CD59CC">
          <w:rPr>
            <w:rStyle w:val="Hyperlink"/>
            <w:rFonts w:ascii="Arial" w:hAnsi="Arial" w:cs="Arial"/>
          </w:rPr>
          <w:t>asmod.hu</w:t>
        </w:r>
        <w:bookmarkStart w:id="404" w:name="_Hlt370197332"/>
        <w:r w:rsidRPr="00CD59CC">
          <w:rPr>
            <w:rStyle w:val="Hyperlink"/>
            <w:rFonts w:ascii="Arial" w:hAnsi="Arial" w:cs="Arial"/>
          </w:rPr>
          <w:t>/</w:t>
        </w:r>
        <w:bookmarkEnd w:id="404"/>
        <w:r w:rsidRPr="00CD59CC">
          <w:rPr>
            <w:rStyle w:val="Hyperlink"/>
            <w:rFonts w:ascii="Arial" w:hAnsi="Arial" w:cs="Arial"/>
          </w:rPr>
          <w:t>jogesetek/hu/72-2008.pdf</w:t>
        </w:r>
      </w:hyperlink>
      <w:r w:rsidRPr="00CD59CC">
        <w:rPr>
          <w:rFonts w:ascii="Arial" w:hAnsi="Arial" w:cs="Arial"/>
        </w:rPr>
        <w:t xml:space="preserve"> </w:t>
      </w:r>
    </w:p>
    <w:p w14:paraId="30E3C481" w14:textId="3E296689" w:rsidR="00FE7587" w:rsidRPr="00CD59CC" w:rsidRDefault="00FE7587" w:rsidP="00CD59CC">
      <w:pPr>
        <w:pStyle w:val="BodyText2"/>
        <w:jc w:val="left"/>
        <w:rPr>
          <w:rFonts w:ascii="Arial" w:hAnsi="Arial" w:cs="Arial"/>
        </w:rPr>
      </w:pPr>
      <w:r w:rsidRPr="00CD59CC">
        <w:rPr>
          <w:rFonts w:ascii="Arial" w:hAnsi="Arial" w:cs="Arial"/>
          <w:b/>
        </w:rPr>
        <w:t xml:space="preserve">Brief summary: </w:t>
      </w:r>
      <w:r w:rsidRPr="00CD59CC">
        <w:rPr>
          <w:rFonts w:ascii="Arial" w:hAnsi="Arial" w:cs="Arial"/>
        </w:rPr>
        <w:t>The applicants stated that they had been regularly charged a higher price than other customers in a bar because of their Roma origin, and – one of the applicants –</w:t>
      </w:r>
      <w:r w:rsidR="007B7640" w:rsidRPr="00CD59CC">
        <w:rPr>
          <w:rFonts w:ascii="Arial" w:hAnsi="Arial" w:cs="Arial"/>
        </w:rPr>
        <w:t xml:space="preserve"> </w:t>
      </w:r>
      <w:r w:rsidRPr="00CD59CC">
        <w:rPr>
          <w:rFonts w:ascii="Arial" w:hAnsi="Arial" w:cs="Arial"/>
        </w:rPr>
        <w:t xml:space="preserve">because she shared an apartment with her Roma friend. In the latter case, the applicant stated that she was overcharged only after it had become known where she resided. The manager of the bar argued that they had started to issue regular customers’ cards, and that is the reason for the different prices. He also stated that they had issued such cards to several Roma customers as well. The manager claimed that the applicants had not been provided with cards because they were problematic guests: once even the police had to be called with regard to an incident involving one of them. The National Consumer Protection Authority carried out a test purchase at the bar, and the non-Roma tester had to pay half of the sum indicated on the price list and a regular customers' card was issued for her, although this was the first occasion she had ever visited the bar. </w:t>
      </w:r>
    </w:p>
    <w:p w14:paraId="2CF6640D" w14:textId="77777777" w:rsidR="00FE7587" w:rsidRPr="00CD59CC" w:rsidRDefault="00FE7587" w:rsidP="00CD59CC">
      <w:pPr>
        <w:pStyle w:val="BodyText2"/>
        <w:jc w:val="left"/>
        <w:rPr>
          <w:rFonts w:ascii="Arial" w:hAnsi="Arial" w:cs="Arial"/>
        </w:rPr>
      </w:pPr>
    </w:p>
    <w:p w14:paraId="036922BD" w14:textId="77777777" w:rsidR="00FE7587" w:rsidRPr="00CD59CC" w:rsidRDefault="00FE7587" w:rsidP="00CD59CC">
      <w:pPr>
        <w:pStyle w:val="BodyText2"/>
        <w:jc w:val="left"/>
        <w:rPr>
          <w:rFonts w:ascii="Arial" w:hAnsi="Arial" w:cs="Arial"/>
        </w:rPr>
      </w:pPr>
      <w:r w:rsidRPr="00CD59CC">
        <w:rPr>
          <w:rFonts w:ascii="Arial" w:hAnsi="Arial" w:cs="Arial"/>
        </w:rPr>
        <w:t>The Authority established that the bar did not have any internal regulation concerning the regular customers' cards, the cards were issued on an ad hoc basis, taking into account different, mostly arbitrary aspects.</w:t>
      </w:r>
    </w:p>
    <w:p w14:paraId="7366623B" w14:textId="77777777" w:rsidR="00FE7587" w:rsidRPr="00CD59CC" w:rsidRDefault="00FE7587" w:rsidP="00CD59CC">
      <w:pPr>
        <w:pStyle w:val="BodyText2"/>
        <w:jc w:val="left"/>
        <w:rPr>
          <w:rFonts w:ascii="Arial" w:hAnsi="Arial" w:cs="Arial"/>
        </w:rPr>
      </w:pPr>
    </w:p>
    <w:p w14:paraId="39D36CC4" w14:textId="77777777" w:rsidR="00FE7587" w:rsidRPr="00CD59CC" w:rsidRDefault="00FE7587" w:rsidP="00CD59CC">
      <w:pPr>
        <w:pStyle w:val="BodyText2"/>
        <w:jc w:val="left"/>
        <w:rPr>
          <w:rFonts w:ascii="Arial" w:hAnsi="Arial" w:cs="Arial"/>
        </w:rPr>
      </w:pPr>
      <w:r w:rsidRPr="00CD59CC">
        <w:rPr>
          <w:rFonts w:ascii="Arial" w:hAnsi="Arial" w:cs="Arial"/>
        </w:rPr>
        <w:t>The Authority established direct discrimination on the grounds of ethnic origin and the ground “other characteristic” (association with a Roma person). The Authority banned the continuation of the violation, ordered the publication of the decision, and imposed a fine of HUF 1 million (EUR 3,330) on the bar.</w:t>
      </w:r>
    </w:p>
    <w:p w14:paraId="7F007470" w14:textId="77777777" w:rsidR="00FE7587" w:rsidRPr="00CD59CC" w:rsidRDefault="00FE7587" w:rsidP="00CD59CC">
      <w:pPr>
        <w:pStyle w:val="BodyText2"/>
        <w:jc w:val="left"/>
        <w:rPr>
          <w:rFonts w:ascii="Arial" w:hAnsi="Arial" w:cs="Arial"/>
        </w:rPr>
      </w:pPr>
    </w:p>
    <w:p w14:paraId="0E545AF0"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Name of the body: </w:t>
      </w:r>
      <w:r w:rsidRPr="00CD59CC">
        <w:rPr>
          <w:rFonts w:ascii="Arial" w:hAnsi="Arial" w:cs="Arial"/>
        </w:rPr>
        <w:t>Equal Treatment Authority</w:t>
      </w:r>
    </w:p>
    <w:p w14:paraId="553162A8"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w:t>
      </w:r>
    </w:p>
    <w:p w14:paraId="62A2AD15"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w:t>
      </w:r>
    </w:p>
    <w:p w14:paraId="15D6E79B"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1003/2008</w:t>
      </w:r>
    </w:p>
    <w:p w14:paraId="707FEB2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Address of webpage:</w:t>
      </w:r>
      <w:r w:rsidRPr="00CD59CC">
        <w:rPr>
          <w:rFonts w:ascii="Arial" w:hAnsi="Arial" w:cs="Arial"/>
        </w:rPr>
        <w:t xml:space="preserve"> </w:t>
      </w:r>
      <w:hyperlink r:id="rId47" w:history="1">
        <w:r w:rsidRPr="00CD59CC">
          <w:rPr>
            <w:rStyle w:val="Hyperlink"/>
            <w:rFonts w:ascii="Arial" w:hAnsi="Arial" w:cs="Arial"/>
          </w:rPr>
          <w:t>http://www.eg</w:t>
        </w:r>
        <w:bookmarkStart w:id="405" w:name="_Hlt391636909"/>
        <w:r w:rsidRPr="00CD59CC">
          <w:rPr>
            <w:rStyle w:val="Hyperlink"/>
            <w:rFonts w:ascii="Arial" w:hAnsi="Arial" w:cs="Arial"/>
          </w:rPr>
          <w:t>y</w:t>
        </w:r>
        <w:bookmarkEnd w:id="405"/>
        <w:r w:rsidRPr="00CD59CC">
          <w:rPr>
            <w:rStyle w:val="Hyperlink"/>
            <w:rFonts w:ascii="Arial" w:hAnsi="Arial" w:cs="Arial"/>
          </w:rPr>
          <w:t>enlobanas</w:t>
        </w:r>
        <w:bookmarkStart w:id="406" w:name="_Hlt370197341"/>
        <w:r w:rsidRPr="00CD59CC">
          <w:rPr>
            <w:rStyle w:val="Hyperlink"/>
            <w:rFonts w:ascii="Arial" w:hAnsi="Arial" w:cs="Arial"/>
          </w:rPr>
          <w:t>m</w:t>
        </w:r>
        <w:bookmarkStart w:id="407" w:name="_Hlt369779241"/>
        <w:bookmarkEnd w:id="406"/>
        <w:r w:rsidRPr="00CD59CC">
          <w:rPr>
            <w:rStyle w:val="Hyperlink"/>
            <w:rFonts w:ascii="Arial" w:hAnsi="Arial" w:cs="Arial"/>
          </w:rPr>
          <w:t>o</w:t>
        </w:r>
        <w:bookmarkEnd w:id="407"/>
        <w:r w:rsidRPr="00CD59CC">
          <w:rPr>
            <w:rStyle w:val="Hyperlink"/>
            <w:rFonts w:ascii="Arial" w:hAnsi="Arial" w:cs="Arial"/>
          </w:rPr>
          <w:t>d.hu/jogesetek/hu/1003-2008.pdf</w:t>
        </w:r>
      </w:hyperlink>
      <w:r w:rsidRPr="00CD59CC">
        <w:rPr>
          <w:rFonts w:ascii="Arial" w:hAnsi="Arial" w:cs="Arial"/>
        </w:rPr>
        <w:t xml:space="preserve"> </w:t>
      </w:r>
    </w:p>
    <w:p w14:paraId="766CA901" w14:textId="77777777" w:rsidR="00FE7587" w:rsidRPr="00CD59CC" w:rsidRDefault="00FE7587" w:rsidP="00CD59CC">
      <w:pPr>
        <w:pStyle w:val="BodyText2"/>
        <w:jc w:val="left"/>
        <w:rPr>
          <w:rFonts w:ascii="Arial" w:hAnsi="Arial" w:cs="Arial"/>
        </w:rPr>
      </w:pPr>
      <w:r w:rsidRPr="00CD59CC">
        <w:rPr>
          <w:rFonts w:ascii="Arial" w:hAnsi="Arial" w:cs="Arial"/>
          <w:b/>
        </w:rPr>
        <w:lastRenderedPageBreak/>
        <w:t xml:space="preserve">Brief summary: </w:t>
      </w:r>
      <w:r w:rsidRPr="00CD59CC">
        <w:rPr>
          <w:rFonts w:ascii="Arial" w:hAnsi="Arial" w:cs="Arial"/>
        </w:rPr>
        <w:t>The complainant applied for a job as maintainer at a hypermarket. After submitting his curriculum vitae, he was called in to write a test, and based on the test result he was invited to a personal interview. He claimed that he was told only after the one-hour long interview that the vacancy had already been filled in. The complainant assumed that he did not get the job because he was more than 50 years old. The company submitted statistics about the age of the maintainers employed by the hypermarket and the contracts of the two persons who finally were employed for the advertised job. The company thus proved that 3 out of 4 maintainers at the hypermarket were over 50, and nationally, 16 out of 50 maintainers employed by the chain were older than 50 years. The respondent admitted that the complainant had not been told at the beginning of the interview that the vacancy had already been filled, but claimed that the complainant's age played no role in the fact that he did not get the job.</w:t>
      </w:r>
    </w:p>
    <w:p w14:paraId="419C7EFA" w14:textId="77777777" w:rsidR="00FE7587" w:rsidRPr="00CD59CC" w:rsidRDefault="00FE7587" w:rsidP="00CD59CC">
      <w:pPr>
        <w:pStyle w:val="BodyText2"/>
        <w:jc w:val="left"/>
        <w:rPr>
          <w:rFonts w:ascii="Arial" w:hAnsi="Arial" w:cs="Arial"/>
        </w:rPr>
      </w:pPr>
    </w:p>
    <w:p w14:paraId="2BC02127" w14:textId="77777777" w:rsidR="00FE7587" w:rsidRPr="00CD59CC" w:rsidRDefault="00FE7587" w:rsidP="00CD59CC">
      <w:pPr>
        <w:pStyle w:val="BodyText2"/>
        <w:jc w:val="left"/>
        <w:rPr>
          <w:rFonts w:ascii="Arial" w:hAnsi="Arial" w:cs="Arial"/>
        </w:rPr>
      </w:pPr>
      <w:r w:rsidRPr="00CD59CC">
        <w:rPr>
          <w:rFonts w:ascii="Arial" w:hAnsi="Arial" w:cs="Arial"/>
        </w:rPr>
        <w:t>The Authority dismissed the claim due to the fact that by submitting the related statistics, the respondent successfully refuted the casual link between the complainant’s protected characteristic (age) and the disadvantage he suffered.</w:t>
      </w:r>
    </w:p>
    <w:p w14:paraId="04C490F7" w14:textId="77777777" w:rsidR="00FE7587" w:rsidRPr="00CD59CC" w:rsidRDefault="00FE7587" w:rsidP="00CD59CC">
      <w:pPr>
        <w:pStyle w:val="BodyText2"/>
        <w:jc w:val="left"/>
        <w:rPr>
          <w:rFonts w:ascii="Arial" w:hAnsi="Arial" w:cs="Arial"/>
        </w:rPr>
      </w:pPr>
    </w:p>
    <w:p w14:paraId="03FA054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body:</w:t>
      </w:r>
      <w:r w:rsidRPr="00CD59CC">
        <w:rPr>
          <w:rFonts w:ascii="Arial" w:hAnsi="Arial" w:cs="Arial"/>
        </w:rPr>
        <w:t xml:space="preserve"> Equal Treatment Authority</w:t>
      </w:r>
    </w:p>
    <w:p w14:paraId="29A8914A"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w:t>
      </w:r>
    </w:p>
    <w:p w14:paraId="42DA955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w:t>
      </w:r>
    </w:p>
    <w:p w14:paraId="569FA25D"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588/2008</w:t>
      </w:r>
    </w:p>
    <w:p w14:paraId="4524A460"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Address of webpage:</w:t>
      </w:r>
      <w:r w:rsidRPr="00CD59CC">
        <w:rPr>
          <w:rFonts w:ascii="Arial" w:hAnsi="Arial" w:cs="Arial"/>
        </w:rPr>
        <w:t xml:space="preserve"> </w:t>
      </w:r>
      <w:hyperlink r:id="rId48" w:history="1">
        <w:r w:rsidRPr="00CD59CC">
          <w:rPr>
            <w:rStyle w:val="Hyperlink"/>
            <w:rFonts w:ascii="Arial" w:hAnsi="Arial" w:cs="Arial"/>
          </w:rPr>
          <w:t>www.egyen</w:t>
        </w:r>
        <w:bookmarkStart w:id="408" w:name="_Hlt391636927"/>
        <w:r w:rsidRPr="00CD59CC">
          <w:rPr>
            <w:rStyle w:val="Hyperlink"/>
            <w:rFonts w:ascii="Arial" w:hAnsi="Arial" w:cs="Arial"/>
          </w:rPr>
          <w:t>l</w:t>
        </w:r>
        <w:bookmarkEnd w:id="408"/>
        <w:r w:rsidRPr="00CD59CC">
          <w:rPr>
            <w:rStyle w:val="Hyperlink"/>
            <w:rFonts w:ascii="Arial" w:hAnsi="Arial" w:cs="Arial"/>
          </w:rPr>
          <w:t>obanasmod.hu/joge</w:t>
        </w:r>
        <w:bookmarkStart w:id="409" w:name="_Hlt369779275"/>
        <w:r w:rsidRPr="00CD59CC">
          <w:rPr>
            <w:rStyle w:val="Hyperlink"/>
            <w:rFonts w:ascii="Arial" w:hAnsi="Arial" w:cs="Arial"/>
          </w:rPr>
          <w:t>s</w:t>
        </w:r>
        <w:bookmarkEnd w:id="409"/>
        <w:r w:rsidRPr="00CD59CC">
          <w:rPr>
            <w:rStyle w:val="Hyperlink"/>
            <w:rFonts w:ascii="Arial" w:hAnsi="Arial" w:cs="Arial"/>
          </w:rPr>
          <w:t>etek/hu/58</w:t>
        </w:r>
        <w:bookmarkStart w:id="410" w:name="_Hlt370197343"/>
        <w:r w:rsidRPr="00CD59CC">
          <w:rPr>
            <w:rStyle w:val="Hyperlink"/>
            <w:rFonts w:ascii="Arial" w:hAnsi="Arial" w:cs="Arial"/>
          </w:rPr>
          <w:t>8</w:t>
        </w:r>
        <w:bookmarkEnd w:id="410"/>
        <w:r w:rsidRPr="00CD59CC">
          <w:rPr>
            <w:rStyle w:val="Hyperlink"/>
            <w:rFonts w:ascii="Arial" w:hAnsi="Arial" w:cs="Arial"/>
          </w:rPr>
          <w:t>-2008.pdf</w:t>
        </w:r>
      </w:hyperlink>
      <w:r w:rsidRPr="00CD59CC">
        <w:rPr>
          <w:rFonts w:ascii="Arial" w:hAnsi="Arial" w:cs="Arial"/>
        </w:rPr>
        <w:t xml:space="preserve"> </w:t>
      </w:r>
    </w:p>
    <w:p w14:paraId="29C2C181" w14:textId="77777777" w:rsidR="00FE7587" w:rsidRPr="00CD59CC" w:rsidRDefault="00FE7587" w:rsidP="00CD59CC">
      <w:pPr>
        <w:pStyle w:val="BodyText2"/>
        <w:jc w:val="left"/>
        <w:rPr>
          <w:rFonts w:ascii="Arial" w:hAnsi="Arial" w:cs="Arial"/>
        </w:rPr>
      </w:pPr>
      <w:r w:rsidRPr="00CD59CC">
        <w:rPr>
          <w:rFonts w:ascii="Arial" w:hAnsi="Arial" w:cs="Arial"/>
          <w:b/>
        </w:rPr>
        <w:t xml:space="preserve">Brief summary: </w:t>
      </w:r>
      <w:r w:rsidRPr="00CD59CC">
        <w:rPr>
          <w:rFonts w:ascii="Arial" w:hAnsi="Arial" w:cs="Arial"/>
        </w:rPr>
        <w:t xml:space="preserve">The applicant stated that the principle of equal treatment was violated when a financial institution refused to issue a credit card for him because he was 68 years old, even though he was creditable with regard to his income and his financial situation. </w:t>
      </w:r>
    </w:p>
    <w:p w14:paraId="2F864868" w14:textId="77777777" w:rsidR="00FE7587" w:rsidRPr="00CD59CC" w:rsidRDefault="00FE7587" w:rsidP="00CD59CC">
      <w:pPr>
        <w:pStyle w:val="BodyText2"/>
        <w:jc w:val="left"/>
        <w:rPr>
          <w:rFonts w:ascii="Arial" w:hAnsi="Arial" w:cs="Arial"/>
        </w:rPr>
      </w:pPr>
    </w:p>
    <w:p w14:paraId="4D948FC1" w14:textId="77777777" w:rsidR="00FE7587" w:rsidRPr="00CD59CC" w:rsidRDefault="00FE7587" w:rsidP="00CD59CC">
      <w:pPr>
        <w:pStyle w:val="BodyText2"/>
        <w:jc w:val="left"/>
        <w:rPr>
          <w:rFonts w:ascii="Arial" w:hAnsi="Arial" w:cs="Arial"/>
        </w:rPr>
      </w:pPr>
      <w:r w:rsidRPr="00CD59CC">
        <w:rPr>
          <w:rFonts w:ascii="Arial" w:hAnsi="Arial" w:cs="Arial"/>
        </w:rPr>
        <w:t>The respondent admitted that it refused to issue a credit card because of the age of the applicant, but pointed out that in the meantime its credit conditions had been changed in this regard, in accordance with the recommendations of the National Financial Supervisory Authority. However, the respondent argued that the former credit conditions, excluding clients over a certain age, did not violate the principle of equal treatment, they were simply aimed at the elimination of ‘natural risks’.</w:t>
      </w:r>
    </w:p>
    <w:p w14:paraId="575BAE03" w14:textId="77777777" w:rsidR="00FE7587" w:rsidRPr="00CD59CC" w:rsidRDefault="00FE7587" w:rsidP="00CD59CC">
      <w:pPr>
        <w:pStyle w:val="BodyText2"/>
        <w:jc w:val="left"/>
        <w:rPr>
          <w:rFonts w:ascii="Arial" w:hAnsi="Arial" w:cs="Arial"/>
        </w:rPr>
      </w:pPr>
    </w:p>
    <w:p w14:paraId="732F8D31" w14:textId="77777777" w:rsidR="00FE7587" w:rsidRPr="00CD59CC" w:rsidRDefault="00FE7587" w:rsidP="00CD59CC">
      <w:pPr>
        <w:pStyle w:val="BodyText2"/>
        <w:jc w:val="left"/>
        <w:rPr>
          <w:rFonts w:ascii="Arial" w:hAnsi="Arial" w:cs="Arial"/>
        </w:rPr>
      </w:pPr>
      <w:r w:rsidRPr="00CD59CC">
        <w:rPr>
          <w:rFonts w:ascii="Arial" w:hAnsi="Arial" w:cs="Arial"/>
        </w:rPr>
        <w:t>The Equal Treatment Authority established that the respondent violated the principle of equal treatment when refusing to issue a credit card solely on the ground of the age of the applicant. The authority banned the continuation of the violation, ordered the publication of its decision, and imposed a fine of HUF 2 million EUR 6,660).</w:t>
      </w:r>
    </w:p>
    <w:p w14:paraId="0248846B" w14:textId="77777777" w:rsidR="00FE7587" w:rsidRPr="00CD59CC" w:rsidRDefault="00FE7587" w:rsidP="00CD59CC">
      <w:pPr>
        <w:pStyle w:val="BodyText2"/>
        <w:jc w:val="left"/>
        <w:rPr>
          <w:rFonts w:ascii="Arial" w:hAnsi="Arial" w:cs="Arial"/>
        </w:rPr>
      </w:pPr>
    </w:p>
    <w:p w14:paraId="0A6885E7"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body:</w:t>
      </w:r>
      <w:r w:rsidRPr="00CD59CC">
        <w:rPr>
          <w:rFonts w:ascii="Arial" w:hAnsi="Arial" w:cs="Arial"/>
        </w:rPr>
        <w:t xml:space="preserve"> Equal Treatment Authority</w:t>
      </w:r>
    </w:p>
    <w:p w14:paraId="66E5B772"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w:t>
      </w:r>
    </w:p>
    <w:p w14:paraId="15BB8A07"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w:t>
      </w:r>
    </w:p>
    <w:p w14:paraId="56AADA7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1054/2009</w:t>
      </w:r>
    </w:p>
    <w:p w14:paraId="738B588C"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Address of webpage:</w:t>
      </w:r>
      <w:r w:rsidRPr="00CD59CC">
        <w:rPr>
          <w:rFonts w:ascii="Arial" w:hAnsi="Arial" w:cs="Arial"/>
        </w:rPr>
        <w:t xml:space="preserve"> </w:t>
      </w:r>
      <w:hyperlink r:id="rId49" w:history="1">
        <w:r w:rsidRPr="00CD59CC">
          <w:rPr>
            <w:rStyle w:val="Hyperlink"/>
            <w:rFonts w:ascii="Arial" w:hAnsi="Arial" w:cs="Arial"/>
          </w:rPr>
          <w:t>http://w</w:t>
        </w:r>
        <w:bookmarkStart w:id="411" w:name="_Hlt391636932"/>
        <w:r w:rsidRPr="00CD59CC">
          <w:rPr>
            <w:rStyle w:val="Hyperlink"/>
            <w:rFonts w:ascii="Arial" w:hAnsi="Arial" w:cs="Arial"/>
          </w:rPr>
          <w:t>w</w:t>
        </w:r>
        <w:bookmarkEnd w:id="411"/>
        <w:r w:rsidRPr="00CD59CC">
          <w:rPr>
            <w:rStyle w:val="Hyperlink"/>
            <w:rFonts w:ascii="Arial" w:hAnsi="Arial" w:cs="Arial"/>
          </w:rPr>
          <w:t>w.egyenloba</w:t>
        </w:r>
        <w:bookmarkStart w:id="412" w:name="_Hlt369779300"/>
        <w:r w:rsidRPr="00CD59CC">
          <w:rPr>
            <w:rStyle w:val="Hyperlink"/>
            <w:rFonts w:ascii="Arial" w:hAnsi="Arial" w:cs="Arial"/>
          </w:rPr>
          <w:t>n</w:t>
        </w:r>
        <w:bookmarkEnd w:id="412"/>
        <w:r w:rsidRPr="00CD59CC">
          <w:rPr>
            <w:rStyle w:val="Hyperlink"/>
            <w:rFonts w:ascii="Arial" w:hAnsi="Arial" w:cs="Arial"/>
          </w:rPr>
          <w:t>asmod.hu/jo</w:t>
        </w:r>
        <w:bookmarkStart w:id="413" w:name="_Hlt370197346"/>
        <w:r w:rsidRPr="00CD59CC">
          <w:rPr>
            <w:rStyle w:val="Hyperlink"/>
            <w:rFonts w:ascii="Arial" w:hAnsi="Arial" w:cs="Arial"/>
          </w:rPr>
          <w:t>g</w:t>
        </w:r>
        <w:bookmarkEnd w:id="413"/>
        <w:r w:rsidRPr="00CD59CC">
          <w:rPr>
            <w:rStyle w:val="Hyperlink"/>
            <w:rFonts w:ascii="Arial" w:hAnsi="Arial" w:cs="Arial"/>
          </w:rPr>
          <w:t>esetek/hu/1054-2009.pdf</w:t>
        </w:r>
      </w:hyperlink>
      <w:r w:rsidRPr="00CD59CC">
        <w:rPr>
          <w:rFonts w:ascii="Arial" w:hAnsi="Arial" w:cs="Arial"/>
        </w:rPr>
        <w:t xml:space="preserve"> </w:t>
      </w:r>
    </w:p>
    <w:p w14:paraId="43D0ECD8" w14:textId="77777777" w:rsidR="00FE7587" w:rsidRPr="00CD59CC" w:rsidRDefault="00FE7587" w:rsidP="00CD59CC">
      <w:pPr>
        <w:pStyle w:val="BodyText2"/>
        <w:jc w:val="left"/>
        <w:rPr>
          <w:rFonts w:ascii="Arial" w:hAnsi="Arial" w:cs="Arial"/>
        </w:rPr>
      </w:pPr>
      <w:r w:rsidRPr="00CD59CC">
        <w:rPr>
          <w:rFonts w:ascii="Arial" w:hAnsi="Arial" w:cs="Arial"/>
          <w:b/>
        </w:rPr>
        <w:lastRenderedPageBreak/>
        <w:t xml:space="preserve">Brief summary: </w:t>
      </w:r>
      <w:r w:rsidRPr="00CD59CC">
        <w:rPr>
          <w:rFonts w:ascii="Arial" w:hAnsi="Arial" w:cs="Arial"/>
        </w:rPr>
        <w:t xml:space="preserve">A human rights NGO initiated an actio popularis case before the Equal Treatment Authority against a bar seeking a young female bartender in a newspaper advertisement. The owner of the bar tried to exempt the differentiation by claiming that they wished to employ a young person because the job requires significant physical endurance, and a woman because guests are more willing to frequent a place if they are received by a nice and kind person. The Authority established that the principle of equal treatment had been violated, and ordered that the decision establishing the fact of violation be made public. In the decision the Authority refused to accept either gender or age as genuine and determining occupational requirements for the job of a bartender. </w:t>
      </w:r>
    </w:p>
    <w:p w14:paraId="411AE938" w14:textId="77777777" w:rsidR="00FE7587" w:rsidRPr="00CD59CC" w:rsidRDefault="00FE7587" w:rsidP="00CD59CC">
      <w:pPr>
        <w:pStyle w:val="BodyText2"/>
        <w:jc w:val="left"/>
        <w:rPr>
          <w:rFonts w:ascii="Arial" w:hAnsi="Arial" w:cs="Arial"/>
        </w:rPr>
      </w:pPr>
    </w:p>
    <w:p w14:paraId="4071DF83"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body:</w:t>
      </w:r>
      <w:r w:rsidRPr="00CD59CC">
        <w:rPr>
          <w:rFonts w:ascii="Arial" w:hAnsi="Arial" w:cs="Arial"/>
        </w:rPr>
        <w:t xml:space="preserve"> Equal Treatment Authority</w:t>
      </w:r>
    </w:p>
    <w:p w14:paraId="6B987A15"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w:t>
      </w:r>
    </w:p>
    <w:p w14:paraId="53905B22"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w:t>
      </w:r>
    </w:p>
    <w:p w14:paraId="64050995"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234/2009</w:t>
      </w:r>
    </w:p>
    <w:p w14:paraId="304D77FD"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Address of webpage:</w:t>
      </w:r>
      <w:r w:rsidRPr="00CD59CC">
        <w:rPr>
          <w:rFonts w:ascii="Arial" w:hAnsi="Arial" w:cs="Arial"/>
        </w:rPr>
        <w:t xml:space="preserve"> </w:t>
      </w:r>
      <w:hyperlink r:id="rId50" w:history="1">
        <w:r w:rsidRPr="00CD59CC">
          <w:rPr>
            <w:rStyle w:val="Hyperlink"/>
            <w:rFonts w:ascii="Arial" w:hAnsi="Arial" w:cs="Arial"/>
          </w:rPr>
          <w:t>htt</w:t>
        </w:r>
        <w:bookmarkStart w:id="414" w:name="_Hlt391636935"/>
        <w:r w:rsidRPr="00CD59CC">
          <w:rPr>
            <w:rStyle w:val="Hyperlink"/>
            <w:rFonts w:ascii="Arial" w:hAnsi="Arial" w:cs="Arial"/>
          </w:rPr>
          <w:t>p</w:t>
        </w:r>
        <w:bookmarkEnd w:id="414"/>
        <w:r w:rsidRPr="00CD59CC">
          <w:rPr>
            <w:rStyle w:val="Hyperlink"/>
            <w:rFonts w:ascii="Arial" w:hAnsi="Arial" w:cs="Arial"/>
          </w:rPr>
          <w:t>://www.egyenl</w:t>
        </w:r>
        <w:bookmarkStart w:id="415" w:name="_Hlt369779335"/>
        <w:r w:rsidRPr="00CD59CC">
          <w:rPr>
            <w:rStyle w:val="Hyperlink"/>
            <w:rFonts w:ascii="Arial" w:hAnsi="Arial" w:cs="Arial"/>
          </w:rPr>
          <w:t>o</w:t>
        </w:r>
        <w:bookmarkEnd w:id="415"/>
        <w:r w:rsidRPr="00CD59CC">
          <w:rPr>
            <w:rStyle w:val="Hyperlink"/>
            <w:rFonts w:ascii="Arial" w:hAnsi="Arial" w:cs="Arial"/>
          </w:rPr>
          <w:t>banasmod.hu/jogesete</w:t>
        </w:r>
        <w:bookmarkStart w:id="416" w:name="_Hlt370197349"/>
        <w:r w:rsidRPr="00CD59CC">
          <w:rPr>
            <w:rStyle w:val="Hyperlink"/>
            <w:rFonts w:ascii="Arial" w:hAnsi="Arial" w:cs="Arial"/>
          </w:rPr>
          <w:t>k</w:t>
        </w:r>
        <w:bookmarkEnd w:id="416"/>
        <w:r w:rsidRPr="00CD59CC">
          <w:rPr>
            <w:rStyle w:val="Hyperlink"/>
            <w:rFonts w:ascii="Arial" w:hAnsi="Arial" w:cs="Arial"/>
          </w:rPr>
          <w:t>/hu/234-2009.pdf</w:t>
        </w:r>
      </w:hyperlink>
      <w:r w:rsidRPr="00CD59CC">
        <w:rPr>
          <w:rFonts w:ascii="Arial" w:hAnsi="Arial" w:cs="Arial"/>
        </w:rPr>
        <w:t xml:space="preserve"> </w:t>
      </w:r>
    </w:p>
    <w:p w14:paraId="2700FD1A" w14:textId="77777777" w:rsidR="00FE7587" w:rsidRPr="00CD59CC" w:rsidRDefault="00FE7587" w:rsidP="00CD59CC">
      <w:pPr>
        <w:pStyle w:val="BodyText2"/>
        <w:jc w:val="left"/>
        <w:rPr>
          <w:rFonts w:ascii="Arial" w:hAnsi="Arial" w:cs="Arial"/>
        </w:rPr>
      </w:pPr>
      <w:r w:rsidRPr="00CD59CC">
        <w:rPr>
          <w:rFonts w:ascii="Arial" w:hAnsi="Arial" w:cs="Arial"/>
          <w:b/>
        </w:rPr>
        <w:t xml:space="preserve">Brief summary: </w:t>
      </w:r>
      <w:r w:rsidRPr="00CD59CC">
        <w:rPr>
          <w:rFonts w:ascii="Arial" w:hAnsi="Arial" w:cs="Arial"/>
        </w:rPr>
        <w:t xml:space="preserve">The applicant, who was working as an accountant in a forestry company, alleged that after his retirement in 2002 in the framework of an early retirement scheme, the company continued to employ him on an unfixed-term contract, but he received a lower salary than other accountants employed by the same company, because as opposed to the other accountants, his salary was not reviewed annually, so after a certain time it was significantly less than the other accountants’ salary. Shortly after he made a complaint about the issue in December 2007, he was dismissed as of 31 March 2008. </w:t>
      </w:r>
    </w:p>
    <w:p w14:paraId="6BFAA044" w14:textId="77777777" w:rsidR="00FE7587" w:rsidRPr="00CD59CC" w:rsidRDefault="00FE7587" w:rsidP="00CD59CC">
      <w:pPr>
        <w:pStyle w:val="BodyText2"/>
        <w:jc w:val="left"/>
        <w:rPr>
          <w:rFonts w:ascii="Arial" w:hAnsi="Arial" w:cs="Arial"/>
        </w:rPr>
      </w:pPr>
    </w:p>
    <w:p w14:paraId="08E33808" w14:textId="77777777" w:rsidR="00FE7587" w:rsidRPr="00CD59CC" w:rsidRDefault="00FE7587" w:rsidP="00CD59CC">
      <w:pPr>
        <w:pStyle w:val="BodyText2"/>
        <w:jc w:val="left"/>
        <w:rPr>
          <w:rFonts w:ascii="Arial" w:hAnsi="Arial" w:cs="Arial"/>
        </w:rPr>
      </w:pPr>
      <w:r w:rsidRPr="00CD59CC">
        <w:rPr>
          <w:rFonts w:ascii="Arial" w:hAnsi="Arial" w:cs="Arial"/>
        </w:rPr>
        <w:t>The respondent argued that the applicant in fact did not perform some tasks that were listed in his job description, so his work could not be considered as equal to the other accountants’ work, consequently the difference between the salary of the applicant and the other accountants was justified. The Equal Treatment Authority found that the applicant’s tasks had not changed after his retirement, and although he continued to perform the same duties after he became a pensioner, a gap in the salaries evolved due to the fact that he was not granted the annual increase his colleagues were. Therefore, the Equal Treatment Authority – which did not look into the issue of possible victimization – established the violation of the principle of equal treatment, ordered the respondent to refrain from the violation in the future, ordered the publication of its decision and imposed a fine of HUF 500,000 (EUR 1,670) on the company. It needs to be noted that the Authority does not have the competence to order the reinstatement of the applicant. In the Hungarian system, only labour courts are auth</w:t>
      </w:r>
      <w:r w:rsidR="00FC01BB">
        <w:rPr>
          <w:rFonts w:ascii="Arial" w:hAnsi="Arial" w:cs="Arial"/>
        </w:rPr>
        <w:t xml:space="preserve">orised to take such a measure. </w:t>
      </w:r>
    </w:p>
    <w:p w14:paraId="0FE950F8" w14:textId="77777777" w:rsidR="00FE7587" w:rsidRPr="00CD59CC" w:rsidRDefault="00FE7587" w:rsidP="00CD59CC">
      <w:pPr>
        <w:pStyle w:val="BodyText2"/>
        <w:jc w:val="left"/>
        <w:rPr>
          <w:rFonts w:ascii="Arial" w:hAnsi="Arial" w:cs="Arial"/>
        </w:rPr>
      </w:pPr>
    </w:p>
    <w:p w14:paraId="505976B4"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body:</w:t>
      </w:r>
      <w:r w:rsidRPr="00CD59CC">
        <w:rPr>
          <w:rFonts w:ascii="Arial" w:hAnsi="Arial" w:cs="Arial"/>
        </w:rPr>
        <w:t xml:space="preserve"> Equal Treatment Authority</w:t>
      </w:r>
    </w:p>
    <w:p w14:paraId="132BB5CE"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3 December 2009</w:t>
      </w:r>
    </w:p>
    <w:p w14:paraId="0EEA4E38"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Menedék – the Hungarian Association for Migrants v. Café Rió</w:t>
      </w:r>
    </w:p>
    <w:p w14:paraId="4DC77E87"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w:t>
      </w:r>
    </w:p>
    <w:p w14:paraId="794DE61E" w14:textId="77777777" w:rsidR="00FE7587" w:rsidRPr="00CD59CC" w:rsidRDefault="00FE7587" w:rsidP="00CD59CC">
      <w:pPr>
        <w:pStyle w:val="BodyText2"/>
        <w:jc w:val="left"/>
        <w:rPr>
          <w:rFonts w:ascii="Arial" w:hAnsi="Arial" w:cs="Arial"/>
        </w:rPr>
      </w:pPr>
      <w:r w:rsidRPr="00CD59CC">
        <w:rPr>
          <w:rFonts w:ascii="Arial" w:hAnsi="Arial" w:cs="Arial"/>
          <w:b/>
        </w:rPr>
        <w:t>Address of webpage</w:t>
      </w:r>
      <w:r w:rsidRPr="00BB4E9F">
        <w:rPr>
          <w:rFonts w:ascii="Arial" w:hAnsi="Arial"/>
          <w:b/>
        </w:rPr>
        <w:t>:</w:t>
      </w:r>
      <w:r w:rsidRPr="00CD59CC">
        <w:rPr>
          <w:rFonts w:ascii="Arial" w:hAnsi="Arial" w:cs="Arial"/>
        </w:rPr>
        <w:t xml:space="preserve"> </w:t>
      </w:r>
    </w:p>
    <w:p w14:paraId="646E4DEB" w14:textId="77777777" w:rsidR="00FE7587" w:rsidRPr="00CD59CC" w:rsidRDefault="000D069B" w:rsidP="00CD59CC">
      <w:pPr>
        <w:pStyle w:val="BodyText2"/>
        <w:jc w:val="left"/>
        <w:rPr>
          <w:rStyle w:val="Hyperlink"/>
          <w:rFonts w:ascii="Arial" w:hAnsi="Arial" w:cs="Arial"/>
        </w:rPr>
      </w:pPr>
      <w:hyperlink r:id="rId51" w:history="1">
        <w:r w:rsidR="00FE7587" w:rsidRPr="00CD59CC">
          <w:rPr>
            <w:rStyle w:val="Hyperlink"/>
            <w:rFonts w:ascii="Arial" w:hAnsi="Arial" w:cs="Arial"/>
          </w:rPr>
          <w:t>http://www.neki</w:t>
        </w:r>
        <w:bookmarkStart w:id="417" w:name="_Hlt391636937"/>
        <w:r w:rsidR="00FE7587" w:rsidRPr="00CD59CC">
          <w:rPr>
            <w:rStyle w:val="Hyperlink"/>
            <w:rFonts w:ascii="Arial" w:hAnsi="Arial" w:cs="Arial"/>
          </w:rPr>
          <w:t>.</w:t>
        </w:r>
        <w:bookmarkEnd w:id="417"/>
        <w:r w:rsidR="00FE7587" w:rsidRPr="00CD59CC">
          <w:rPr>
            <w:rStyle w:val="Hyperlink"/>
            <w:rFonts w:ascii="Arial" w:hAnsi="Arial" w:cs="Arial"/>
          </w:rPr>
          <w:t>hu/index.php?option=com_content&amp;view=article&amp;id=416:oetmillio-forint-birsagot-kell-fizetnie-a-rio-cafenak&amp;catid=1:friss-hk&amp;Itemid=64</w:t>
        </w:r>
      </w:hyperlink>
    </w:p>
    <w:p w14:paraId="76B0106D" w14:textId="77777777" w:rsidR="00FE7587" w:rsidRPr="00CD59CC" w:rsidRDefault="00FE7587" w:rsidP="00CD59CC">
      <w:pPr>
        <w:pStyle w:val="BodyText2"/>
        <w:jc w:val="left"/>
        <w:rPr>
          <w:rFonts w:ascii="Arial" w:hAnsi="Arial" w:cs="Arial"/>
        </w:rPr>
      </w:pPr>
      <w:r w:rsidRPr="00CD59CC">
        <w:rPr>
          <w:rFonts w:ascii="Arial" w:hAnsi="Arial" w:cs="Arial"/>
          <w:b/>
        </w:rPr>
        <w:t xml:space="preserve">Brief summary: </w:t>
      </w:r>
      <w:r w:rsidRPr="00CD59CC">
        <w:rPr>
          <w:rFonts w:ascii="Arial" w:hAnsi="Arial" w:cs="Arial"/>
        </w:rPr>
        <w:t xml:space="preserve">The Menedék – the Hungarian Association for Migrants launched an actio popularis claim against Café Rio, a well known Budapest bar, because the bar regularly denied black people access or allowed them to enter only after humiliating proceedings. In May 2009, testers of the Association tried to enter the place. While the white testers were allowed entry without any difficulty, the black testers were sent away on the basis that they did not have a membership card. The Equal Treatment Authority imposed a fine of HUF 5,000,000 (EUR 16,650) on the bar. When assessing the amount of the fine, the Authority took into account that earlier, in 2007, it had already found that the bar had violated the requirement of equal treatment (vis a vis Roma guests). In 2007, the Authority did not apply a fine, hoping that the management would in the future respect the principle of equal treatment. Seeing that the discriminative practices are still in place, the Authority decided to impose a fine of record amount. </w:t>
      </w:r>
    </w:p>
    <w:p w14:paraId="5B73208E" w14:textId="77777777" w:rsidR="00FE7587" w:rsidRPr="00CD59CC" w:rsidRDefault="00FE7587" w:rsidP="00CD59CC">
      <w:pPr>
        <w:pStyle w:val="BodyText2"/>
        <w:jc w:val="left"/>
        <w:rPr>
          <w:rFonts w:ascii="Arial" w:hAnsi="Arial" w:cs="Arial"/>
        </w:rPr>
      </w:pPr>
    </w:p>
    <w:p w14:paraId="6AB4C445"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body:</w:t>
      </w:r>
      <w:r w:rsidRPr="00CD59CC">
        <w:rPr>
          <w:rFonts w:ascii="Arial" w:hAnsi="Arial" w:cs="Arial"/>
        </w:rPr>
        <w:t xml:space="preserve"> Equal Treatment Authority</w:t>
      </w:r>
    </w:p>
    <w:p w14:paraId="33DA7F5B"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w:t>
      </w:r>
    </w:p>
    <w:p w14:paraId="60549C4D"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w:t>
      </w:r>
    </w:p>
    <w:p w14:paraId="28FD1270"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1079/2010</w:t>
      </w:r>
    </w:p>
    <w:p w14:paraId="0FB90BB6" w14:textId="77777777" w:rsidR="00FE7587" w:rsidRPr="00CD59CC" w:rsidRDefault="00FE7587" w:rsidP="00CD59CC">
      <w:pPr>
        <w:pStyle w:val="BodyText2"/>
        <w:jc w:val="left"/>
        <w:rPr>
          <w:rFonts w:ascii="Arial" w:hAnsi="Arial" w:cs="Arial"/>
        </w:rPr>
      </w:pPr>
      <w:r w:rsidRPr="00CD59CC">
        <w:rPr>
          <w:rFonts w:ascii="Arial" w:hAnsi="Arial" w:cs="Arial"/>
          <w:b/>
        </w:rPr>
        <w:t>Address of webpage</w:t>
      </w:r>
      <w:r w:rsidRPr="00BB4E9F">
        <w:rPr>
          <w:rFonts w:ascii="Arial" w:hAnsi="Arial"/>
          <w:b/>
        </w:rPr>
        <w:t>:</w:t>
      </w:r>
      <w:r w:rsidRPr="00CD59CC">
        <w:rPr>
          <w:rFonts w:ascii="Arial" w:hAnsi="Arial" w:cs="Arial"/>
        </w:rPr>
        <w:t xml:space="preserve"> </w:t>
      </w:r>
      <w:hyperlink r:id="rId52" w:history="1">
        <w:r w:rsidRPr="00CD59CC">
          <w:rPr>
            <w:rStyle w:val="Hyperlink"/>
            <w:rFonts w:ascii="Arial" w:hAnsi="Arial" w:cs="Arial"/>
          </w:rPr>
          <w:t>http://www</w:t>
        </w:r>
        <w:bookmarkStart w:id="418" w:name="_Hlt391636940"/>
        <w:r w:rsidRPr="00CD59CC">
          <w:rPr>
            <w:rStyle w:val="Hyperlink"/>
            <w:rFonts w:ascii="Arial" w:hAnsi="Arial" w:cs="Arial"/>
          </w:rPr>
          <w:t>.</w:t>
        </w:r>
        <w:bookmarkEnd w:id="418"/>
        <w:r w:rsidRPr="00CD59CC">
          <w:rPr>
            <w:rStyle w:val="Hyperlink"/>
            <w:rFonts w:ascii="Arial" w:hAnsi="Arial" w:cs="Arial"/>
          </w:rPr>
          <w:t>eg</w:t>
        </w:r>
        <w:bookmarkStart w:id="419" w:name="_Hlt370197351"/>
        <w:r w:rsidRPr="00CD59CC">
          <w:rPr>
            <w:rStyle w:val="Hyperlink"/>
            <w:rFonts w:ascii="Arial" w:hAnsi="Arial" w:cs="Arial"/>
          </w:rPr>
          <w:t>y</w:t>
        </w:r>
        <w:bookmarkEnd w:id="419"/>
        <w:r w:rsidRPr="00CD59CC">
          <w:rPr>
            <w:rStyle w:val="Hyperlink"/>
            <w:rFonts w:ascii="Arial" w:hAnsi="Arial" w:cs="Arial"/>
          </w:rPr>
          <w:t>enlobanasmod.h</w:t>
        </w:r>
        <w:bookmarkStart w:id="420" w:name="_Hlt369779366"/>
        <w:r w:rsidRPr="00CD59CC">
          <w:rPr>
            <w:rStyle w:val="Hyperlink"/>
            <w:rFonts w:ascii="Arial" w:hAnsi="Arial" w:cs="Arial"/>
          </w:rPr>
          <w:t>u</w:t>
        </w:r>
        <w:bookmarkEnd w:id="420"/>
        <w:r w:rsidRPr="00CD59CC">
          <w:rPr>
            <w:rStyle w:val="Hyperlink"/>
            <w:rFonts w:ascii="Arial" w:hAnsi="Arial" w:cs="Arial"/>
          </w:rPr>
          <w:t>/jogesetek/hu/1079-2010.pdf</w:t>
        </w:r>
      </w:hyperlink>
      <w:r w:rsidRPr="00CD59CC">
        <w:rPr>
          <w:rFonts w:ascii="Arial" w:hAnsi="Arial" w:cs="Arial"/>
        </w:rPr>
        <w:t xml:space="preserve"> </w:t>
      </w:r>
    </w:p>
    <w:p w14:paraId="4903015C" w14:textId="77777777" w:rsidR="00FE7587" w:rsidRPr="00CD59CC" w:rsidRDefault="00FE7587" w:rsidP="00CD59CC">
      <w:pPr>
        <w:pStyle w:val="BodyText2"/>
        <w:jc w:val="left"/>
        <w:rPr>
          <w:rFonts w:ascii="Arial" w:hAnsi="Arial" w:cs="Arial"/>
        </w:rPr>
      </w:pPr>
      <w:r w:rsidRPr="00CD59CC">
        <w:rPr>
          <w:rFonts w:ascii="Arial" w:hAnsi="Arial" w:cs="Arial"/>
          <w:b/>
        </w:rPr>
        <w:t xml:space="preserve">Brief summary: </w:t>
      </w:r>
      <w:r w:rsidRPr="00CD59CC">
        <w:rPr>
          <w:rFonts w:ascii="Arial" w:hAnsi="Arial" w:cs="Arial"/>
        </w:rPr>
        <w:t>A person in wheel-chair initiated a lawsuit against the public utility gas company that started a client service office in the settlement on 1 January 2010, because the company failed to make the service physically accessible for him. The company referred to the RPD Act that sets forth that public services that are operational on 1 April 2007, shall only be made accessible by 31 December 2013 (whereas public services that are started after this date shall be accessible from the beginning of their operation). The company claimed that since the client service office that it had opened on 1 January 2010 had operated as a client service office (of a public utility electricity company) beforehand, and already on 1 April 2007, the gas company’s client service office cannot be regarded as a new public service. Therefore, it shall make the office accessible only by December 2013.</w:t>
      </w:r>
    </w:p>
    <w:p w14:paraId="135801C3" w14:textId="77777777" w:rsidR="00FE7587" w:rsidRPr="00CD59CC" w:rsidRDefault="00FE7587" w:rsidP="00CD59CC">
      <w:pPr>
        <w:pStyle w:val="BodyText2"/>
        <w:jc w:val="left"/>
        <w:rPr>
          <w:rFonts w:ascii="Arial" w:hAnsi="Arial" w:cs="Arial"/>
        </w:rPr>
      </w:pPr>
    </w:p>
    <w:p w14:paraId="3248596D" w14:textId="77777777" w:rsidR="00FE7587" w:rsidRPr="00CD59CC" w:rsidRDefault="00FE7587" w:rsidP="00CD59CC">
      <w:pPr>
        <w:pStyle w:val="BodyText2"/>
        <w:jc w:val="left"/>
        <w:rPr>
          <w:rFonts w:ascii="Arial" w:hAnsi="Arial" w:cs="Arial"/>
        </w:rPr>
      </w:pPr>
      <w:r w:rsidRPr="00CD59CC">
        <w:rPr>
          <w:rFonts w:ascii="Arial" w:hAnsi="Arial" w:cs="Arial"/>
        </w:rPr>
        <w:t>The Equal Treatment Authority rejected this argumentation. As the gas company purchased the building in 2009, and opened its client service office in January 2010, it cannot be regarded as a service already operational in April 2007, irrespective of the fact that at that time another company’s public service office operated in the building. Since the company already started the works aimed at making the office accessible during the proceeding, the Authority regarded it as sufficient to establish the violation of the requirement of equal treatment, and refrained from imposing any further sanction on the company.</w:t>
      </w:r>
    </w:p>
    <w:p w14:paraId="1C9B7E4C" w14:textId="77777777" w:rsidR="00E44EED" w:rsidRPr="00CD59CC" w:rsidRDefault="00E44EED" w:rsidP="00CD59CC">
      <w:pPr>
        <w:pStyle w:val="BodyText2"/>
        <w:jc w:val="left"/>
        <w:rPr>
          <w:rFonts w:ascii="Arial" w:hAnsi="Arial" w:cs="Arial"/>
        </w:rPr>
      </w:pPr>
    </w:p>
    <w:p w14:paraId="1448D8F8"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body:</w:t>
      </w:r>
      <w:r w:rsidRPr="00CD59CC">
        <w:rPr>
          <w:rFonts w:ascii="Arial" w:hAnsi="Arial" w:cs="Arial"/>
        </w:rPr>
        <w:t xml:space="preserve"> Equal Treatment Authority</w:t>
      </w:r>
    </w:p>
    <w:p w14:paraId="49B84DC7"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Date of the decision:</w:t>
      </w:r>
      <w:r w:rsidRPr="00CD59CC">
        <w:rPr>
          <w:rFonts w:ascii="Arial" w:hAnsi="Arial" w:cs="Arial"/>
        </w:rPr>
        <w:t xml:space="preserve"> --</w:t>
      </w:r>
    </w:p>
    <w:p w14:paraId="3E8CA129"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Name of the parties:</w:t>
      </w:r>
      <w:r w:rsidRPr="00CD59CC">
        <w:rPr>
          <w:rFonts w:ascii="Arial" w:hAnsi="Arial" w:cs="Arial"/>
        </w:rPr>
        <w:t xml:space="preserve"> --</w:t>
      </w:r>
    </w:p>
    <w:p w14:paraId="340F81E1" w14:textId="77777777" w:rsidR="00FE7587" w:rsidRPr="00CD59CC" w:rsidRDefault="00FE7587" w:rsidP="00CD59CC">
      <w:pPr>
        <w:pStyle w:val="Szvegtrzs22"/>
        <w:tabs>
          <w:tab w:val="left" w:pos="567"/>
        </w:tabs>
        <w:jc w:val="left"/>
        <w:rPr>
          <w:rFonts w:ascii="Arial" w:hAnsi="Arial" w:cs="Arial"/>
        </w:rPr>
      </w:pPr>
      <w:r w:rsidRPr="00CD59CC">
        <w:rPr>
          <w:rFonts w:ascii="Arial" w:hAnsi="Arial" w:cs="Arial"/>
          <w:b/>
        </w:rPr>
        <w:t xml:space="preserve">Reference number: </w:t>
      </w:r>
      <w:r w:rsidRPr="00CD59CC">
        <w:rPr>
          <w:rFonts w:ascii="Arial" w:hAnsi="Arial" w:cs="Arial"/>
        </w:rPr>
        <w:t>795/2010</w:t>
      </w:r>
    </w:p>
    <w:p w14:paraId="51F6625D" w14:textId="77777777" w:rsidR="00FE7587" w:rsidRPr="00CD59CC" w:rsidRDefault="00FE7587" w:rsidP="00CD59CC">
      <w:pPr>
        <w:pStyle w:val="BodyText2"/>
        <w:jc w:val="left"/>
        <w:rPr>
          <w:rFonts w:ascii="Arial" w:hAnsi="Arial" w:cs="Arial"/>
        </w:rPr>
      </w:pPr>
      <w:r w:rsidRPr="00CD59CC">
        <w:rPr>
          <w:rFonts w:ascii="Arial" w:hAnsi="Arial" w:cs="Arial"/>
          <w:b/>
        </w:rPr>
        <w:lastRenderedPageBreak/>
        <w:t>Address of webpage</w:t>
      </w:r>
      <w:r w:rsidRPr="00BB4E9F">
        <w:rPr>
          <w:rFonts w:ascii="Arial" w:hAnsi="Arial"/>
          <w:b/>
        </w:rPr>
        <w:t>:</w:t>
      </w:r>
      <w:r w:rsidRPr="00CD59CC">
        <w:rPr>
          <w:rFonts w:ascii="Arial" w:hAnsi="Arial" w:cs="Arial"/>
        </w:rPr>
        <w:t xml:space="preserve"> </w:t>
      </w:r>
      <w:hyperlink r:id="rId53" w:history="1">
        <w:r w:rsidRPr="00CD59CC">
          <w:rPr>
            <w:rStyle w:val="Hyperlink"/>
            <w:rFonts w:ascii="Arial" w:hAnsi="Arial" w:cs="Arial"/>
          </w:rPr>
          <w:t>http://www.egy</w:t>
        </w:r>
        <w:bookmarkStart w:id="421" w:name="_Hlt370197357"/>
        <w:r w:rsidRPr="00CD59CC">
          <w:rPr>
            <w:rStyle w:val="Hyperlink"/>
            <w:rFonts w:ascii="Arial" w:hAnsi="Arial" w:cs="Arial"/>
          </w:rPr>
          <w:t>e</w:t>
        </w:r>
        <w:bookmarkEnd w:id="421"/>
        <w:r w:rsidRPr="00CD59CC">
          <w:rPr>
            <w:rStyle w:val="Hyperlink"/>
            <w:rFonts w:ascii="Arial" w:hAnsi="Arial" w:cs="Arial"/>
          </w:rPr>
          <w:t>nlobanas</w:t>
        </w:r>
        <w:bookmarkStart w:id="422" w:name="_Hlt391636946"/>
        <w:r w:rsidRPr="00CD59CC">
          <w:rPr>
            <w:rStyle w:val="Hyperlink"/>
            <w:rFonts w:ascii="Arial" w:hAnsi="Arial" w:cs="Arial"/>
          </w:rPr>
          <w:t>m</w:t>
        </w:r>
        <w:bookmarkEnd w:id="422"/>
        <w:r w:rsidRPr="00CD59CC">
          <w:rPr>
            <w:rStyle w:val="Hyperlink"/>
            <w:rFonts w:ascii="Arial" w:hAnsi="Arial" w:cs="Arial"/>
          </w:rPr>
          <w:t>od.hu/joges</w:t>
        </w:r>
        <w:bookmarkStart w:id="423" w:name="_Hlt369779398"/>
        <w:r w:rsidRPr="00CD59CC">
          <w:rPr>
            <w:rStyle w:val="Hyperlink"/>
            <w:rFonts w:ascii="Arial" w:hAnsi="Arial" w:cs="Arial"/>
          </w:rPr>
          <w:t>e</w:t>
        </w:r>
        <w:bookmarkEnd w:id="423"/>
        <w:r w:rsidRPr="00CD59CC">
          <w:rPr>
            <w:rStyle w:val="Hyperlink"/>
            <w:rFonts w:ascii="Arial" w:hAnsi="Arial" w:cs="Arial"/>
          </w:rPr>
          <w:t>tek/hu/795-2010.pdf</w:t>
        </w:r>
      </w:hyperlink>
      <w:r w:rsidRPr="00CD59CC">
        <w:rPr>
          <w:rFonts w:ascii="Arial" w:hAnsi="Arial" w:cs="Arial"/>
        </w:rPr>
        <w:t xml:space="preserve"> </w:t>
      </w:r>
    </w:p>
    <w:p w14:paraId="74286A84" w14:textId="6522F234" w:rsidR="00FE7587" w:rsidRPr="00CD59CC" w:rsidRDefault="00FE7587" w:rsidP="00CD59CC">
      <w:pPr>
        <w:pStyle w:val="BodyText2"/>
        <w:jc w:val="left"/>
        <w:rPr>
          <w:rFonts w:ascii="Arial" w:hAnsi="Arial" w:cs="Arial"/>
        </w:rPr>
      </w:pPr>
      <w:r w:rsidRPr="00CD59CC">
        <w:rPr>
          <w:rFonts w:ascii="Arial" w:hAnsi="Arial" w:cs="Arial"/>
          <w:b/>
        </w:rPr>
        <w:t>Brief summary</w:t>
      </w:r>
      <w:r w:rsidRPr="00BB4E9F">
        <w:rPr>
          <w:rFonts w:ascii="Arial" w:hAnsi="Arial"/>
          <w:b/>
        </w:rPr>
        <w:t>:</w:t>
      </w:r>
      <w:r w:rsidRPr="00CD59CC">
        <w:rPr>
          <w:rFonts w:ascii="Arial" w:hAnsi="Arial" w:cs="Arial"/>
        </w:rPr>
        <w:t xml:space="preserve"> A company performing the value assessment of houses for bank loans placed the houses of two Roma families into the category “C” (“not negotiable or hardly negotiable”). They claimed that the reason for this was their Roma origin. During the investigation, it turned out that the company had categorised the real estates without actually visiting the scenes.</w:t>
      </w:r>
      <w:r w:rsidR="007B7640" w:rsidRPr="00CD59CC">
        <w:rPr>
          <w:rFonts w:ascii="Arial" w:hAnsi="Arial" w:cs="Arial"/>
        </w:rPr>
        <w:t xml:space="preserve"> </w:t>
      </w:r>
      <w:r w:rsidRPr="00CD59CC">
        <w:rPr>
          <w:rFonts w:ascii="Arial" w:hAnsi="Arial" w:cs="Arial"/>
        </w:rPr>
        <w:t xml:space="preserve">The company claimed that the reason for this was that earlier they had performed assessments in the streets where the houses were located, and the low prestige of the neighbourhood substantiated the categorisation. </w:t>
      </w:r>
    </w:p>
    <w:p w14:paraId="4D8B36E6" w14:textId="77777777" w:rsidR="00FE7587" w:rsidRPr="00CD59CC" w:rsidRDefault="00FE7587" w:rsidP="00CD59CC">
      <w:pPr>
        <w:pStyle w:val="BodyText2"/>
        <w:jc w:val="left"/>
        <w:rPr>
          <w:rFonts w:ascii="Arial" w:hAnsi="Arial" w:cs="Arial"/>
        </w:rPr>
      </w:pPr>
    </w:p>
    <w:p w14:paraId="751EC01E" w14:textId="459EA7A8" w:rsidR="001437FB" w:rsidRPr="00CD59CC" w:rsidRDefault="00FE7587" w:rsidP="00CD59CC">
      <w:pPr>
        <w:pStyle w:val="BodyText2"/>
        <w:jc w:val="left"/>
        <w:rPr>
          <w:rFonts w:ascii="Arial" w:hAnsi="Arial" w:cs="Arial"/>
        </w:rPr>
      </w:pPr>
      <w:r w:rsidRPr="00CD59CC">
        <w:rPr>
          <w:rFonts w:ascii="Arial" w:hAnsi="Arial" w:cs="Arial"/>
        </w:rPr>
        <w:t xml:space="preserve">The Authority requested information from the bank which commissioned the company to perform the assessment. The bank stated that seven real estates had been assessed in the concerned streets, and only two had been placed in the category C. The Authority also visited the scene, and established that neither the neighbourhood, nor the condition of the houses substantiated the categorisation. Based on this, the Authority came to the conclusion that the reason for the disadvantageous categorisation was indeed the ethnic origin of the families living in the houses. The Authority refused to accept the company’s argument that no disadvantage was suffered by the families, as they were provided with a bank loan by another bank. In fact, the Authority regarded as further evidence that the houses were negotiable. Because of this, the Authority established the violation of the requirement of equal treatment, ordered the publication of its decision on its website, and imposed a fine of HUF 300,000 (EUR 1,000) on the company. </w:t>
      </w:r>
    </w:p>
    <w:p w14:paraId="37BD3E34" w14:textId="77777777" w:rsidR="001437FB" w:rsidRPr="00CD59CC" w:rsidRDefault="001437FB" w:rsidP="00CD59CC">
      <w:pPr>
        <w:pStyle w:val="BodyText2"/>
        <w:jc w:val="left"/>
        <w:rPr>
          <w:rFonts w:ascii="Arial" w:hAnsi="Arial" w:cs="Arial"/>
        </w:rPr>
      </w:pPr>
    </w:p>
    <w:p w14:paraId="72081BBE" w14:textId="77777777" w:rsidR="001437FB" w:rsidRPr="00CD59CC" w:rsidRDefault="001437FB" w:rsidP="00CD59CC">
      <w:pPr>
        <w:rPr>
          <w:rFonts w:ascii="Arial" w:hAnsi="Arial" w:cs="Arial"/>
          <w:iCs/>
        </w:rPr>
      </w:pPr>
      <w:r w:rsidRPr="00CD59CC">
        <w:rPr>
          <w:rFonts w:ascii="Arial" w:hAnsi="Arial" w:cs="Arial"/>
          <w:b/>
          <w:iCs/>
        </w:rPr>
        <w:t xml:space="preserve">Name of the body: </w:t>
      </w:r>
      <w:r w:rsidRPr="00CD59CC">
        <w:rPr>
          <w:rFonts w:ascii="Arial" w:hAnsi="Arial" w:cs="Arial"/>
          <w:iCs/>
        </w:rPr>
        <w:t>Equal Treatment Authority</w:t>
      </w:r>
    </w:p>
    <w:p w14:paraId="3C1D3379" w14:textId="77777777" w:rsidR="001437FB" w:rsidRPr="00CD59CC" w:rsidRDefault="001437FB" w:rsidP="00CD59CC">
      <w:pPr>
        <w:pStyle w:val="BodyTextIndent"/>
        <w:rPr>
          <w:rFonts w:ascii="Arial" w:hAnsi="Arial" w:cs="Arial"/>
          <w:b/>
          <w:szCs w:val="24"/>
        </w:rPr>
      </w:pPr>
      <w:r w:rsidRPr="00CD59CC">
        <w:rPr>
          <w:rFonts w:ascii="Arial" w:hAnsi="Arial" w:cs="Arial"/>
          <w:b/>
          <w:szCs w:val="24"/>
        </w:rPr>
        <w:t xml:space="preserve">Date of decision: </w:t>
      </w:r>
      <w:r w:rsidRPr="00CD59CC">
        <w:rPr>
          <w:rFonts w:ascii="Arial" w:hAnsi="Arial" w:cs="Arial"/>
          <w:szCs w:val="24"/>
        </w:rPr>
        <w:t>26 April 2012</w:t>
      </w:r>
    </w:p>
    <w:p w14:paraId="474C6EB7" w14:textId="77777777" w:rsidR="001437FB" w:rsidRPr="00CD59CC" w:rsidRDefault="001437FB" w:rsidP="00CD59CC">
      <w:pPr>
        <w:rPr>
          <w:rFonts w:ascii="Arial" w:hAnsi="Arial" w:cs="Arial"/>
          <w:iCs/>
        </w:rPr>
      </w:pPr>
      <w:r w:rsidRPr="00CD59CC">
        <w:rPr>
          <w:rFonts w:ascii="Arial" w:hAnsi="Arial" w:cs="Arial"/>
          <w:b/>
          <w:iCs/>
        </w:rPr>
        <w:t xml:space="preserve">Name of the parties: </w:t>
      </w:r>
      <w:r w:rsidRPr="00CD59CC">
        <w:rPr>
          <w:rFonts w:ascii="Arial" w:hAnsi="Arial" w:cs="Arial"/>
          <w:iCs/>
        </w:rPr>
        <w:t>Hungarian Helsinki Committee v. the Police Headquarters of Nógrád County</w:t>
      </w:r>
    </w:p>
    <w:p w14:paraId="5A404070" w14:textId="77777777" w:rsidR="001437FB" w:rsidRPr="00CD59CC" w:rsidRDefault="001437FB" w:rsidP="00CD59CC">
      <w:pPr>
        <w:pStyle w:val="BodyTextIndent"/>
        <w:ind w:left="0" w:firstLine="0"/>
        <w:rPr>
          <w:rFonts w:ascii="Arial" w:hAnsi="Arial" w:cs="Arial"/>
          <w:szCs w:val="24"/>
        </w:rPr>
      </w:pPr>
      <w:r w:rsidRPr="00CD59CC">
        <w:rPr>
          <w:rFonts w:ascii="Arial" w:hAnsi="Arial" w:cs="Arial"/>
          <w:b/>
          <w:szCs w:val="24"/>
        </w:rPr>
        <w:t xml:space="preserve">Reference number: </w:t>
      </w:r>
      <w:r w:rsidRPr="00CD59CC">
        <w:rPr>
          <w:rFonts w:ascii="Arial" w:hAnsi="Arial" w:cs="Arial"/>
          <w:szCs w:val="24"/>
        </w:rPr>
        <w:t xml:space="preserve">EBH/21/17/2012 </w:t>
      </w:r>
    </w:p>
    <w:p w14:paraId="6DF50058" w14:textId="77777777" w:rsidR="001437FB" w:rsidRPr="00CD59CC" w:rsidRDefault="001437FB" w:rsidP="00CD59CC">
      <w:pPr>
        <w:pStyle w:val="BodyTextIndent"/>
        <w:ind w:left="0" w:firstLine="0"/>
        <w:rPr>
          <w:rFonts w:ascii="Arial" w:hAnsi="Arial" w:cs="Arial"/>
          <w:szCs w:val="24"/>
        </w:rPr>
      </w:pPr>
      <w:r w:rsidRPr="00CD59CC">
        <w:rPr>
          <w:rFonts w:ascii="Arial" w:hAnsi="Arial" w:cs="Arial"/>
          <w:b/>
          <w:szCs w:val="24"/>
        </w:rPr>
        <w:t>Address of the webpage</w:t>
      </w:r>
      <w:r w:rsidRPr="00BB4E9F">
        <w:rPr>
          <w:rFonts w:ascii="Arial" w:hAnsi="Arial"/>
          <w:b/>
        </w:rPr>
        <w:t>:</w:t>
      </w:r>
      <w:r w:rsidRPr="00CD59CC">
        <w:rPr>
          <w:rFonts w:ascii="Arial" w:hAnsi="Arial" w:cs="Arial"/>
          <w:szCs w:val="24"/>
        </w:rPr>
        <w:t xml:space="preserve"> </w:t>
      </w:r>
      <w:hyperlink r:id="rId54" w:history="1">
        <w:r w:rsidRPr="00CD59CC">
          <w:rPr>
            <w:rStyle w:val="Hyperlink"/>
            <w:rFonts w:ascii="Arial" w:hAnsi="Arial" w:cs="Arial"/>
            <w:szCs w:val="24"/>
          </w:rPr>
          <w:t>http://www.egyenlobanasmod.</w:t>
        </w:r>
        <w:bookmarkStart w:id="424" w:name="_Hlt391636949"/>
        <w:r w:rsidRPr="00CD59CC">
          <w:rPr>
            <w:rStyle w:val="Hyperlink"/>
            <w:rFonts w:ascii="Arial" w:hAnsi="Arial" w:cs="Arial"/>
            <w:szCs w:val="24"/>
          </w:rPr>
          <w:t>h</w:t>
        </w:r>
        <w:bookmarkEnd w:id="424"/>
        <w:r w:rsidRPr="00CD59CC">
          <w:rPr>
            <w:rStyle w:val="Hyperlink"/>
            <w:rFonts w:ascii="Arial" w:hAnsi="Arial" w:cs="Arial"/>
            <w:szCs w:val="24"/>
          </w:rPr>
          <w:t>u/jogesetek/hu/190-2012.pdf</w:t>
        </w:r>
      </w:hyperlink>
      <w:r w:rsidRPr="00CD59CC">
        <w:rPr>
          <w:rFonts w:ascii="Arial" w:hAnsi="Arial" w:cs="Arial"/>
          <w:szCs w:val="24"/>
        </w:rPr>
        <w:t xml:space="preserve"> </w:t>
      </w:r>
    </w:p>
    <w:p w14:paraId="6B1B333E" w14:textId="77777777" w:rsidR="001437FB" w:rsidRPr="00CD59CC" w:rsidRDefault="001437FB" w:rsidP="00CD59CC">
      <w:pPr>
        <w:pStyle w:val="BodyTextIndent"/>
        <w:ind w:left="0" w:firstLine="0"/>
        <w:rPr>
          <w:rFonts w:ascii="Arial" w:hAnsi="Arial" w:cs="Arial"/>
          <w:szCs w:val="24"/>
        </w:rPr>
      </w:pPr>
      <w:r w:rsidRPr="00CD59CC">
        <w:rPr>
          <w:rFonts w:ascii="Arial" w:hAnsi="Arial" w:cs="Arial"/>
          <w:b/>
          <w:iCs w:val="0"/>
          <w:szCs w:val="24"/>
        </w:rPr>
        <w:t xml:space="preserve">Brief summary: </w:t>
      </w:r>
      <w:r w:rsidRPr="00CD59CC">
        <w:rPr>
          <w:rFonts w:ascii="Arial" w:hAnsi="Arial" w:cs="Arial"/>
          <w:szCs w:val="24"/>
        </w:rPr>
        <w:t xml:space="preserve">The notary of the village Rimóc (Northern Hungary) noticed that petty offence fines for lack of mandatory accessories for bicycles (ring, headlights, reflector prisms) are almost exclusively imposed on Roma people in the area, although the bicycles used by the non-Roma are not significantly better equipped. He notified the Authority and the Hungarian Helsinki Committee (HHC). The Authority launched an </w:t>
      </w:r>
      <w:r w:rsidRPr="00CD59CC">
        <w:rPr>
          <w:rFonts w:ascii="Arial" w:hAnsi="Arial" w:cs="Arial"/>
          <w:i/>
          <w:szCs w:val="24"/>
        </w:rPr>
        <w:t>ex officio</w:t>
      </w:r>
      <w:r w:rsidRPr="00CD59CC">
        <w:rPr>
          <w:rFonts w:ascii="Arial" w:hAnsi="Arial" w:cs="Arial"/>
          <w:szCs w:val="24"/>
        </w:rPr>
        <w:t xml:space="preserve"> investigation into the matter, and later on the HHC stepped into the procedure as an organisation vested with the right to carry out </w:t>
      </w:r>
      <w:r w:rsidRPr="00CD59CC">
        <w:rPr>
          <w:rFonts w:ascii="Arial" w:hAnsi="Arial" w:cs="Arial"/>
          <w:i/>
          <w:szCs w:val="24"/>
        </w:rPr>
        <w:t>actio popularis</w:t>
      </w:r>
      <w:r w:rsidRPr="00CD59CC">
        <w:rPr>
          <w:rFonts w:ascii="Arial" w:hAnsi="Arial" w:cs="Arial"/>
          <w:szCs w:val="24"/>
        </w:rPr>
        <w:t xml:space="preserve"> litigation. Statistically analysing the documentation of the fines, the HHC managed to substantiate that whereas the Roma amount to approximately 25% of the village’s population, out of the 36 fines imposed for lack of accessories, 35 were imposed on persons who (based on their name, mother’s name, address) are likely to be of Roma origin. By going on a field trip and taking photos on the spot and through other means (e.g. going through internet advertisement of second hand bicycles) it also could be demonstrated that most bicycles in the area do not meet the requirements, so it is unlikely that only Roma bikers commit transgressions in this regard. </w:t>
      </w:r>
    </w:p>
    <w:p w14:paraId="0D89B45B" w14:textId="77777777" w:rsidR="001437FB" w:rsidRPr="00CD59CC" w:rsidRDefault="001437FB" w:rsidP="00CD59CC">
      <w:pPr>
        <w:pStyle w:val="BodyTextIndent"/>
        <w:ind w:left="0" w:firstLine="0"/>
        <w:rPr>
          <w:rFonts w:ascii="Arial" w:hAnsi="Arial" w:cs="Arial"/>
          <w:szCs w:val="24"/>
        </w:rPr>
      </w:pPr>
      <w:r w:rsidRPr="00CD59CC">
        <w:rPr>
          <w:rFonts w:ascii="Arial" w:hAnsi="Arial" w:cs="Arial"/>
          <w:szCs w:val="24"/>
        </w:rPr>
        <w:lastRenderedPageBreak/>
        <w:t xml:space="preserve">On 26 April 2012, the case ended in a friendly settlement between the Nógrád County Police Chief and the HHC. The Police Chief acknowledged that the practice may have disproportionately affected the Roma community, but emphasised that the police had no means to control the overall practice of a certain unit, because they were not allowed to process data of the ethnic affiliation of the individuals fined. The police undertook to delegate 20 officers to a 3-day anti-discrimination training, offered to provide the local community with necessary accessories free of charge, and they also undertook to provide the HHC in the following 2 years with all the data necessary for controlling whether the disproportionate practice has continued. </w:t>
      </w:r>
    </w:p>
    <w:p w14:paraId="76D8D103" w14:textId="77777777" w:rsidR="00FE7587" w:rsidRPr="00CD59CC" w:rsidRDefault="007B7640" w:rsidP="00CD59CC">
      <w:pPr>
        <w:pStyle w:val="BodyText2"/>
        <w:jc w:val="left"/>
        <w:rPr>
          <w:rFonts w:ascii="Arial" w:hAnsi="Arial" w:cs="Arial"/>
        </w:rPr>
      </w:pPr>
      <w:r w:rsidRPr="00CD59CC">
        <w:rPr>
          <w:rFonts w:ascii="Arial" w:hAnsi="Arial" w:cs="Arial"/>
        </w:rPr>
        <w:t xml:space="preserve">  </w:t>
      </w:r>
    </w:p>
    <w:p w14:paraId="76D744A4" w14:textId="77777777" w:rsidR="00E44EED" w:rsidRPr="00CD59CC" w:rsidRDefault="00E44EED" w:rsidP="00CD59CC">
      <w:pPr>
        <w:rPr>
          <w:rFonts w:ascii="Arial" w:hAnsi="Arial" w:cs="Arial"/>
          <w:iCs/>
        </w:rPr>
      </w:pPr>
      <w:r w:rsidRPr="00CD59CC">
        <w:rPr>
          <w:rFonts w:ascii="Arial" w:hAnsi="Arial" w:cs="Arial"/>
          <w:b/>
          <w:iCs/>
        </w:rPr>
        <w:t xml:space="preserve">Name of the body: </w:t>
      </w:r>
      <w:r w:rsidRPr="00CD59CC">
        <w:rPr>
          <w:rFonts w:ascii="Arial" w:hAnsi="Arial" w:cs="Arial"/>
          <w:iCs/>
        </w:rPr>
        <w:t>Equal Treatment Authority</w:t>
      </w:r>
    </w:p>
    <w:p w14:paraId="3B713ECA" w14:textId="77777777" w:rsidR="00E44EED" w:rsidRPr="00CD59CC" w:rsidRDefault="00E44EED" w:rsidP="00CD59CC">
      <w:pPr>
        <w:pStyle w:val="BodyTextIndent"/>
        <w:rPr>
          <w:rFonts w:ascii="Arial" w:hAnsi="Arial" w:cs="Arial"/>
          <w:b/>
          <w:szCs w:val="24"/>
        </w:rPr>
      </w:pPr>
      <w:r w:rsidRPr="00CD59CC">
        <w:rPr>
          <w:rFonts w:ascii="Arial" w:hAnsi="Arial" w:cs="Arial"/>
          <w:b/>
          <w:szCs w:val="24"/>
        </w:rPr>
        <w:t xml:space="preserve">Date of decision: </w:t>
      </w:r>
      <w:r w:rsidRPr="00CD59CC">
        <w:rPr>
          <w:rFonts w:ascii="Arial" w:hAnsi="Arial" w:cs="Arial"/>
          <w:szCs w:val="24"/>
        </w:rPr>
        <w:t>25 October 2012</w:t>
      </w:r>
    </w:p>
    <w:p w14:paraId="0282A4ED" w14:textId="77777777" w:rsidR="00E44EED" w:rsidRPr="00CD59CC" w:rsidRDefault="00E44EED" w:rsidP="00CD59CC">
      <w:pPr>
        <w:rPr>
          <w:rFonts w:ascii="Arial" w:hAnsi="Arial" w:cs="Arial"/>
          <w:iCs/>
        </w:rPr>
      </w:pPr>
      <w:r w:rsidRPr="00CD59CC">
        <w:rPr>
          <w:rFonts w:ascii="Arial" w:hAnsi="Arial" w:cs="Arial"/>
          <w:b/>
          <w:iCs/>
        </w:rPr>
        <w:t xml:space="preserve">Name of the parties: </w:t>
      </w:r>
      <w:r w:rsidRPr="00CD59CC">
        <w:rPr>
          <w:rFonts w:ascii="Arial" w:hAnsi="Arial" w:cs="Arial"/>
          <w:iCs/>
        </w:rPr>
        <w:t>A.B. v. the Baranya County Governmental Office</w:t>
      </w:r>
    </w:p>
    <w:p w14:paraId="68FDCDE5" w14:textId="77777777" w:rsidR="00E44EED" w:rsidRPr="00CD59CC" w:rsidRDefault="00E44EED" w:rsidP="00CD59CC">
      <w:pPr>
        <w:pStyle w:val="BodyTextIndent"/>
        <w:ind w:left="0" w:firstLine="0"/>
        <w:rPr>
          <w:rFonts w:ascii="Arial" w:hAnsi="Arial" w:cs="Arial"/>
          <w:szCs w:val="24"/>
        </w:rPr>
      </w:pPr>
      <w:r w:rsidRPr="00CD59CC">
        <w:rPr>
          <w:rFonts w:ascii="Arial" w:hAnsi="Arial" w:cs="Arial"/>
          <w:b/>
          <w:szCs w:val="24"/>
        </w:rPr>
        <w:t xml:space="preserve">Reference number: </w:t>
      </w:r>
      <w:r w:rsidRPr="00CD59CC">
        <w:rPr>
          <w:rFonts w:ascii="Arial" w:hAnsi="Arial" w:cs="Arial"/>
          <w:szCs w:val="24"/>
        </w:rPr>
        <w:t xml:space="preserve">EBH/543/2012 </w:t>
      </w:r>
    </w:p>
    <w:p w14:paraId="6BD0B411" w14:textId="77777777" w:rsidR="00E44EED" w:rsidRPr="00CD59CC" w:rsidRDefault="00E44EED" w:rsidP="00CD59CC">
      <w:pPr>
        <w:pStyle w:val="BodyTextIndent"/>
        <w:ind w:left="0" w:firstLine="0"/>
        <w:rPr>
          <w:rFonts w:ascii="Arial" w:hAnsi="Arial" w:cs="Arial"/>
          <w:szCs w:val="24"/>
        </w:rPr>
      </w:pPr>
      <w:r w:rsidRPr="00CD59CC">
        <w:rPr>
          <w:rFonts w:ascii="Arial" w:hAnsi="Arial" w:cs="Arial"/>
          <w:b/>
          <w:szCs w:val="24"/>
        </w:rPr>
        <w:t>Address of the webpage</w:t>
      </w:r>
      <w:r w:rsidRPr="00CD59CC">
        <w:rPr>
          <w:rFonts w:ascii="Arial" w:hAnsi="Arial" w:cs="Arial"/>
          <w:szCs w:val="24"/>
        </w:rPr>
        <w:t xml:space="preserve">: </w:t>
      </w:r>
      <w:hyperlink r:id="rId55" w:history="1">
        <w:r w:rsidRPr="00CD59CC">
          <w:rPr>
            <w:rStyle w:val="Hyperlink"/>
            <w:rFonts w:ascii="Arial" w:hAnsi="Arial" w:cs="Arial"/>
            <w:szCs w:val="24"/>
          </w:rPr>
          <w:t>h</w:t>
        </w:r>
        <w:bookmarkStart w:id="425" w:name="_Hlt391636950"/>
        <w:r w:rsidRPr="00CD59CC">
          <w:rPr>
            <w:rStyle w:val="Hyperlink"/>
            <w:rFonts w:ascii="Arial" w:hAnsi="Arial" w:cs="Arial"/>
            <w:szCs w:val="24"/>
          </w:rPr>
          <w:t>t</w:t>
        </w:r>
        <w:bookmarkEnd w:id="425"/>
        <w:r w:rsidRPr="00CD59CC">
          <w:rPr>
            <w:rStyle w:val="Hyperlink"/>
            <w:rFonts w:ascii="Arial" w:hAnsi="Arial" w:cs="Arial"/>
            <w:szCs w:val="24"/>
          </w:rPr>
          <w:t>tp://www.egyenlobanasmod.hu/data/543-2012.pdf</w:t>
        </w:r>
      </w:hyperlink>
      <w:r w:rsidRPr="00CD59CC">
        <w:rPr>
          <w:rFonts w:ascii="Arial" w:hAnsi="Arial" w:cs="Arial"/>
          <w:szCs w:val="24"/>
        </w:rPr>
        <w:t xml:space="preserve"> </w:t>
      </w:r>
    </w:p>
    <w:p w14:paraId="4098D3E8" w14:textId="77777777" w:rsidR="00E44EED" w:rsidRPr="00CD59CC" w:rsidRDefault="00E44EED" w:rsidP="00CD59CC">
      <w:pPr>
        <w:pStyle w:val="BodyText2"/>
        <w:rPr>
          <w:rFonts w:ascii="Arial" w:hAnsi="Arial" w:cs="Arial"/>
        </w:rPr>
      </w:pPr>
      <w:r w:rsidRPr="00CD59CC">
        <w:rPr>
          <w:rFonts w:ascii="Arial" w:hAnsi="Arial" w:cs="Arial"/>
          <w:b/>
        </w:rPr>
        <w:t>Brief summary:</w:t>
      </w:r>
      <w:r w:rsidRPr="00CD59CC">
        <w:rPr>
          <w:rFonts w:ascii="Arial" w:hAnsi="Arial" w:cs="Arial"/>
        </w:rPr>
        <w:t xml:space="preserve"> A visually impaired employee of the Baranya County Governmental Office filed a complaint with the Equal Treatment Authority on the following basis: the</w:t>
      </w:r>
    </w:p>
    <w:p w14:paraId="42063C21" w14:textId="77777777" w:rsidR="00E44EED" w:rsidRPr="00CD59CC" w:rsidRDefault="00E44EED" w:rsidP="00CD59CC">
      <w:pPr>
        <w:pStyle w:val="BodyText2"/>
        <w:rPr>
          <w:rFonts w:ascii="Arial" w:hAnsi="Arial" w:cs="Arial"/>
        </w:rPr>
      </w:pPr>
      <w:r w:rsidRPr="00CD59CC">
        <w:rPr>
          <w:rFonts w:ascii="Arial" w:hAnsi="Arial" w:cs="Arial"/>
        </w:rPr>
        <w:t>complainant told his employer that he wanted to take extra days off which were due</w:t>
      </w:r>
    </w:p>
    <w:p w14:paraId="043D9775" w14:textId="77777777" w:rsidR="00E44EED" w:rsidRPr="00CD59CC" w:rsidRDefault="00E44EED" w:rsidP="00CD59CC">
      <w:pPr>
        <w:pStyle w:val="BodyTextIndent"/>
        <w:ind w:left="0" w:firstLine="0"/>
        <w:rPr>
          <w:rFonts w:ascii="Arial" w:hAnsi="Arial" w:cs="Arial"/>
          <w:szCs w:val="24"/>
        </w:rPr>
      </w:pPr>
      <w:r w:rsidRPr="00CD59CC">
        <w:rPr>
          <w:rFonts w:ascii="Arial" w:hAnsi="Arial" w:cs="Arial"/>
          <w:szCs w:val="24"/>
        </w:rPr>
        <w:t xml:space="preserve">to him because of his impairment under Hungarian labour law. After this the employer sent him twice within a week to extraordinary labour suitability examinations. On the second occasion, the employer’s representative escorted the complainant to the examination and told the physician conducting the examination that the employer would in the future deprive the complainant from the personal assistance and the material equipment that up to that point had made it possible for him to perform his work. As a result of this, the physician claimed the complainant (who had been doing the given job for years) unsuitable for the job. In addition, after the examination the employer did indeed ban the complainant from using the special computer </w:t>
      </w:r>
      <w:r w:rsidR="007B7640" w:rsidRPr="00CD59CC">
        <w:rPr>
          <w:rFonts w:ascii="Arial" w:hAnsi="Arial" w:cs="Arial"/>
          <w:szCs w:val="24"/>
        </w:rPr>
        <w:t xml:space="preserve">programme </w:t>
      </w:r>
      <w:r w:rsidRPr="00CD59CC">
        <w:rPr>
          <w:rFonts w:ascii="Arial" w:hAnsi="Arial" w:cs="Arial"/>
          <w:szCs w:val="24"/>
        </w:rPr>
        <w:t>and deprived him from the personal assistance that had previously been at his disposal. Finally, the complainant was dismissed on the basis of medical unsuitability. In its decision of 25 October 2012, the Equal Treatment Authority established that the employer had violated the requirement of equal treatment, banned the employer from future violation and ordered that the decision be published for 90 days on the website of the Governmental Office and the Authority.</w:t>
      </w:r>
    </w:p>
    <w:p w14:paraId="49E81255" w14:textId="77777777" w:rsidR="000846C4" w:rsidRPr="00BB4E9F" w:rsidRDefault="000846C4" w:rsidP="00CD59CC">
      <w:pPr>
        <w:rPr>
          <w:rFonts w:ascii="Arial" w:hAnsi="Arial"/>
        </w:rPr>
      </w:pPr>
    </w:p>
    <w:sectPr w:rsidR="000846C4" w:rsidRPr="00BB4E9F" w:rsidSect="00BB4E9F">
      <w:headerReference w:type="default" r:id="rId56"/>
      <w:footerReference w:type="default" r:id="rId57"/>
      <w:headerReference w:type="first" r:id="rId58"/>
      <w:footerReference w:type="first" r:id="rId59"/>
      <w:pgSz w:w="11906" w:h="16838" w:code="9"/>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CF98C" w14:textId="77777777" w:rsidR="00BB4E9F" w:rsidRDefault="00BB4E9F">
      <w:r>
        <w:separator/>
      </w:r>
    </w:p>
  </w:endnote>
  <w:endnote w:type="continuationSeparator" w:id="0">
    <w:p w14:paraId="00ECAB43" w14:textId="77777777" w:rsidR="00BB4E9F" w:rsidRDefault="00BB4E9F">
      <w:r>
        <w:continuationSeparator/>
      </w:r>
    </w:p>
  </w:endnote>
  <w:endnote w:type="continuationNotice" w:id="1">
    <w:p w14:paraId="5D1F0D8E" w14:textId="77777777" w:rsidR="00BB4E9F" w:rsidRDefault="00BB4E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DFFA7" w14:textId="41852B60" w:rsidR="006F0AF2" w:rsidRPr="00DC2773" w:rsidRDefault="000D069B">
    <w:pPr>
      <w:pStyle w:val="Footer"/>
      <w:jc w:val="center"/>
      <w:rPr>
        <w:rFonts w:ascii="Arial" w:hAnsi="Arial" w:cs="Arial"/>
      </w:rPr>
    </w:pPr>
    <w:r>
      <w:rPr>
        <w:rFonts w:ascii="Arial" w:hAnsi="Arial" w:cs="Arial"/>
        <w:noProof/>
        <w:lang w:val="nl-NL" w:eastAsia="nl-NL"/>
      </w:rPr>
      <w:pict w14:anchorId="505DA4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4" type="#_x0000_t75" style="position:absolute;left:0;text-align:left;margin-left:370.1pt;margin-top:-27.45pt;width:95.25pt;height:57pt;z-index:251659264">
          <v:imagedata r:id="rId1" o:title=""/>
          <w10:wrap type="square"/>
        </v:shape>
      </w:pict>
    </w:r>
    <w:r>
      <w:rPr>
        <w:rFonts w:ascii="Arial" w:hAnsi="Arial" w:cs="Arial"/>
        <w:noProof/>
        <w:lang w:val="nl-NL" w:eastAsia="nl-NL"/>
      </w:rPr>
      <w:pict w14:anchorId="1BBF4717">
        <v:shape id="_x0000_s2252" type="#_x0000_t75" style="position:absolute;left:0;text-align:left;margin-left:-34.55pt;margin-top:-23.3pt;width:72.75pt;height:44.25pt;z-index:251657216">
          <v:imagedata r:id="rId2" o:title=""/>
          <w10:wrap type="square"/>
        </v:shape>
      </w:pict>
    </w:r>
    <w:r w:rsidR="006F0AF2" w:rsidRPr="00DC2773">
      <w:rPr>
        <w:rFonts w:ascii="Arial" w:hAnsi="Arial" w:cs="Arial"/>
      </w:rPr>
      <w:fldChar w:fldCharType="begin"/>
    </w:r>
    <w:r w:rsidR="006F0AF2" w:rsidRPr="00DC2773">
      <w:rPr>
        <w:rFonts w:ascii="Arial" w:hAnsi="Arial" w:cs="Arial"/>
      </w:rPr>
      <w:instrText xml:space="preserve"> PAGE   \* MERGEFORMAT </w:instrText>
    </w:r>
    <w:r w:rsidR="006F0AF2" w:rsidRPr="00DC2773">
      <w:rPr>
        <w:rFonts w:ascii="Arial" w:hAnsi="Arial" w:cs="Arial"/>
      </w:rPr>
      <w:fldChar w:fldCharType="separate"/>
    </w:r>
    <w:r>
      <w:rPr>
        <w:rFonts w:ascii="Arial" w:hAnsi="Arial" w:cs="Arial"/>
        <w:noProof/>
      </w:rPr>
      <w:t>13</w:t>
    </w:r>
    <w:r w:rsidR="006F0AF2" w:rsidRPr="00DC2773">
      <w:rPr>
        <w:rFonts w:ascii="Arial" w:hAnsi="Arial"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5A945" w14:textId="3EA94EEF" w:rsidR="006F0AF2" w:rsidRDefault="000D069B">
    <w:pPr>
      <w:pStyle w:val="Footer"/>
    </w:pPr>
    <w:r>
      <w:rPr>
        <w:noProof/>
        <w:lang w:val="nl-NL" w:eastAsia="nl-NL"/>
      </w:rPr>
      <w:pict w14:anchorId="6B6F15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1" type="#_x0000_t75" style="position:absolute;margin-left:-34.65pt;margin-top:-23.35pt;width:72.75pt;height:44.25pt;z-index:251656192">
          <v:imagedata r:id="rId1" o:title=""/>
          <w10:wrap type="square"/>
        </v:shape>
      </w:pict>
    </w:r>
    <w:r>
      <w:rPr>
        <w:noProof/>
        <w:lang w:val="nl-NL" w:eastAsia="nl-NL"/>
      </w:rPr>
      <w:pict w14:anchorId="3C54B66B">
        <v:shape id="_x0000_s2253" type="#_x0000_t75" style="position:absolute;margin-left:369.75pt;margin-top:-27.5pt;width:95.25pt;height:57pt;z-index:251658240">
          <v:imagedata r:id="rId2" o:title=""/>
          <w10:wrap type="squar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A3100" w14:textId="56681C7A" w:rsidR="006F0AF2" w:rsidRPr="00D253E3" w:rsidRDefault="000D069B">
    <w:pPr>
      <w:pStyle w:val="Footer"/>
      <w:jc w:val="center"/>
      <w:rPr>
        <w:rFonts w:ascii="Arial" w:hAnsi="Arial" w:cs="Arial"/>
      </w:rPr>
    </w:pPr>
    <w:r>
      <w:rPr>
        <w:rFonts w:ascii="Arial" w:hAnsi="Arial" w:cs="Arial"/>
        <w:noProof/>
        <w:lang w:val="nl-NL" w:eastAsia="nl-NL"/>
      </w:rPr>
      <w:pict w14:anchorId="2666EF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62" type="#_x0000_t75" style="position:absolute;left:0;text-align:left;margin-left:600.3pt;margin-top:-27.4pt;width:95.25pt;height:57pt;z-index:251665408">
          <v:imagedata r:id="rId1" o:title=""/>
          <w10:wrap type="square"/>
        </v:shape>
      </w:pict>
    </w:r>
    <w:r>
      <w:rPr>
        <w:rFonts w:ascii="Arial" w:hAnsi="Arial" w:cs="Arial"/>
        <w:noProof/>
        <w:lang w:val="nl-NL" w:eastAsia="nl-NL"/>
      </w:rPr>
      <w:pict w14:anchorId="201E4321">
        <v:shape id="_x0000_s2260" type="#_x0000_t75" style="position:absolute;left:0;text-align:left;margin-left:-34pt;margin-top:-20.25pt;width:72.75pt;height:44.25pt;z-index:251663360">
          <v:imagedata r:id="rId2" o:title=""/>
          <w10:wrap type="square"/>
        </v:shape>
      </w:pict>
    </w:r>
    <w:r w:rsidR="006F0AF2" w:rsidRPr="00D253E3">
      <w:rPr>
        <w:rFonts w:ascii="Arial" w:hAnsi="Arial" w:cs="Arial"/>
      </w:rPr>
      <w:fldChar w:fldCharType="begin"/>
    </w:r>
    <w:r w:rsidR="006F0AF2" w:rsidRPr="00D253E3">
      <w:rPr>
        <w:rFonts w:ascii="Arial" w:hAnsi="Arial" w:cs="Arial"/>
      </w:rPr>
      <w:instrText xml:space="preserve"> PAGE   \* MERGEFORMAT </w:instrText>
    </w:r>
    <w:r w:rsidR="006F0AF2" w:rsidRPr="00D253E3">
      <w:rPr>
        <w:rFonts w:ascii="Arial" w:hAnsi="Arial" w:cs="Arial"/>
      </w:rPr>
      <w:fldChar w:fldCharType="separate"/>
    </w:r>
    <w:r>
      <w:rPr>
        <w:rFonts w:ascii="Arial" w:hAnsi="Arial" w:cs="Arial"/>
        <w:noProof/>
      </w:rPr>
      <w:t>167</w:t>
    </w:r>
    <w:r w:rsidR="006F0AF2" w:rsidRPr="00D253E3">
      <w:rPr>
        <w:rFonts w:ascii="Arial" w:hAnsi="Arial" w:cs="Arial"/>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F8111" w14:textId="46D0FE98" w:rsidR="006F0AF2" w:rsidRPr="00BB4E9F" w:rsidRDefault="000D069B" w:rsidP="00BB4E9F">
    <w:pPr>
      <w:pStyle w:val="Footer"/>
      <w:jc w:val="center"/>
      <w:rPr>
        <w:rFonts w:ascii="Arial" w:hAnsi="Arial"/>
      </w:rPr>
    </w:pPr>
    <w:r>
      <w:rPr>
        <w:rFonts w:ascii="Arial" w:hAnsi="Arial" w:cs="Arial"/>
        <w:noProof/>
        <w:lang w:val="nl-NL" w:eastAsia="nl-NL"/>
      </w:rPr>
      <w:pict w14:anchorId="620FB8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61" type="#_x0000_t75" style="position:absolute;left:0;text-align:left;margin-left:599.55pt;margin-top:-27.3pt;width:95.25pt;height:57pt;z-index:251664384">
          <v:imagedata r:id="rId1" o:title=""/>
          <w10:wrap type="square"/>
        </v:shape>
      </w:pict>
    </w:r>
    <w:r>
      <w:rPr>
        <w:rFonts w:ascii="Arial" w:hAnsi="Arial" w:cs="Arial"/>
        <w:noProof/>
        <w:lang w:val="nl-NL" w:eastAsia="nl-NL"/>
      </w:rPr>
      <w:pict w14:anchorId="4723CB29">
        <v:shape id="_x0000_s2259" type="#_x0000_t75" style="position:absolute;left:0;text-align:left;margin-left:-35.2pt;margin-top:-20.2pt;width:72.75pt;height:44.25pt;z-index:251662336">
          <v:imagedata r:id="rId2" o:title=""/>
          <w10:wrap type="square"/>
        </v:shape>
      </w:pict>
    </w:r>
    <w:r w:rsidR="006F0AF2" w:rsidRPr="00D253E3">
      <w:rPr>
        <w:rFonts w:ascii="Arial" w:hAnsi="Arial" w:cs="Arial"/>
      </w:rPr>
      <w:fldChar w:fldCharType="begin"/>
    </w:r>
    <w:r w:rsidR="006F0AF2" w:rsidRPr="00D253E3">
      <w:rPr>
        <w:rFonts w:ascii="Arial" w:hAnsi="Arial" w:cs="Arial"/>
      </w:rPr>
      <w:instrText xml:space="preserve"> PAGE   \* MERGEFORMAT </w:instrText>
    </w:r>
    <w:r w:rsidR="006F0AF2" w:rsidRPr="00D253E3">
      <w:rPr>
        <w:rFonts w:ascii="Arial" w:hAnsi="Arial" w:cs="Arial"/>
      </w:rPr>
      <w:fldChar w:fldCharType="separate"/>
    </w:r>
    <w:r>
      <w:rPr>
        <w:rFonts w:ascii="Arial" w:hAnsi="Arial" w:cs="Arial"/>
        <w:noProof/>
      </w:rPr>
      <w:t>159</w:t>
    </w:r>
    <w:r w:rsidR="006F0AF2" w:rsidRPr="00D253E3">
      <w:rPr>
        <w:rFonts w:ascii="Arial" w:hAnsi="Arial" w:cs="Arial"/>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84752" w14:textId="65F973FD" w:rsidR="006F0AF2" w:rsidRPr="00D253E3" w:rsidRDefault="000D069B">
    <w:pPr>
      <w:pStyle w:val="Footer"/>
      <w:jc w:val="center"/>
      <w:rPr>
        <w:rFonts w:ascii="Arial" w:hAnsi="Arial" w:cs="Arial"/>
      </w:rPr>
    </w:pPr>
    <w:r>
      <w:rPr>
        <w:rFonts w:ascii="Arial" w:hAnsi="Arial" w:cs="Arial"/>
        <w:noProof/>
        <w:lang w:val="nl-NL" w:eastAsia="nl-NL"/>
      </w:rPr>
      <w:pict w14:anchorId="2532B4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66" type="#_x0000_t75" style="position:absolute;left:0;text-align:left;margin-left:-34.9pt;margin-top:-20.25pt;width:72.75pt;height:44.25pt;z-index:251669504">
          <v:imagedata r:id="rId1" o:title=""/>
          <w10:wrap type="square"/>
        </v:shape>
      </w:pict>
    </w:r>
    <w:r>
      <w:rPr>
        <w:rFonts w:ascii="Arial" w:hAnsi="Arial" w:cs="Arial"/>
        <w:noProof/>
        <w:lang w:val="nl-NL" w:eastAsia="nl-NL"/>
      </w:rPr>
      <w:pict w14:anchorId="432F2C16">
        <v:shape id="_x0000_s2264" type="#_x0000_t75" style="position:absolute;left:0;text-align:left;margin-left:381.75pt;margin-top:-27.45pt;width:95.25pt;height:57pt;z-index:251667456">
          <v:imagedata r:id="rId2" o:title=""/>
          <w10:wrap type="square"/>
        </v:shape>
      </w:pict>
    </w:r>
    <w:r w:rsidR="006F0AF2" w:rsidRPr="00D253E3">
      <w:rPr>
        <w:rFonts w:ascii="Arial" w:hAnsi="Arial" w:cs="Arial"/>
      </w:rPr>
      <w:fldChar w:fldCharType="begin"/>
    </w:r>
    <w:r w:rsidR="006F0AF2" w:rsidRPr="00D253E3">
      <w:rPr>
        <w:rFonts w:ascii="Arial" w:hAnsi="Arial" w:cs="Arial"/>
      </w:rPr>
      <w:instrText xml:space="preserve"> PAGE   \* MERGEFORMAT </w:instrText>
    </w:r>
    <w:r w:rsidR="006F0AF2" w:rsidRPr="00D253E3">
      <w:rPr>
        <w:rFonts w:ascii="Arial" w:hAnsi="Arial" w:cs="Arial"/>
      </w:rPr>
      <w:fldChar w:fldCharType="separate"/>
    </w:r>
    <w:r>
      <w:rPr>
        <w:rFonts w:ascii="Arial" w:hAnsi="Arial" w:cs="Arial"/>
        <w:noProof/>
      </w:rPr>
      <w:t>183</w:t>
    </w:r>
    <w:r w:rsidR="006F0AF2" w:rsidRPr="00D253E3">
      <w:rPr>
        <w:rFonts w:ascii="Arial" w:hAnsi="Arial" w:cs="Arial"/>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79BE2" w14:textId="75980559" w:rsidR="006F0AF2" w:rsidRPr="00BB4E9F" w:rsidRDefault="000D069B" w:rsidP="00BB4E9F">
    <w:pPr>
      <w:pStyle w:val="Footer"/>
      <w:jc w:val="center"/>
      <w:rPr>
        <w:rFonts w:ascii="Arial" w:hAnsi="Arial"/>
      </w:rPr>
    </w:pPr>
    <w:r>
      <w:rPr>
        <w:rFonts w:ascii="Arial" w:hAnsi="Arial" w:cs="Arial"/>
        <w:noProof/>
        <w:lang w:val="nl-NL" w:eastAsia="nl-NL"/>
      </w:rPr>
      <w:pict w14:anchorId="2A267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65" type="#_x0000_t75" style="position:absolute;left:0;text-align:left;margin-left:-34.7pt;margin-top:-20.25pt;width:72.75pt;height:44.25pt;z-index:251668480">
          <v:imagedata r:id="rId1" o:title=""/>
          <w10:wrap type="square"/>
        </v:shape>
      </w:pict>
    </w:r>
    <w:r>
      <w:rPr>
        <w:rFonts w:ascii="Arial" w:hAnsi="Arial" w:cs="Arial"/>
        <w:noProof/>
        <w:lang w:val="nl-NL" w:eastAsia="nl-NL"/>
      </w:rPr>
      <w:pict w14:anchorId="4C6F3718">
        <v:shape id="_x0000_s2263" type="#_x0000_t75" style="position:absolute;left:0;text-align:left;margin-left:382.4pt;margin-top:-26.65pt;width:95.25pt;height:57pt;z-index:251666432">
          <v:imagedata r:id="rId2" o:title=""/>
          <w10:wrap type="square"/>
        </v:shape>
      </w:pict>
    </w:r>
    <w:r w:rsidR="006F0AF2" w:rsidRPr="00D253E3">
      <w:rPr>
        <w:rFonts w:ascii="Arial" w:hAnsi="Arial" w:cs="Arial"/>
      </w:rPr>
      <w:fldChar w:fldCharType="begin"/>
    </w:r>
    <w:r w:rsidR="006F0AF2" w:rsidRPr="00D253E3">
      <w:rPr>
        <w:rFonts w:ascii="Arial" w:hAnsi="Arial" w:cs="Arial"/>
      </w:rPr>
      <w:instrText xml:space="preserve"> PAGE   \* MERGEFORMAT </w:instrText>
    </w:r>
    <w:r w:rsidR="006F0AF2" w:rsidRPr="00D253E3">
      <w:rPr>
        <w:rFonts w:ascii="Arial" w:hAnsi="Arial" w:cs="Arial"/>
      </w:rPr>
      <w:fldChar w:fldCharType="separate"/>
    </w:r>
    <w:r>
      <w:rPr>
        <w:rFonts w:ascii="Arial" w:hAnsi="Arial" w:cs="Arial"/>
        <w:noProof/>
      </w:rPr>
      <w:t>168</w:t>
    </w:r>
    <w:r w:rsidR="006F0AF2" w:rsidRPr="00D253E3">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2A9B1" w14:textId="77777777" w:rsidR="00BB4E9F" w:rsidRDefault="00BB4E9F">
      <w:r>
        <w:separator/>
      </w:r>
    </w:p>
  </w:footnote>
  <w:footnote w:type="continuationSeparator" w:id="0">
    <w:p w14:paraId="48653F29" w14:textId="77777777" w:rsidR="00BB4E9F" w:rsidRDefault="00BB4E9F">
      <w:r>
        <w:continuationSeparator/>
      </w:r>
    </w:p>
  </w:footnote>
  <w:footnote w:type="continuationNotice" w:id="1">
    <w:p w14:paraId="5DBB98D3" w14:textId="77777777" w:rsidR="00BB4E9F" w:rsidRPr="001047D7" w:rsidRDefault="00BB4E9F" w:rsidP="001047D7">
      <w:pPr>
        <w:pStyle w:val="Footer"/>
        <w:rPr>
          <w:lang w:val="nl-NL"/>
        </w:rPr>
      </w:pPr>
    </w:p>
  </w:footnote>
  <w:footnote w:id="2">
    <w:p w14:paraId="0D3D41BB"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Pr>
          <w:rFonts w:ascii="Arial" w:hAnsi="Arial" w:cs="Arial"/>
        </w:rPr>
        <w:t xml:space="preserve"> Act LXXXIV of 2013.</w:t>
      </w:r>
    </w:p>
  </w:footnote>
  <w:footnote w:id="3">
    <w:p w14:paraId="020F59EF" w14:textId="3B6FC96C" w:rsidR="006F0AF2" w:rsidRPr="00CD59CC" w:rsidRDefault="006F0AF2" w:rsidP="00CD59CC">
      <w:pPr>
        <w:pStyle w:val="FootnoteText"/>
        <w:rPr>
          <w:rFonts w:ascii="Arial" w:hAnsi="Arial" w:cs="Arial"/>
          <w:lang w:val="hu-HU"/>
        </w:rPr>
      </w:pPr>
      <w:r w:rsidRPr="0031370B">
        <w:rPr>
          <w:rStyle w:val="FootnoteReference"/>
          <w:rFonts w:ascii="Arial" w:hAnsi="Arial" w:cs="Arial"/>
        </w:rPr>
        <w:footnoteRef/>
      </w:r>
      <w:r w:rsidRPr="0031370B">
        <w:rPr>
          <w:rFonts w:ascii="Arial" w:hAnsi="Arial" w:cs="Arial"/>
        </w:rPr>
        <w:t xml:space="preserve"> </w:t>
      </w:r>
      <w:r w:rsidRPr="0031370B">
        <w:rPr>
          <w:rFonts w:ascii="Arial" w:hAnsi="Arial" w:cs="Arial"/>
          <w:lang w:val="hu-HU"/>
        </w:rPr>
        <w:t xml:space="preserve">See: </w:t>
      </w:r>
      <w:hyperlink r:id="rId1" w:history="1">
        <w:r w:rsidRPr="0031370B">
          <w:rPr>
            <w:rStyle w:val="Hyperlink"/>
            <w:rFonts w:ascii="Arial" w:hAnsi="Arial" w:cs="Arial"/>
            <w:lang w:val="hu-HU"/>
          </w:rPr>
          <w:t>http://www.parlament.hu/irom39/11111/11111.pdf</w:t>
        </w:r>
      </w:hyperlink>
    </w:p>
  </w:footnote>
  <w:footnote w:id="4">
    <w:p w14:paraId="1B89C430" w14:textId="77777777" w:rsidR="006F0AF2" w:rsidRPr="00CD59CC" w:rsidRDefault="006F0AF2" w:rsidP="00CD59CC">
      <w:pPr>
        <w:pStyle w:val="FootnoteText"/>
        <w:rPr>
          <w:rStyle w:val="Hyperlink"/>
          <w:rFonts w:ascii="Arial" w:hAnsi="Arial" w:cs="Arial"/>
          <w:lang w:eastAsia="en-GB"/>
        </w:rPr>
      </w:pPr>
      <w:r w:rsidRPr="00CD59CC">
        <w:rPr>
          <w:rStyle w:val="FootnoteReference"/>
          <w:rFonts w:ascii="Arial" w:hAnsi="Arial" w:cs="Arial"/>
          <w:color w:val="000000"/>
        </w:rPr>
        <w:footnoteRef/>
      </w:r>
      <w:r w:rsidRPr="00CD59CC">
        <w:rPr>
          <w:rFonts w:ascii="Arial" w:hAnsi="Arial" w:cs="Arial"/>
          <w:color w:val="000000"/>
        </w:rPr>
        <w:t xml:space="preserve"> Source: Website of the Equal Treatment Authority.</w:t>
      </w:r>
    </w:p>
  </w:footnote>
  <w:footnote w:id="5">
    <w:p w14:paraId="7699553F" w14:textId="0A67EFFA"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2" w:history="1">
        <w:r w:rsidRPr="00CD59CC">
          <w:rPr>
            <w:rStyle w:val="Hyperlink"/>
            <w:rFonts w:ascii="Arial" w:hAnsi="Arial" w:cs="Arial"/>
          </w:rPr>
          <w:t>http://www.egyenlobanasmod.hu/data/2010beszamolo2.pdf</w:t>
        </w:r>
      </w:hyperlink>
      <w:r w:rsidRPr="00CD59CC">
        <w:rPr>
          <w:rStyle w:val="Hyperlink"/>
          <w:rFonts w:ascii="Arial" w:hAnsi="Arial" w:cs="Arial"/>
        </w:rPr>
        <w:t>.</w:t>
      </w:r>
    </w:p>
  </w:footnote>
  <w:footnote w:id="6">
    <w:p w14:paraId="73683E01"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3" w:history="1">
        <w:r w:rsidRPr="00CD59CC">
          <w:rPr>
            <w:rStyle w:val="Hyperlink"/>
            <w:rFonts w:ascii="Arial" w:hAnsi="Arial" w:cs="Arial"/>
          </w:rPr>
          <w:t>http://www.egyenlobanasmod</w:t>
        </w:r>
        <w:bookmarkStart w:id="17" w:name="_Hlt391633430"/>
        <w:r w:rsidRPr="00CD59CC">
          <w:rPr>
            <w:rStyle w:val="Hyperlink"/>
            <w:rFonts w:ascii="Arial" w:hAnsi="Arial" w:cs="Arial"/>
          </w:rPr>
          <w:t>.</w:t>
        </w:r>
        <w:bookmarkEnd w:id="17"/>
        <w:r w:rsidRPr="00CD59CC">
          <w:rPr>
            <w:rStyle w:val="Hyperlink"/>
            <w:rFonts w:ascii="Arial" w:hAnsi="Arial" w:cs="Arial"/>
          </w:rPr>
          <w:t>hu/data/2011be</w:t>
        </w:r>
        <w:bookmarkStart w:id="18" w:name="_Hlt366756290"/>
        <w:r w:rsidRPr="00CD59CC">
          <w:rPr>
            <w:rStyle w:val="Hyperlink"/>
            <w:rFonts w:ascii="Arial" w:hAnsi="Arial" w:cs="Arial"/>
          </w:rPr>
          <w:t>s</w:t>
        </w:r>
        <w:bookmarkEnd w:id="18"/>
        <w:r w:rsidRPr="00CD59CC">
          <w:rPr>
            <w:rStyle w:val="Hyperlink"/>
            <w:rFonts w:ascii="Arial" w:hAnsi="Arial" w:cs="Arial"/>
          </w:rPr>
          <w:t>zamolo.pdf</w:t>
        </w:r>
      </w:hyperlink>
      <w:r w:rsidRPr="00CD59CC">
        <w:rPr>
          <w:rFonts w:ascii="Arial" w:hAnsi="Arial" w:cs="Arial"/>
        </w:rPr>
        <w:t xml:space="preserve">. </w:t>
      </w:r>
    </w:p>
  </w:footnote>
  <w:footnote w:id="7">
    <w:p w14:paraId="37CD012E" w14:textId="615C886D"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4" w:history="1">
        <w:r w:rsidRPr="00592BD1">
          <w:rPr>
            <w:rStyle w:val="Hyperlink"/>
            <w:rFonts w:ascii="Arial" w:hAnsi="Arial" w:cs="Arial"/>
          </w:rPr>
          <w:t>http://www.egyenlobanasmod.hu/data/2012beszamolo.pdf</w:t>
        </w:r>
      </w:hyperlink>
      <w:r w:rsidRPr="00CD59CC">
        <w:rPr>
          <w:rFonts w:ascii="Arial" w:hAnsi="Arial" w:cs="Arial"/>
        </w:rPr>
        <w:t>.</w:t>
      </w:r>
    </w:p>
  </w:footnote>
  <w:footnote w:id="8">
    <w:p w14:paraId="4EB32178" w14:textId="385F272B"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 xml:space="preserve">See: </w:t>
      </w:r>
      <w:hyperlink r:id="rId5" w:history="1">
        <w:r w:rsidRPr="00592BD1">
          <w:rPr>
            <w:rStyle w:val="Hyperlink"/>
            <w:rFonts w:ascii="Arial" w:hAnsi="Arial" w:cs="Arial"/>
            <w:lang w:val="hu-HU"/>
          </w:rPr>
          <w:t>http://www.egyenlobanasmod.hu/data/EBH_2013_tevekenyseg_szamok_tukreben.pdf</w:t>
        </w:r>
      </w:hyperlink>
      <w:r>
        <w:rPr>
          <w:rFonts w:ascii="Arial" w:hAnsi="Arial" w:cs="Arial"/>
          <w:lang w:val="hu-HU"/>
        </w:rPr>
        <w:t>.</w:t>
      </w:r>
    </w:p>
  </w:footnote>
  <w:footnote w:id="9">
    <w:p w14:paraId="4917E324" w14:textId="487E93FB" w:rsidR="006F0AF2" w:rsidRPr="00CD59CC" w:rsidRDefault="006F0AF2" w:rsidP="00CD59CC">
      <w:pPr>
        <w:pStyle w:val="FootnoteText"/>
        <w:rPr>
          <w:rFonts w:ascii="Arial" w:hAnsi="Arial" w:cs="Arial"/>
          <w:lang w:val="hu-HU"/>
        </w:rPr>
      </w:pPr>
      <w:r w:rsidRPr="00162A1F">
        <w:rPr>
          <w:rStyle w:val="FootnoteReference"/>
          <w:rFonts w:ascii="Arial" w:hAnsi="Arial" w:cs="Arial"/>
        </w:rPr>
        <w:footnoteRef/>
      </w:r>
      <w:r w:rsidRPr="00162A1F">
        <w:rPr>
          <w:rFonts w:ascii="Arial" w:hAnsi="Arial" w:cs="Arial"/>
        </w:rPr>
        <w:t xml:space="preserve"> See: </w:t>
      </w:r>
      <w:hyperlink r:id="rId6" w:anchor="y2013" w:history="1">
        <w:r w:rsidRPr="00162A1F">
          <w:rPr>
            <w:rStyle w:val="Hyperlink"/>
            <w:rFonts w:ascii="Arial" w:hAnsi="Arial" w:cs="Arial"/>
          </w:rPr>
          <w:t>http://www.egyenlobanasmod.hu/jogesetek/jogesetek#y2013</w:t>
        </w:r>
      </w:hyperlink>
      <w:r w:rsidRPr="00162A1F">
        <w:rPr>
          <w:rFonts w:ascii="Arial" w:hAnsi="Arial" w:cs="Arial"/>
        </w:rPr>
        <w:t>.</w:t>
      </w:r>
    </w:p>
  </w:footnote>
  <w:footnote w:id="10">
    <w:p w14:paraId="3471C128"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Government Decree 170/2011, Article 1</w:t>
      </w:r>
      <w:r>
        <w:rPr>
          <w:rFonts w:ascii="Arial" w:hAnsi="Arial" w:cs="Arial"/>
          <w:lang w:val="hu-HU"/>
        </w:rPr>
        <w:t>.</w:t>
      </w:r>
    </w:p>
  </w:footnote>
  <w:footnote w:id="11">
    <w:p w14:paraId="0B0BF6A6"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Government Decree 483/2013, Article 1</w:t>
      </w:r>
      <w:r>
        <w:rPr>
          <w:rFonts w:ascii="Arial" w:hAnsi="Arial" w:cs="Arial"/>
          <w:lang w:val="hu-HU"/>
        </w:rPr>
        <w:t>.</w:t>
      </w:r>
    </w:p>
  </w:footnote>
  <w:footnote w:id="12">
    <w:p w14:paraId="6501ECFC"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See Report No. AJB-3025/2012 of the Commissioner for Fundamental Rights</w:t>
      </w:r>
      <w:r>
        <w:rPr>
          <w:rFonts w:ascii="Arial" w:hAnsi="Arial" w:cs="Arial"/>
          <w:lang w:val="hu-HU"/>
        </w:rPr>
        <w:t>.</w:t>
      </w:r>
    </w:p>
  </w:footnote>
  <w:footnote w:id="13">
    <w:p w14:paraId="15ED5F9C" w14:textId="7D2708E2"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lang w:val="hu-HU"/>
        </w:rPr>
        <w:t xml:space="preserve"> </w:t>
      </w:r>
      <w:hyperlink r:id="rId7" w:history="1">
        <w:r w:rsidRPr="00592BD1">
          <w:rPr>
            <w:rStyle w:val="Hyperlink"/>
            <w:rFonts w:ascii="Arial" w:hAnsi="Arial" w:cs="Arial"/>
            <w:lang w:val="hu-HU"/>
          </w:rPr>
          <w:t>http://lehetmas.hu/hirek/34485/kozmunkasok-bere-alkotmanybirosaghoz-fordul-egy-kozmunkas-az-lmp-segitsegevel/</w:t>
        </w:r>
      </w:hyperlink>
      <w:r>
        <w:rPr>
          <w:rFonts w:ascii="Arial" w:hAnsi="Arial" w:cs="Arial"/>
          <w:lang w:val="hu-HU"/>
        </w:rPr>
        <w:t>.</w:t>
      </w:r>
    </w:p>
  </w:footnote>
  <w:footnote w:id="14">
    <w:p w14:paraId="4E7991E7"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See: Report No. AJB-5317/2012 of the Commissioner for Fundamental Rights</w:t>
      </w:r>
      <w:r>
        <w:rPr>
          <w:rFonts w:ascii="Arial" w:hAnsi="Arial" w:cs="Arial"/>
        </w:rPr>
        <w:t>.</w:t>
      </w:r>
    </w:p>
  </w:footnote>
  <w:footnote w:id="15">
    <w:p w14:paraId="28DF2788" w14:textId="2DAE796F"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lang w:val="hu-HU"/>
        </w:rPr>
        <w:t xml:space="preserve"> </w:t>
      </w:r>
      <w:hyperlink r:id="rId8" w:history="1">
        <w:r w:rsidRPr="00592BD1">
          <w:rPr>
            <w:rStyle w:val="Hyperlink"/>
            <w:rFonts w:ascii="Arial" w:hAnsi="Arial" w:cs="Arial"/>
            <w:lang w:val="hu-HU"/>
          </w:rPr>
          <w:t>http://www.jogtalanul.blog.hu/2012/05/15/a_kozfoglalkoztatas_ordogi_kor</w:t>
        </w:r>
      </w:hyperlink>
      <w:r>
        <w:rPr>
          <w:rFonts w:ascii="Arial" w:hAnsi="Arial" w:cs="Arial"/>
          <w:lang w:val="hu-HU"/>
        </w:rPr>
        <w:t>.</w:t>
      </w:r>
    </w:p>
  </w:footnote>
  <w:footnote w:id="16">
    <w:p w14:paraId="13FC535E" w14:textId="19755B49"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 xml:space="preserve">Annual report of the Commissioner for Fundamental Rights for the years 2013, p. 75. Available at: </w:t>
      </w:r>
      <w:hyperlink r:id="rId9" w:history="1">
        <w:r w:rsidRPr="00592BD1">
          <w:rPr>
            <w:rStyle w:val="Hyperlink"/>
            <w:rFonts w:ascii="Arial" w:hAnsi="Arial" w:cs="Arial"/>
            <w:lang w:val="hu-HU"/>
          </w:rPr>
          <w:t>http://www.ajbh.hu/documents/10180/1210223/AJBH+Besz%C3%A1mol%C3%B3%202013/ef587a6b-5ae4-43ec-83d2-e3f335e6c4d1?version=1.0</w:t>
        </w:r>
      </w:hyperlink>
      <w:r>
        <w:rPr>
          <w:rFonts w:ascii="Arial" w:hAnsi="Arial" w:cs="Arial"/>
          <w:lang w:val="hu-HU"/>
        </w:rPr>
        <w:t>.</w:t>
      </w:r>
    </w:p>
  </w:footnote>
  <w:footnote w:id="17">
    <w:p w14:paraId="5216F126"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10" w:history="1">
        <w:r w:rsidRPr="00CD59CC">
          <w:rPr>
            <w:rStyle w:val="Hyperlink"/>
            <w:rFonts w:ascii="Arial" w:hAnsi="Arial" w:cs="Arial"/>
          </w:rPr>
          <w:t>http://www.venice.coe.int/webforms/do</w:t>
        </w:r>
        <w:bookmarkStart w:id="24" w:name="_Hlt369775940"/>
        <w:bookmarkStart w:id="25" w:name="_Hlt369775941"/>
        <w:r w:rsidRPr="00CD59CC">
          <w:rPr>
            <w:rStyle w:val="Hyperlink"/>
            <w:rFonts w:ascii="Arial" w:hAnsi="Arial" w:cs="Arial"/>
          </w:rPr>
          <w:t>c</w:t>
        </w:r>
        <w:bookmarkEnd w:id="24"/>
        <w:bookmarkEnd w:id="25"/>
        <w:r w:rsidRPr="00CD59CC">
          <w:rPr>
            <w:rStyle w:val="Hyperlink"/>
            <w:rFonts w:ascii="Arial" w:hAnsi="Arial" w:cs="Arial"/>
          </w:rPr>
          <w:t>uments/?pdf=</w:t>
        </w:r>
        <w:bookmarkStart w:id="26" w:name="_Hlt391633589"/>
        <w:r w:rsidRPr="00CD59CC">
          <w:rPr>
            <w:rStyle w:val="Hyperlink"/>
            <w:rFonts w:ascii="Arial" w:hAnsi="Arial" w:cs="Arial"/>
          </w:rPr>
          <w:t>C</w:t>
        </w:r>
        <w:bookmarkEnd w:id="26"/>
        <w:r w:rsidRPr="00CD59CC">
          <w:rPr>
            <w:rStyle w:val="Hyperlink"/>
            <w:rFonts w:ascii="Arial" w:hAnsi="Arial" w:cs="Arial"/>
          </w:rPr>
          <w:t>DL</w:t>
        </w:r>
        <w:bookmarkStart w:id="27" w:name="_Hlt370196960"/>
        <w:bookmarkStart w:id="28" w:name="_Hlt370196961"/>
        <w:r w:rsidRPr="00CD59CC">
          <w:rPr>
            <w:rStyle w:val="Hyperlink"/>
            <w:rFonts w:ascii="Arial" w:hAnsi="Arial" w:cs="Arial"/>
          </w:rPr>
          <w:t>-</w:t>
        </w:r>
        <w:bookmarkEnd w:id="27"/>
        <w:bookmarkEnd w:id="28"/>
        <w:r w:rsidRPr="00CD59CC">
          <w:rPr>
            <w:rStyle w:val="Hyperlink"/>
            <w:rFonts w:ascii="Arial" w:hAnsi="Arial" w:cs="Arial"/>
          </w:rPr>
          <w:t>AD(2011)016-e</w:t>
        </w:r>
      </w:hyperlink>
      <w:r w:rsidRPr="00CD59CC">
        <w:rPr>
          <w:rFonts w:ascii="Arial" w:hAnsi="Arial" w:cs="Arial"/>
        </w:rPr>
        <w:t>; §§ 76-80.</w:t>
      </w:r>
    </w:p>
  </w:footnote>
  <w:footnote w:id="18">
    <w:p w14:paraId="552E1AE4" w14:textId="1073C637"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w:t>
      </w:r>
      <w:hyperlink r:id="rId11" w:history="1">
        <w:r w:rsidRPr="00CD59CC">
          <w:rPr>
            <w:rStyle w:val="Hyperlink"/>
            <w:rFonts w:ascii="Arial" w:hAnsi="Arial" w:cs="Arial"/>
          </w:rPr>
          <w:t>http://www.egyenlobanasmod.hu/index.php?g=kozadat.htm#ie1</w:t>
        </w:r>
      </w:hyperlink>
      <w:r w:rsidRPr="00CD59CC">
        <w:rPr>
          <w:rStyle w:val="Hyperlink"/>
          <w:rFonts w:ascii="Arial" w:hAnsi="Arial" w:cs="Arial"/>
          <w:color w:val="auto"/>
          <w:u w:val="none"/>
        </w:rPr>
        <w:t>.</w:t>
      </w:r>
    </w:p>
  </w:footnote>
  <w:footnote w:id="19">
    <w:p w14:paraId="64CA7FBB" w14:textId="7364083E" w:rsidR="006F0AF2" w:rsidRPr="00CD59CC" w:rsidRDefault="006F0AF2" w:rsidP="00CD59CC">
      <w:pPr>
        <w:pStyle w:val="FootnoteText"/>
        <w:rPr>
          <w:rFonts w:ascii="Arial" w:hAnsi="Arial" w:cs="Arial"/>
          <w:color w:val="000000"/>
          <w:highlight w:val="yellow"/>
        </w:rPr>
      </w:pPr>
      <w:r w:rsidRPr="00CD59CC">
        <w:rPr>
          <w:rStyle w:val="FootnoteReference"/>
          <w:rFonts w:ascii="Arial" w:hAnsi="Arial" w:cs="Arial"/>
          <w:color w:val="000000"/>
        </w:rPr>
        <w:footnoteRef/>
      </w:r>
      <w:r w:rsidRPr="00CD59CC">
        <w:rPr>
          <w:rFonts w:ascii="Arial" w:hAnsi="Arial" w:cs="Arial"/>
          <w:color w:val="000000"/>
        </w:rPr>
        <w:t xml:space="preserve"> </w:t>
      </w:r>
      <w:hyperlink r:id="rId12" w:history="1">
        <w:r w:rsidRPr="00CD59CC">
          <w:rPr>
            <w:rStyle w:val="Hyperlink"/>
            <w:rFonts w:ascii="Arial" w:hAnsi="Arial" w:cs="Arial"/>
          </w:rPr>
          <w:t>http://www.egyenlobanasmod.hu/data/2008beszamolo.pdf</w:t>
        </w:r>
      </w:hyperlink>
      <w:r w:rsidRPr="00CD59CC">
        <w:rPr>
          <w:rStyle w:val="Hyperlink"/>
          <w:rFonts w:ascii="Arial" w:hAnsi="Arial" w:cs="Arial"/>
          <w:color w:val="auto"/>
          <w:u w:val="none"/>
        </w:rPr>
        <w:t>.</w:t>
      </w:r>
    </w:p>
  </w:footnote>
  <w:footnote w:id="20">
    <w:p w14:paraId="47932025" w14:textId="77777777"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Case no. EBH 1/2008.</w:t>
      </w:r>
    </w:p>
  </w:footnote>
  <w:footnote w:id="21">
    <w:p w14:paraId="724504E7" w14:textId="77777777"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Case no. EBH 704/2007.</w:t>
      </w:r>
    </w:p>
  </w:footnote>
  <w:footnote w:id="22">
    <w:p w14:paraId="5CDA0D79" w14:textId="07404B5E"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13" w:history="1">
        <w:r w:rsidRPr="00CD59CC">
          <w:rPr>
            <w:rStyle w:val="Hyperlink"/>
            <w:rFonts w:ascii="Arial" w:hAnsi="Arial" w:cs="Arial"/>
          </w:rPr>
          <w:t>http://www.egyenlobanasmod.hu/data/2009beszamolo.pdf</w:t>
        </w:r>
      </w:hyperlink>
      <w:r w:rsidRPr="00CD59CC">
        <w:rPr>
          <w:rStyle w:val="Hyperlink"/>
          <w:rFonts w:ascii="Arial" w:hAnsi="Arial" w:cs="Arial"/>
          <w:color w:val="auto"/>
          <w:u w:val="none"/>
        </w:rPr>
        <w:t>.</w:t>
      </w:r>
    </w:p>
  </w:footnote>
  <w:footnote w:id="23">
    <w:p w14:paraId="3443C907" w14:textId="57FF17B8"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14" w:history="1">
        <w:r w:rsidRPr="00CD59CC">
          <w:rPr>
            <w:rStyle w:val="Hyperlink"/>
            <w:rFonts w:ascii="Arial" w:hAnsi="Arial" w:cs="Arial"/>
          </w:rPr>
          <w:t>http://www.egyenlobanasmod.hu/data/2010beszamolo2.pdf</w:t>
        </w:r>
      </w:hyperlink>
      <w:r w:rsidRPr="00CD59CC">
        <w:rPr>
          <w:rStyle w:val="Hyperlink"/>
          <w:rFonts w:ascii="Arial" w:hAnsi="Arial" w:cs="Arial"/>
          <w:color w:val="auto"/>
          <w:u w:val="none"/>
        </w:rPr>
        <w:t>.</w:t>
      </w:r>
    </w:p>
  </w:footnote>
  <w:footnote w:id="24">
    <w:p w14:paraId="2783E4DD" w14:textId="3DF5A568"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15" w:history="1">
        <w:r w:rsidRPr="00CD59CC">
          <w:rPr>
            <w:rStyle w:val="Hyperlink"/>
            <w:rFonts w:ascii="Arial" w:hAnsi="Arial" w:cs="Arial"/>
          </w:rPr>
          <w:t>http://www.egyenlobanasmod.hu/data/TTaf_201004.pdf</w:t>
        </w:r>
      </w:hyperlink>
      <w:r w:rsidRPr="00CD59CC">
        <w:rPr>
          <w:rStyle w:val="Hyperlink"/>
          <w:rFonts w:ascii="Arial" w:hAnsi="Arial" w:cs="Arial"/>
          <w:color w:val="auto"/>
          <w:u w:val="none"/>
        </w:rPr>
        <w:t>.</w:t>
      </w:r>
    </w:p>
  </w:footnote>
  <w:footnote w:id="25">
    <w:p w14:paraId="09EFCB87" w14:textId="265B28B8"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16" w:history="1">
        <w:r w:rsidRPr="00CD59CC">
          <w:rPr>
            <w:rStyle w:val="Hyperlink"/>
            <w:rFonts w:ascii="Arial" w:hAnsi="Arial" w:cs="Arial"/>
          </w:rPr>
          <w:t>http://www.egyenlobanasmod.hu/data/2010beszamolo2.pdf</w:t>
        </w:r>
      </w:hyperlink>
      <w:r w:rsidRPr="00CD59CC">
        <w:rPr>
          <w:rStyle w:val="Hyperlink"/>
          <w:rFonts w:ascii="Arial" w:hAnsi="Arial" w:cs="Arial"/>
          <w:color w:val="auto"/>
          <w:u w:val="none"/>
        </w:rPr>
        <w:t>.</w:t>
      </w:r>
    </w:p>
  </w:footnote>
  <w:footnote w:id="26">
    <w:p w14:paraId="4F5FBA55" w14:textId="7D8BE44C"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17" w:history="1">
        <w:r w:rsidRPr="00CD59CC">
          <w:rPr>
            <w:rStyle w:val="Hyperlink"/>
            <w:rFonts w:ascii="Arial" w:hAnsi="Arial" w:cs="Arial"/>
          </w:rPr>
          <w:t>http://www.egyenlobanasmod.hu/jogesetek/hu/23-2011.pdf</w:t>
        </w:r>
      </w:hyperlink>
      <w:r w:rsidRPr="00CD59CC">
        <w:rPr>
          <w:rFonts w:ascii="Arial" w:hAnsi="Arial" w:cs="Arial"/>
        </w:rPr>
        <w:t>.</w:t>
      </w:r>
    </w:p>
  </w:footnote>
  <w:footnote w:id="27">
    <w:p w14:paraId="267C22E0" w14:textId="77777777"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For more details see: Zoltán Peszlen: ‘Próbaper a diszkrimináció ellen’ (Test Trial against Discrimination), In: Vegyesváltó (Mixed Relay), Egyenlõ Esélyek Alapítvány, Budapest, 1999, pp 138-149.</w:t>
      </w:r>
    </w:p>
  </w:footnote>
  <w:footnote w:id="28">
    <w:p w14:paraId="0352B69B"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18" w:history="1">
        <w:r w:rsidRPr="00CD59CC">
          <w:rPr>
            <w:rStyle w:val="Hyperlink"/>
            <w:rFonts w:ascii="Arial" w:hAnsi="Arial" w:cs="Arial"/>
          </w:rPr>
          <w:t>http://www.egyenloban</w:t>
        </w:r>
        <w:bookmarkStart w:id="51" w:name="_Hlt369776213"/>
        <w:r w:rsidRPr="00CD59CC">
          <w:rPr>
            <w:rStyle w:val="Hyperlink"/>
            <w:rFonts w:ascii="Arial" w:hAnsi="Arial" w:cs="Arial"/>
          </w:rPr>
          <w:t>a</w:t>
        </w:r>
        <w:bookmarkEnd w:id="51"/>
        <w:r w:rsidRPr="00CD59CC">
          <w:rPr>
            <w:rStyle w:val="Hyperlink"/>
            <w:rFonts w:ascii="Arial" w:hAnsi="Arial" w:cs="Arial"/>
          </w:rPr>
          <w:t>smod.hu/jogesetek/hu/105</w:t>
        </w:r>
        <w:bookmarkStart w:id="52" w:name="_Hlt391633644"/>
        <w:r w:rsidRPr="00CD59CC">
          <w:rPr>
            <w:rStyle w:val="Hyperlink"/>
            <w:rFonts w:ascii="Arial" w:hAnsi="Arial" w:cs="Arial"/>
          </w:rPr>
          <w:t>4</w:t>
        </w:r>
        <w:bookmarkStart w:id="53" w:name="_Hlt370196982"/>
        <w:bookmarkEnd w:id="52"/>
        <w:r w:rsidRPr="00CD59CC">
          <w:rPr>
            <w:rStyle w:val="Hyperlink"/>
            <w:rFonts w:ascii="Arial" w:hAnsi="Arial" w:cs="Arial"/>
          </w:rPr>
          <w:t>-</w:t>
        </w:r>
        <w:bookmarkEnd w:id="53"/>
        <w:r w:rsidRPr="00CD59CC">
          <w:rPr>
            <w:rStyle w:val="Hyperlink"/>
            <w:rFonts w:ascii="Arial" w:hAnsi="Arial" w:cs="Arial"/>
          </w:rPr>
          <w:t>2009.pdf</w:t>
        </w:r>
      </w:hyperlink>
      <w:r w:rsidRPr="00CD59CC">
        <w:rPr>
          <w:rStyle w:val="Hyperlink"/>
          <w:rFonts w:ascii="Arial" w:hAnsi="Arial" w:cs="Arial"/>
        </w:rPr>
        <w:t>.</w:t>
      </w:r>
      <w:r w:rsidRPr="00CD59CC">
        <w:rPr>
          <w:rStyle w:val="Hyperlink"/>
          <w:rFonts w:ascii="Arial" w:hAnsi="Arial" w:cs="Arial"/>
          <w:color w:val="auto"/>
          <w:u w:val="none"/>
        </w:rPr>
        <w:t xml:space="preserve"> </w:t>
      </w:r>
    </w:p>
  </w:footnote>
  <w:footnote w:id="29">
    <w:p w14:paraId="173419E0"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For details also see Section 0.3.</w:t>
      </w:r>
    </w:p>
  </w:footnote>
  <w:footnote w:id="30">
    <w:p w14:paraId="44D15761"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Act XXII of 1992.</w:t>
      </w:r>
    </w:p>
  </w:footnote>
  <w:footnote w:id="31">
    <w:p w14:paraId="2E120D24" w14:textId="6176451C"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19" w:history="1">
        <w:r w:rsidRPr="00CD59CC">
          <w:rPr>
            <w:rStyle w:val="Hyperlink"/>
            <w:rFonts w:ascii="Arial" w:hAnsi="Arial" w:cs="Arial"/>
          </w:rPr>
          <w:t>http://www.egyenlobanasmod.hu/index.php?g=EBH-jelentes07.htm</w:t>
        </w:r>
      </w:hyperlink>
      <w:r w:rsidRPr="00CD59CC">
        <w:rPr>
          <w:rStyle w:val="Hyperlink"/>
          <w:rFonts w:ascii="Arial" w:hAnsi="Arial" w:cs="Arial"/>
          <w:color w:val="auto"/>
          <w:u w:val="none"/>
        </w:rPr>
        <w:t>.</w:t>
      </w:r>
    </w:p>
  </w:footnote>
  <w:footnote w:id="32">
    <w:p w14:paraId="058EDCF2"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20" w:history="1">
        <w:r w:rsidRPr="00CD59CC">
          <w:rPr>
            <w:rStyle w:val="Hyperlink"/>
            <w:rFonts w:ascii="Arial" w:hAnsi="Arial" w:cs="Arial"/>
          </w:rPr>
          <w:t>http://dev.neki.hu/w</w:t>
        </w:r>
        <w:bookmarkStart w:id="58" w:name="_Hlt369776286"/>
        <w:r w:rsidRPr="00CD59CC">
          <w:rPr>
            <w:rStyle w:val="Hyperlink"/>
            <w:rFonts w:ascii="Arial" w:hAnsi="Arial" w:cs="Arial"/>
          </w:rPr>
          <w:t>p</w:t>
        </w:r>
        <w:bookmarkEnd w:id="58"/>
        <w:r w:rsidRPr="00CD59CC">
          <w:rPr>
            <w:rStyle w:val="Hyperlink"/>
            <w:rFonts w:ascii="Arial" w:hAnsi="Arial" w:cs="Arial"/>
          </w:rPr>
          <w:t>-c</w:t>
        </w:r>
        <w:bookmarkStart w:id="59" w:name="_Hlt369776297"/>
        <w:r w:rsidRPr="00CD59CC">
          <w:rPr>
            <w:rStyle w:val="Hyperlink"/>
            <w:rFonts w:ascii="Arial" w:hAnsi="Arial" w:cs="Arial"/>
          </w:rPr>
          <w:t>o</w:t>
        </w:r>
        <w:bookmarkStart w:id="60" w:name="_Hlt382677281"/>
        <w:bookmarkStart w:id="61" w:name="_Hlt382677282"/>
        <w:bookmarkStart w:id="62" w:name="_Hlt382677283"/>
        <w:bookmarkEnd w:id="59"/>
        <w:r w:rsidRPr="00CD59CC">
          <w:rPr>
            <w:rStyle w:val="Hyperlink"/>
            <w:rFonts w:ascii="Arial" w:hAnsi="Arial" w:cs="Arial"/>
          </w:rPr>
          <w:t>n</w:t>
        </w:r>
        <w:bookmarkEnd w:id="60"/>
        <w:bookmarkEnd w:id="61"/>
        <w:bookmarkEnd w:id="62"/>
        <w:r w:rsidRPr="00CD59CC">
          <w:rPr>
            <w:rStyle w:val="Hyperlink"/>
            <w:rFonts w:ascii="Arial" w:hAnsi="Arial" w:cs="Arial"/>
          </w:rPr>
          <w:t>tent/uploads</w:t>
        </w:r>
        <w:bookmarkStart w:id="63" w:name="_Hlt391633679"/>
        <w:r w:rsidRPr="00CD59CC">
          <w:rPr>
            <w:rStyle w:val="Hyperlink"/>
            <w:rFonts w:ascii="Arial" w:hAnsi="Arial" w:cs="Arial"/>
          </w:rPr>
          <w:t>/</w:t>
        </w:r>
        <w:bookmarkEnd w:id="63"/>
        <w:r w:rsidRPr="00CD59CC">
          <w:rPr>
            <w:rStyle w:val="Hyperlink"/>
            <w:rFonts w:ascii="Arial" w:hAnsi="Arial" w:cs="Arial"/>
          </w:rPr>
          <w:t>2013/05/tesztelési-tanulmány.pdf</w:t>
        </w:r>
      </w:hyperlink>
      <w:r w:rsidRPr="00CD59CC">
        <w:rPr>
          <w:rFonts w:ascii="Arial" w:hAnsi="Arial" w:cs="Arial"/>
        </w:rPr>
        <w:t xml:space="preserve">. </w:t>
      </w:r>
    </w:p>
  </w:footnote>
  <w:footnote w:id="33">
    <w:p w14:paraId="54BEF299"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NGO testers perform their tasks voluntarily or receive a symbolic fee of around EUR 60 per occasion. The fee is covered from project grants or the reserves of the NGO working on the case.</w:t>
      </w:r>
    </w:p>
  </w:footnote>
  <w:footnote w:id="34">
    <w:p w14:paraId="3C6DCABF" w14:textId="77777777"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Described on the basis of NEKI’s White Booklet 2000, see: </w:t>
      </w:r>
      <w:hyperlink r:id="rId21" w:history="1">
        <w:r w:rsidRPr="00CD59CC">
          <w:rPr>
            <w:rStyle w:val="Hyperlink"/>
            <w:rFonts w:ascii="Arial" w:hAnsi="Arial" w:cs="Arial"/>
          </w:rPr>
          <w:t>http://dev</w:t>
        </w:r>
        <w:bookmarkStart w:id="64" w:name="_Hlt370197042"/>
        <w:r w:rsidRPr="00CD59CC">
          <w:rPr>
            <w:rStyle w:val="Hyperlink"/>
            <w:rFonts w:ascii="Arial" w:hAnsi="Arial" w:cs="Arial"/>
          </w:rPr>
          <w:t>.</w:t>
        </w:r>
        <w:bookmarkEnd w:id="64"/>
        <w:r w:rsidRPr="00CD59CC">
          <w:rPr>
            <w:rStyle w:val="Hyperlink"/>
            <w:rFonts w:ascii="Arial" w:hAnsi="Arial" w:cs="Arial"/>
          </w:rPr>
          <w:t>nek</w:t>
        </w:r>
        <w:bookmarkStart w:id="65" w:name="_Hlt391633696"/>
        <w:r w:rsidRPr="00CD59CC">
          <w:rPr>
            <w:rStyle w:val="Hyperlink"/>
            <w:rFonts w:ascii="Arial" w:hAnsi="Arial" w:cs="Arial"/>
          </w:rPr>
          <w:t>i</w:t>
        </w:r>
        <w:bookmarkEnd w:id="65"/>
        <w:r w:rsidRPr="00CD59CC">
          <w:rPr>
            <w:rStyle w:val="Hyperlink"/>
            <w:rFonts w:ascii="Arial" w:hAnsi="Arial" w:cs="Arial"/>
          </w:rPr>
          <w:t>.hu/wp-content/uploads/2013</w:t>
        </w:r>
        <w:bookmarkStart w:id="66" w:name="_Hlt369776363"/>
        <w:r w:rsidRPr="00CD59CC">
          <w:rPr>
            <w:rStyle w:val="Hyperlink"/>
            <w:rFonts w:ascii="Arial" w:hAnsi="Arial" w:cs="Arial"/>
          </w:rPr>
          <w:t>/</w:t>
        </w:r>
        <w:bookmarkEnd w:id="66"/>
        <w:r w:rsidRPr="00CD59CC">
          <w:rPr>
            <w:rStyle w:val="Hyperlink"/>
            <w:rFonts w:ascii="Arial" w:hAnsi="Arial" w:cs="Arial"/>
          </w:rPr>
          <w:t>05/390_ff2000.pdf</w:t>
        </w:r>
      </w:hyperlink>
      <w:r w:rsidRPr="00CD59CC">
        <w:rPr>
          <w:rFonts w:ascii="Arial" w:hAnsi="Arial" w:cs="Arial"/>
          <w:color w:val="000000"/>
        </w:rPr>
        <w:t xml:space="preserve">. </w:t>
      </w:r>
    </w:p>
  </w:footnote>
  <w:footnote w:id="35">
    <w:p w14:paraId="5B07E231" w14:textId="77777777" w:rsidR="006F0AF2" w:rsidRPr="00CD59CC" w:rsidRDefault="006F0AF2" w:rsidP="00CD59CC">
      <w:pPr>
        <w:pStyle w:val="FootnoteText"/>
        <w:rPr>
          <w:rStyle w:val="Hyperlink"/>
          <w:rFonts w:ascii="Arial" w:hAnsi="Arial" w:cs="Arial"/>
        </w:rPr>
      </w:pPr>
      <w:r w:rsidRPr="00CD59CC">
        <w:rPr>
          <w:rStyle w:val="Lbjegyzet-karakterek"/>
          <w:rFonts w:ascii="Arial" w:hAnsi="Arial" w:cs="Arial"/>
          <w:color w:val="000000"/>
        </w:rPr>
        <w:footnoteRef/>
      </w:r>
      <w:r w:rsidRPr="00CD59CC">
        <w:rPr>
          <w:rFonts w:ascii="Arial" w:hAnsi="Arial" w:cs="Arial"/>
          <w:color w:val="000000"/>
        </w:rPr>
        <w:t xml:space="preserve"> See: </w:t>
      </w:r>
      <w:hyperlink r:id="rId22" w:history="1">
        <w:r w:rsidRPr="00CD59CC">
          <w:rPr>
            <w:rStyle w:val="Hyperlink"/>
            <w:rFonts w:ascii="Arial" w:hAnsi="Arial" w:cs="Arial"/>
          </w:rPr>
          <w:t>http://dev.neki.hu/wp-content/uploads/2013/05/39</w:t>
        </w:r>
        <w:bookmarkStart w:id="67" w:name="_Hlt370197054"/>
        <w:r w:rsidRPr="00CD59CC">
          <w:rPr>
            <w:rStyle w:val="Hyperlink"/>
            <w:rFonts w:ascii="Arial" w:hAnsi="Arial" w:cs="Arial"/>
          </w:rPr>
          <w:t>0</w:t>
        </w:r>
        <w:bookmarkEnd w:id="67"/>
        <w:r w:rsidRPr="00CD59CC">
          <w:rPr>
            <w:rStyle w:val="Hyperlink"/>
            <w:rFonts w:ascii="Arial" w:hAnsi="Arial" w:cs="Arial"/>
          </w:rPr>
          <w:t>_ff200</w:t>
        </w:r>
        <w:bookmarkStart w:id="68" w:name="_Hlt391633707"/>
        <w:r w:rsidRPr="00CD59CC">
          <w:rPr>
            <w:rStyle w:val="Hyperlink"/>
            <w:rFonts w:ascii="Arial" w:hAnsi="Arial" w:cs="Arial"/>
          </w:rPr>
          <w:t>0</w:t>
        </w:r>
        <w:bookmarkEnd w:id="68"/>
        <w:r w:rsidRPr="00CD59CC">
          <w:rPr>
            <w:rStyle w:val="Hyperlink"/>
            <w:rFonts w:ascii="Arial" w:hAnsi="Arial" w:cs="Arial"/>
          </w:rPr>
          <w:t>.pdf</w:t>
        </w:r>
      </w:hyperlink>
      <w:r w:rsidRPr="00CD59CC">
        <w:rPr>
          <w:rFonts w:ascii="Arial" w:hAnsi="Arial" w:cs="Arial"/>
          <w:color w:val="000000"/>
        </w:rPr>
        <w:t xml:space="preserve">. </w:t>
      </w:r>
    </w:p>
  </w:footnote>
  <w:footnote w:id="36">
    <w:p w14:paraId="587D65B7"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in Annex 3.</w:t>
      </w:r>
    </w:p>
  </w:footnote>
  <w:footnote w:id="37">
    <w:p w14:paraId="5DB3F73E" w14:textId="2BAE1C9A"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Source: </w:t>
      </w:r>
      <w:hyperlink r:id="rId23" w:history="1">
        <w:r w:rsidRPr="00CD59CC">
          <w:rPr>
            <w:rStyle w:val="Hyperlink"/>
            <w:rFonts w:ascii="Arial" w:hAnsi="Arial" w:cs="Arial"/>
          </w:rPr>
          <w:t>http://www.egyenlobanasmod.hu/</w:t>
        </w:r>
      </w:hyperlink>
      <w:r w:rsidRPr="00CD59CC">
        <w:rPr>
          <w:rStyle w:val="Hyperlink"/>
          <w:rFonts w:ascii="Arial" w:hAnsi="Arial" w:cs="Arial"/>
        </w:rPr>
        <w:t>.</w:t>
      </w:r>
    </w:p>
  </w:footnote>
  <w:footnote w:id="38">
    <w:p w14:paraId="5C20F697" w14:textId="77777777"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E.g. the research by the Institute for Educational Research involving 192 elementary schools. For details see: Gábor Havas, ‘Kitörési pont: az iskola’ (Breaking point: the school), Beszélő, November 2000.</w:t>
      </w:r>
    </w:p>
  </w:footnote>
  <w:footnote w:id="39">
    <w:p w14:paraId="77A0DC5D" w14:textId="77777777"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See for instance:</w:t>
      </w:r>
      <w:r w:rsidRPr="00BB4E9F">
        <w:rPr>
          <w:rFonts w:ascii="Arial" w:hAnsi="Arial"/>
        </w:rPr>
        <w:t xml:space="preserve"> </w:t>
      </w:r>
      <w:hyperlink r:id="rId24" w:history="1">
        <w:r w:rsidRPr="00CD59CC">
          <w:rPr>
            <w:rStyle w:val="Hyperlink"/>
            <w:rFonts w:ascii="Arial" w:hAnsi="Arial" w:cs="Arial"/>
          </w:rPr>
          <w:t>http:/</w:t>
        </w:r>
        <w:bookmarkStart w:id="77" w:name="_Hlt369776887"/>
        <w:r w:rsidRPr="00CD59CC">
          <w:rPr>
            <w:rStyle w:val="Hyperlink"/>
            <w:rFonts w:ascii="Arial" w:hAnsi="Arial" w:cs="Arial"/>
          </w:rPr>
          <w:t>/</w:t>
        </w:r>
        <w:bookmarkEnd w:id="77"/>
        <w:r w:rsidRPr="00CD59CC">
          <w:rPr>
            <w:rStyle w:val="Hyperlink"/>
            <w:rFonts w:ascii="Arial" w:hAnsi="Arial" w:cs="Arial"/>
          </w:rPr>
          <w:t>www.nfu.hu/downloa</w:t>
        </w:r>
        <w:bookmarkStart w:id="78" w:name="_Hlt391633732"/>
        <w:r w:rsidRPr="00CD59CC">
          <w:rPr>
            <w:rStyle w:val="Hyperlink"/>
            <w:rFonts w:ascii="Arial" w:hAnsi="Arial" w:cs="Arial"/>
          </w:rPr>
          <w:t>d</w:t>
        </w:r>
        <w:bookmarkEnd w:id="78"/>
        <w:r w:rsidRPr="00CD59CC">
          <w:rPr>
            <w:rStyle w:val="Hyperlink"/>
            <w:rFonts w:ascii="Arial" w:hAnsi="Arial" w:cs="Arial"/>
          </w:rPr>
          <w:t>/</w:t>
        </w:r>
        <w:bookmarkStart w:id="79" w:name="_Hlt370197078"/>
        <w:r w:rsidRPr="00CD59CC">
          <w:rPr>
            <w:rStyle w:val="Hyperlink"/>
            <w:rFonts w:ascii="Arial" w:hAnsi="Arial" w:cs="Arial"/>
          </w:rPr>
          <w:t>2</w:t>
        </w:r>
        <w:bookmarkEnd w:id="79"/>
        <w:r w:rsidRPr="00CD59CC">
          <w:rPr>
            <w:rStyle w:val="Hyperlink"/>
            <w:rFonts w:ascii="Arial" w:hAnsi="Arial" w:cs="Arial"/>
          </w:rPr>
          <w:t>8676/P%C3%A1ly%C3%A1zati_Ttmutat%C3%B3_szocrehab_DA_DD_EA_EM.pdf</w:t>
        </w:r>
      </w:hyperlink>
      <w:r w:rsidRPr="00CD59CC">
        <w:rPr>
          <w:rFonts w:ascii="Arial" w:hAnsi="Arial" w:cs="Arial"/>
          <w:color w:val="000000"/>
        </w:rPr>
        <w:t xml:space="preserve">. </w:t>
      </w:r>
    </w:p>
  </w:footnote>
  <w:footnote w:id="40">
    <w:p w14:paraId="7132CFFF" w14:textId="59F4C148"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25" w:history="1">
        <w:r w:rsidRPr="00CD59CC">
          <w:rPr>
            <w:rStyle w:val="Hyperlink"/>
            <w:rFonts w:ascii="Arial" w:hAnsi="Arial" w:cs="Arial"/>
          </w:rPr>
          <w:t>http://www.ksh.hu/nepszamlalas/tablak_teruleti_00</w:t>
        </w:r>
      </w:hyperlink>
      <w:r w:rsidRPr="00CD59CC">
        <w:rPr>
          <w:rFonts w:ascii="Arial" w:hAnsi="Arial" w:cs="Arial"/>
        </w:rPr>
        <w:t>.</w:t>
      </w:r>
    </w:p>
  </w:footnote>
  <w:footnote w:id="41">
    <w:p w14:paraId="45625F59" w14:textId="77777777"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See: Kertesi, Kézdi: A cigány népesség Magyarországon /The Gypsy Population in Hungary/, Socio-typo, Budapest, 1998.</w:t>
      </w:r>
    </w:p>
  </w:footnote>
  <w:footnote w:id="42">
    <w:p w14:paraId="69F0C0F5" w14:textId="77777777" w:rsidR="006F0AF2" w:rsidRPr="0031370B"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Under Annex 2 point 1 of Decree 32/1997 of the Ministry of Education on the Guidelines for the Kindergarten Education of National and Ethnic Minorities and the Guidelines of School Education of National and Ethnic Minorities, five forms of minority school education exist: (i) education in the mother tongue (all subjects are taught in the minority language with the exception of Hungarian language and literature); (ii) bilingual minority education (education is bilingual upon the condition that – besides the minority language and literature – at least three subjects are taught in the minority language); (iii) language teaching minority education (besides the subjects taught in Hungarian, the minority language and literature are taught as a subject); (iv) Roma minority education; and (v) supplementary minority education (minority language, literature and culture is taught as a separate subject, otherwise </w:t>
      </w:r>
      <w:r w:rsidRPr="0031370B">
        <w:rPr>
          <w:rFonts w:ascii="Arial" w:hAnsi="Arial" w:cs="Arial"/>
          <w:color w:val="000000"/>
        </w:rPr>
        <w:t>subjects are taught in Hungarian).</w:t>
      </w:r>
    </w:p>
  </w:footnote>
  <w:footnote w:id="43">
    <w:p w14:paraId="542758DC" w14:textId="5795DA67" w:rsidR="006F0AF2" w:rsidRPr="0031370B" w:rsidRDefault="006F0AF2" w:rsidP="00CD59CC">
      <w:pPr>
        <w:pStyle w:val="FootnoteText"/>
        <w:rPr>
          <w:rFonts w:ascii="Arial" w:hAnsi="Arial" w:cs="Arial"/>
        </w:rPr>
      </w:pPr>
      <w:r w:rsidRPr="0031370B">
        <w:rPr>
          <w:rStyle w:val="FootnoteReference"/>
          <w:rFonts w:ascii="Arial" w:hAnsi="Arial" w:cs="Arial"/>
        </w:rPr>
        <w:footnoteRef/>
      </w:r>
      <w:r w:rsidRPr="0031370B">
        <w:rPr>
          <w:rFonts w:ascii="Arial" w:hAnsi="Arial" w:cs="Arial"/>
        </w:rPr>
        <w:t xml:space="preserve"> </w:t>
      </w:r>
      <w:hyperlink r:id="rId26" w:history="1">
        <w:r w:rsidRPr="0031370B">
          <w:rPr>
            <w:rStyle w:val="Hyperlink"/>
            <w:rFonts w:ascii="Arial" w:hAnsi="Arial" w:cs="Arial"/>
          </w:rPr>
          <w:t>http://2010-2014.kormany.hu/download/8/f9/b0000/Oktat%C3%A1si_%C3%89vk%C3%B6nyv_2011_2012.pdf</w:t>
        </w:r>
      </w:hyperlink>
      <w:r w:rsidRPr="0031370B">
        <w:rPr>
          <w:rFonts w:ascii="Arial" w:hAnsi="Arial" w:cs="Arial"/>
        </w:rPr>
        <w:t>.</w:t>
      </w:r>
    </w:p>
  </w:footnote>
  <w:footnote w:id="44">
    <w:p w14:paraId="0488D24F" w14:textId="5D27B4FF" w:rsidR="006F0AF2" w:rsidRPr="00BB4E9F" w:rsidRDefault="006F0AF2" w:rsidP="00CD59CC">
      <w:pPr>
        <w:pStyle w:val="FootnoteText"/>
        <w:rPr>
          <w:rFonts w:ascii="Arial" w:hAnsi="Arial"/>
          <w:lang w:val="hu-HU"/>
        </w:rPr>
      </w:pPr>
      <w:r w:rsidRPr="0031370B">
        <w:rPr>
          <w:rStyle w:val="FootnoteReference"/>
          <w:rFonts w:ascii="Arial" w:hAnsi="Arial" w:cs="Arial"/>
        </w:rPr>
        <w:footnoteRef/>
      </w:r>
      <w:r w:rsidRPr="0031370B">
        <w:rPr>
          <w:rFonts w:ascii="Arial" w:hAnsi="Arial" w:cs="Arial"/>
        </w:rPr>
        <w:t xml:space="preserve"> </w:t>
      </w:r>
      <w:hyperlink r:id="rId27" w:history="1">
        <w:r w:rsidRPr="0031370B">
          <w:rPr>
            <w:rStyle w:val="Hyperlink"/>
            <w:rFonts w:ascii="Arial" w:hAnsi="Arial" w:cs="Arial"/>
          </w:rPr>
          <w:t>http://2010-2014.korma</w:t>
        </w:r>
        <w:bookmarkStart w:id="80" w:name="_Hlt391633796"/>
        <w:r w:rsidRPr="0031370B">
          <w:rPr>
            <w:rStyle w:val="Hyperlink"/>
            <w:rFonts w:ascii="Arial" w:hAnsi="Arial" w:cs="Arial"/>
          </w:rPr>
          <w:t>n</w:t>
        </w:r>
        <w:bookmarkEnd w:id="80"/>
        <w:r w:rsidRPr="0031370B">
          <w:rPr>
            <w:rStyle w:val="Hyperlink"/>
            <w:rFonts w:ascii="Arial" w:hAnsi="Arial" w:cs="Arial"/>
          </w:rPr>
          <w:t>y.hu/download/c/93/21000/Oktat%C3%A1si_%C3%89vk%C3%B6nyv_20</w:t>
        </w:r>
        <w:bookmarkStart w:id="81" w:name="_Hlt393444790"/>
        <w:r w:rsidRPr="0031370B">
          <w:rPr>
            <w:rStyle w:val="Hyperlink"/>
            <w:rFonts w:ascii="Arial" w:hAnsi="Arial" w:cs="Arial"/>
          </w:rPr>
          <w:t>1</w:t>
        </w:r>
        <w:bookmarkEnd w:id="81"/>
        <w:r w:rsidRPr="0031370B">
          <w:rPr>
            <w:rStyle w:val="Hyperlink"/>
            <w:rFonts w:ascii="Arial" w:hAnsi="Arial" w:cs="Arial"/>
          </w:rPr>
          <w:t>2.pdf</w:t>
        </w:r>
      </w:hyperlink>
      <w:r w:rsidRPr="0031370B">
        <w:rPr>
          <w:rFonts w:ascii="Arial" w:hAnsi="Arial" w:cs="Arial"/>
        </w:rPr>
        <w:t>.</w:t>
      </w:r>
    </w:p>
  </w:footnote>
  <w:footnote w:id="45">
    <w:p w14:paraId="55081584"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Act XXXVI of 2013 on the Election Procedure (Election Procedure Act), Articles 86-87</w:t>
      </w:r>
      <w:r>
        <w:rPr>
          <w:rFonts w:ascii="Arial" w:hAnsi="Arial" w:cs="Arial"/>
          <w:lang w:val="hu-HU"/>
        </w:rPr>
        <w:t>.</w:t>
      </w:r>
    </w:p>
  </w:footnote>
  <w:footnote w:id="46">
    <w:p w14:paraId="322E3B86" w14:textId="247C7C37" w:rsidR="006F0AF2" w:rsidRPr="00CD59CC" w:rsidRDefault="006F0AF2" w:rsidP="00CD59CC">
      <w:pPr>
        <w:pStyle w:val="FootnoteText"/>
        <w:rPr>
          <w:rFonts w:ascii="Arial" w:hAnsi="Arial" w:cs="Arial"/>
          <w:color w:val="000000"/>
          <w:u w:val="single"/>
        </w:rPr>
      </w:pPr>
      <w:r w:rsidRPr="00CD59CC">
        <w:rPr>
          <w:rStyle w:val="Lbjegyzet-karakterek"/>
          <w:rFonts w:ascii="Arial" w:hAnsi="Arial" w:cs="Arial"/>
          <w:color w:val="000000"/>
        </w:rPr>
        <w:footnoteRef/>
      </w:r>
      <w:r w:rsidRPr="00CD59CC">
        <w:rPr>
          <w:rFonts w:ascii="Arial" w:hAnsi="Arial" w:cs="Arial"/>
          <w:color w:val="000000"/>
        </w:rPr>
        <w:t xml:space="preserve"> See: </w:t>
      </w:r>
      <w:hyperlink r:id="rId28" w:history="1">
        <w:r w:rsidRPr="00CD59CC">
          <w:rPr>
            <w:rStyle w:val="Hyperlink"/>
            <w:rFonts w:ascii="Arial" w:hAnsi="Arial" w:cs="Arial"/>
          </w:rPr>
          <w:t>http://www.valasztas.hu/hu/onkval2010/483/483_4_index.html</w:t>
        </w:r>
      </w:hyperlink>
      <w:r w:rsidRPr="00CD59CC">
        <w:rPr>
          <w:rStyle w:val="Hyperlink"/>
          <w:rFonts w:ascii="Arial" w:hAnsi="Arial" w:cs="Arial"/>
        </w:rPr>
        <w:t>.</w:t>
      </w:r>
    </w:p>
  </w:footnote>
  <w:footnote w:id="47">
    <w:p w14:paraId="4D778503" w14:textId="0BE7FA49"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29" w:history="1">
        <w:r w:rsidRPr="00CD59CC">
          <w:rPr>
            <w:rStyle w:val="Hyperlink"/>
            <w:rFonts w:ascii="Arial" w:hAnsi="Arial" w:cs="Arial"/>
          </w:rPr>
          <w:t>http://www.kisebbsegiombudsman.hu/hir-477-jelentes-az-etnikai-adatok-kezeleserol.html</w:t>
        </w:r>
      </w:hyperlink>
      <w:r w:rsidRPr="00CD59CC">
        <w:rPr>
          <w:rStyle w:val="Hyperlink"/>
          <w:rFonts w:ascii="Arial" w:hAnsi="Arial" w:cs="Arial"/>
        </w:rPr>
        <w:t>.</w:t>
      </w:r>
    </w:p>
  </w:footnote>
  <w:footnote w:id="48">
    <w:p w14:paraId="7D36AF29"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for instance: Article 54 of Act I of 2012 on the Labour Code (Labour Code), Article 78 of Act CXCIX of 2011 on Public Service Civil Servants (Civil Servants Act) and Article 69 of Act XLIII of 1996 on the Service Relationship of Professional Members of Armed Organisations (covering among others the police, penitentiary personnel, fire fighters, etc. – hereafter: Armed Organisations Act).</w:t>
      </w:r>
    </w:p>
  </w:footnote>
  <w:footnote w:id="49">
    <w:p w14:paraId="35EAA764"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The European Commission seems to have a different view since on 28 January 2010 it closed infringement procedures against Hungary concerning Directive 2000/78/EC.</w:t>
      </w:r>
    </w:p>
  </w:footnote>
  <w:footnote w:id="50">
    <w:p w14:paraId="06246599" w14:textId="3907B57D"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30" w:history="1">
        <w:r w:rsidRPr="00CD59CC">
          <w:rPr>
            <w:rStyle w:val="Hyperlink"/>
            <w:rFonts w:ascii="Arial" w:hAnsi="Arial" w:cs="Arial"/>
          </w:rPr>
          <w:t>http://www.egyenlobanasmod</w:t>
        </w:r>
        <w:bookmarkStart w:id="93" w:name="_Hlt391633861"/>
        <w:r w:rsidRPr="00CD59CC">
          <w:rPr>
            <w:rStyle w:val="Hyperlink"/>
            <w:rFonts w:ascii="Arial" w:hAnsi="Arial" w:cs="Arial"/>
          </w:rPr>
          <w:t>.</w:t>
        </w:r>
        <w:bookmarkEnd w:id="93"/>
        <w:r w:rsidRPr="00CD59CC">
          <w:rPr>
            <w:rStyle w:val="Hyperlink"/>
            <w:rFonts w:ascii="Arial" w:hAnsi="Arial" w:cs="Arial"/>
          </w:rPr>
          <w:t>hu/index.php?g=hirek/TTaf_100226jj.htm</w:t>
        </w:r>
      </w:hyperlink>
      <w:r w:rsidRPr="00CD59CC">
        <w:rPr>
          <w:rStyle w:val="Hyperlink"/>
          <w:rFonts w:ascii="Arial" w:hAnsi="Arial" w:cs="Arial"/>
        </w:rPr>
        <w:t>.</w:t>
      </w:r>
    </w:p>
  </w:footnote>
  <w:footnote w:id="51">
    <w:p w14:paraId="3D5A4FE3" w14:textId="77CA56EC"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See cases 13/2006 (</w:t>
      </w:r>
      <w:hyperlink r:id="rId31" w:history="1">
        <w:r w:rsidRPr="00CD59CC">
          <w:rPr>
            <w:rStyle w:val="Hyperlink"/>
            <w:rFonts w:ascii="Arial" w:hAnsi="Arial" w:cs="Arial"/>
          </w:rPr>
          <w:t>http://www.egyenlobanasmod.hu/jogesetek/hu/zanza0307</w:t>
        </w:r>
        <w:bookmarkStart w:id="94" w:name="_Hlt391633867"/>
        <w:r w:rsidRPr="00CD59CC">
          <w:rPr>
            <w:rStyle w:val="Hyperlink"/>
            <w:rFonts w:ascii="Arial" w:hAnsi="Arial" w:cs="Arial"/>
          </w:rPr>
          <w:t>.</w:t>
        </w:r>
        <w:bookmarkEnd w:id="94"/>
        <w:r w:rsidRPr="00CD59CC">
          <w:rPr>
            <w:rStyle w:val="Hyperlink"/>
            <w:rFonts w:ascii="Arial" w:hAnsi="Arial" w:cs="Arial"/>
          </w:rPr>
          <w:t>pdf</w:t>
        </w:r>
      </w:hyperlink>
      <w:r w:rsidRPr="006F0AF2">
        <w:rPr>
          <w:rStyle w:val="Hyperlink"/>
          <w:rFonts w:ascii="Arial" w:hAnsi="Arial"/>
        </w:rPr>
        <w:t>)</w:t>
      </w:r>
      <w:r w:rsidRPr="00CD59CC">
        <w:rPr>
          <w:rFonts w:ascii="Arial" w:hAnsi="Arial" w:cs="Arial"/>
        </w:rPr>
        <w:t xml:space="preserve"> </w:t>
      </w:r>
      <w:r w:rsidRPr="00CD59CC">
        <w:rPr>
          <w:rFonts w:ascii="Arial" w:hAnsi="Arial" w:cs="Arial"/>
          <w:color w:val="000000"/>
        </w:rPr>
        <w:t>, 596/2006.</w:t>
      </w:r>
    </w:p>
  </w:footnote>
  <w:footnote w:id="52">
    <w:p w14:paraId="4CB77EDF" w14:textId="287585C2"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See: </w:t>
      </w:r>
      <w:hyperlink r:id="rId32" w:history="1">
        <w:r w:rsidRPr="00CD59CC">
          <w:rPr>
            <w:rStyle w:val="Hyperlink"/>
            <w:rFonts w:ascii="Arial" w:hAnsi="Arial" w:cs="Arial"/>
          </w:rPr>
          <w:t>http://ww</w:t>
        </w:r>
        <w:bookmarkStart w:id="95" w:name="_Hlt391633870"/>
        <w:r w:rsidRPr="00CD59CC">
          <w:rPr>
            <w:rStyle w:val="Hyperlink"/>
            <w:rFonts w:ascii="Arial" w:hAnsi="Arial" w:cs="Arial"/>
          </w:rPr>
          <w:t>w</w:t>
        </w:r>
        <w:bookmarkEnd w:id="95"/>
        <w:r w:rsidRPr="00CD59CC">
          <w:rPr>
            <w:rStyle w:val="Hyperlink"/>
            <w:rFonts w:ascii="Arial" w:hAnsi="Arial" w:cs="Arial"/>
          </w:rPr>
          <w:t>.egyenlobanasmod.hu/tt/T</w:t>
        </w:r>
        <w:bookmarkStart w:id="96" w:name="_Hlt366843836"/>
        <w:r w:rsidRPr="00CD59CC">
          <w:rPr>
            <w:rStyle w:val="Hyperlink"/>
            <w:rFonts w:ascii="Arial" w:hAnsi="Arial" w:cs="Arial"/>
          </w:rPr>
          <w:t>T</w:t>
        </w:r>
        <w:bookmarkEnd w:id="96"/>
        <w:r w:rsidRPr="00CD59CC">
          <w:rPr>
            <w:rStyle w:val="Hyperlink"/>
            <w:rFonts w:ascii="Arial" w:hAnsi="Arial" w:cs="Arial"/>
          </w:rPr>
          <w:t>af_200802-2</w:t>
        </w:r>
      </w:hyperlink>
      <w:r w:rsidRPr="00CD59CC">
        <w:rPr>
          <w:rFonts w:ascii="Arial" w:hAnsi="Arial" w:cs="Arial"/>
          <w:color w:val="000000"/>
        </w:rPr>
        <w:t xml:space="preserve">. The Guideline was revised after the cut off date of the report, but the quoted text has not been changed (see: Guideline No. 309/1/2011(II.11).TT. at </w:t>
      </w:r>
      <w:hyperlink r:id="rId33" w:history="1">
        <w:r w:rsidRPr="00CD59CC">
          <w:rPr>
            <w:rStyle w:val="Hyperlink"/>
            <w:rFonts w:ascii="Arial" w:hAnsi="Arial" w:cs="Arial"/>
          </w:rPr>
          <w:t>http://www.egyenlobanasmod.hu/dat</w:t>
        </w:r>
        <w:bookmarkStart w:id="97" w:name="_Hlt366843841"/>
        <w:r w:rsidRPr="00CD59CC">
          <w:rPr>
            <w:rStyle w:val="Hyperlink"/>
            <w:rFonts w:ascii="Arial" w:hAnsi="Arial" w:cs="Arial"/>
          </w:rPr>
          <w:t>a</w:t>
        </w:r>
        <w:bookmarkEnd w:id="97"/>
        <w:r w:rsidRPr="00CD59CC">
          <w:rPr>
            <w:rStyle w:val="Hyperlink"/>
            <w:rFonts w:ascii="Arial" w:hAnsi="Arial" w:cs="Arial"/>
          </w:rPr>
          <w:t>/TTaf_20110211</w:t>
        </w:r>
        <w:bookmarkStart w:id="98" w:name="_Hlt391633873"/>
        <w:r w:rsidRPr="00CD59CC">
          <w:rPr>
            <w:rStyle w:val="Hyperlink"/>
            <w:rFonts w:ascii="Arial" w:hAnsi="Arial" w:cs="Arial"/>
          </w:rPr>
          <w:t>-</w:t>
        </w:r>
        <w:bookmarkEnd w:id="98"/>
        <w:r w:rsidRPr="00CD59CC">
          <w:rPr>
            <w:rStyle w:val="Hyperlink"/>
            <w:rFonts w:ascii="Arial" w:hAnsi="Arial" w:cs="Arial"/>
          </w:rPr>
          <w:t>1.pdf</w:t>
        </w:r>
      </w:hyperlink>
      <w:r w:rsidRPr="00CD59CC">
        <w:rPr>
          <w:rFonts w:ascii="Arial" w:hAnsi="Arial" w:cs="Arial"/>
          <w:color w:val="000000"/>
        </w:rPr>
        <w:t xml:space="preserve">). </w:t>
      </w:r>
    </w:p>
  </w:footnote>
  <w:footnote w:id="53">
    <w:p w14:paraId="368B0ED3" w14:textId="67267528"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See: </w:t>
      </w:r>
      <w:hyperlink r:id="rId34" w:history="1">
        <w:r w:rsidRPr="00CD59CC">
          <w:rPr>
            <w:rStyle w:val="Hyperlink"/>
            <w:rFonts w:ascii="Arial" w:hAnsi="Arial" w:cs="Arial"/>
          </w:rPr>
          <w:t>http://www.mile.</w:t>
        </w:r>
        <w:bookmarkStart w:id="99" w:name="_Hlt391633898"/>
        <w:r w:rsidRPr="00CD59CC">
          <w:rPr>
            <w:rStyle w:val="Hyperlink"/>
            <w:rFonts w:ascii="Arial" w:hAnsi="Arial" w:cs="Arial"/>
          </w:rPr>
          <w:t>h</w:t>
        </w:r>
        <w:bookmarkEnd w:id="99"/>
        <w:r w:rsidRPr="00CD59CC">
          <w:rPr>
            <w:rStyle w:val="Hyperlink"/>
            <w:rFonts w:ascii="Arial" w:hAnsi="Arial" w:cs="Arial"/>
          </w:rPr>
          <w:t>u/404.php</w:t>
        </w:r>
      </w:hyperlink>
      <w:r w:rsidRPr="00CD59CC">
        <w:rPr>
          <w:rStyle w:val="Hyperlink"/>
          <w:rFonts w:ascii="Arial" w:hAnsi="Arial" w:cs="Arial"/>
        </w:rPr>
        <w:t>.</w:t>
      </w:r>
    </w:p>
  </w:footnote>
  <w:footnote w:id="54">
    <w:p w14:paraId="0FC47804" w14:textId="496978B1"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35" w:history="1">
        <w:r w:rsidRPr="00CD59CC">
          <w:rPr>
            <w:rStyle w:val="Hyperlink"/>
            <w:rFonts w:ascii="Arial" w:hAnsi="Arial" w:cs="Arial"/>
          </w:rPr>
          <w:t>http://www.mdac.info/sites/mdac.info/files/en</w:t>
        </w:r>
        <w:bookmarkStart w:id="100" w:name="_Hlt366843947"/>
        <w:bookmarkStart w:id="101" w:name="_Hlt391633902"/>
        <w:r w:rsidRPr="00CD59CC">
          <w:rPr>
            <w:rStyle w:val="Hyperlink"/>
            <w:rFonts w:ascii="Arial" w:hAnsi="Arial" w:cs="Arial"/>
          </w:rPr>
          <w:t>g</w:t>
        </w:r>
        <w:bookmarkEnd w:id="100"/>
        <w:bookmarkEnd w:id="101"/>
        <w:r w:rsidRPr="00CD59CC">
          <w:rPr>
            <w:rStyle w:val="Hyperlink"/>
            <w:rFonts w:ascii="Arial" w:hAnsi="Arial" w:cs="Arial"/>
          </w:rPr>
          <w:t>lish_crpd_alternative_report.pdf</w:t>
        </w:r>
      </w:hyperlink>
      <w:r w:rsidRPr="00CD59CC">
        <w:rPr>
          <w:rFonts w:ascii="Arial" w:hAnsi="Arial" w:cs="Arial"/>
        </w:rPr>
        <w:t>, p. 64.</w:t>
      </w:r>
    </w:p>
  </w:footnote>
  <w:footnote w:id="55">
    <w:p w14:paraId="7F3CF03D"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GPSA, Article 60</w:t>
      </w:r>
      <w:r>
        <w:rPr>
          <w:rFonts w:ascii="Arial" w:hAnsi="Arial" w:cs="Arial"/>
        </w:rPr>
        <w:t>.</w:t>
      </w:r>
    </w:p>
  </w:footnote>
  <w:footnote w:id="56">
    <w:p w14:paraId="5FD95C9A"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Act XIX of 1998 on the Code of Criminal Procedure, Article 114</w:t>
      </w:r>
      <w:r>
        <w:rPr>
          <w:rFonts w:ascii="Arial" w:hAnsi="Arial" w:cs="Arial"/>
          <w:lang w:val="hu-HU"/>
        </w:rPr>
        <w:t>.</w:t>
      </w:r>
    </w:p>
  </w:footnote>
  <w:footnote w:id="57">
    <w:p w14:paraId="30C2774F"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Code of Civil Procedure, Article 184</w:t>
      </w:r>
      <w:r>
        <w:rPr>
          <w:rFonts w:ascii="Arial" w:hAnsi="Arial" w:cs="Arial"/>
        </w:rPr>
        <w:t>.</w:t>
      </w:r>
    </w:p>
  </w:footnote>
  <w:footnote w:id="58">
    <w:p w14:paraId="2F67D2BD"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Information from HHC staff.</w:t>
      </w:r>
    </w:p>
  </w:footnote>
  <w:footnote w:id="59">
    <w:p w14:paraId="3D0C699D" w14:textId="12F6274A"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The description of the Act relies on a translation of the law published on the website of National Federation of Disabled Persons' Associations. See: </w:t>
      </w:r>
      <w:hyperlink r:id="rId36" w:history="1">
        <w:r w:rsidRPr="00CD59CC">
          <w:rPr>
            <w:rStyle w:val="Hyperlink"/>
            <w:rFonts w:ascii="Arial" w:hAnsi="Arial" w:cs="Arial"/>
          </w:rPr>
          <w:t>http://www.meosz.h</w:t>
        </w:r>
        <w:bookmarkStart w:id="102" w:name="_Hlt391633940"/>
        <w:r w:rsidRPr="00CD59CC">
          <w:rPr>
            <w:rStyle w:val="Hyperlink"/>
            <w:rFonts w:ascii="Arial" w:hAnsi="Arial" w:cs="Arial"/>
          </w:rPr>
          <w:t>u</w:t>
        </w:r>
        <w:bookmarkEnd w:id="102"/>
        <w:r w:rsidRPr="00CD59CC">
          <w:rPr>
            <w:rStyle w:val="Hyperlink"/>
            <w:rFonts w:ascii="Arial" w:hAnsi="Arial" w:cs="Arial"/>
          </w:rPr>
          <w:t>/</w:t>
        </w:r>
      </w:hyperlink>
      <w:r w:rsidRPr="00CD59CC">
        <w:rPr>
          <w:rStyle w:val="Hyperlink"/>
          <w:rFonts w:ascii="Arial" w:hAnsi="Arial" w:cs="Arial"/>
        </w:rPr>
        <w:t>.</w:t>
      </w:r>
    </w:p>
  </w:footnote>
  <w:footnote w:id="60">
    <w:p w14:paraId="203C746B" w14:textId="5D7981E8"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UN Committee on the Rights of Persons with Disabilities (2012) Concluding observations on the initial periodic report of Hungary, adopted by the Committee at its eighth session (17-28 September), § 51, available at: </w:t>
      </w:r>
      <w:hyperlink r:id="rId37" w:history="1">
        <w:r w:rsidRPr="00592BD1">
          <w:rPr>
            <w:rStyle w:val="Hyperlink"/>
            <w:rFonts w:ascii="Arial" w:hAnsi="Arial" w:cs="Arial"/>
          </w:rPr>
          <w:t>http://tbinternet.ohchr.org/_layouts/treatybodyexternal/TBSearch.aspx?Lang=en&amp;TreatyID=4&amp;DocTypeID=5</w:t>
        </w:r>
      </w:hyperlink>
      <w:r>
        <w:rPr>
          <w:rFonts w:ascii="Arial" w:hAnsi="Arial" w:cs="Arial"/>
        </w:rPr>
        <w:t>.</w:t>
      </w:r>
    </w:p>
  </w:footnote>
  <w:footnote w:id="61">
    <w:p w14:paraId="4A4AF22E" w14:textId="684C39B4"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Additional information about Hungary’s compliance with the UN Convention on the Rights of Persons with Disabilities, with respect to the List of Issues and Replies from the Government of Hungary to the List of Issues, 5 September 2012., available at: </w:t>
      </w:r>
      <w:hyperlink r:id="rId38" w:history="1">
        <w:r w:rsidRPr="00592BD1">
          <w:rPr>
            <w:rStyle w:val="Hyperlink"/>
            <w:rFonts w:ascii="Arial" w:hAnsi="Arial" w:cs="Arial"/>
          </w:rPr>
          <w:t>http://mdac.info/sites/mdac.info/files/commcrpd_hu_september2012.pdf</w:t>
        </w:r>
      </w:hyperlink>
      <w:r>
        <w:rPr>
          <w:rFonts w:ascii="Arial" w:hAnsi="Arial" w:cs="Arial"/>
        </w:rPr>
        <w:t>.</w:t>
      </w:r>
    </w:p>
  </w:footnote>
  <w:footnote w:id="62">
    <w:p w14:paraId="3839A93A" w14:textId="143D008E"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OHCHR Regional Office for Europe: Study on the Implementation of Article 33 of the UN Convention on the Rights of Persons with Disabilities in Europe, available at: </w:t>
      </w:r>
      <w:hyperlink r:id="rId39" w:history="1">
        <w:r w:rsidRPr="008C622D">
          <w:rPr>
            <w:rStyle w:val="Hyperlink"/>
            <w:rFonts w:ascii="Arial" w:hAnsi="Arial" w:cs="Arial"/>
          </w:rPr>
          <w:t>http://www.europe.ohchr.org/Documents/Publications/Art_33_CRPD_study.pdf</w:t>
        </w:r>
      </w:hyperlink>
      <w:r>
        <w:rPr>
          <w:rFonts w:ascii="Arial" w:hAnsi="Arial" w:cs="Arial"/>
        </w:rPr>
        <w:t>.</w:t>
      </w:r>
    </w:p>
  </w:footnote>
  <w:footnote w:id="63">
    <w:p w14:paraId="171DD9BC" w14:textId="77777777" w:rsidR="006F0AF2" w:rsidRPr="0031370B" w:rsidRDefault="006F0AF2" w:rsidP="00CD59CC">
      <w:pPr>
        <w:pStyle w:val="FootnoteText"/>
        <w:rPr>
          <w:rFonts w:ascii="Arial" w:hAnsi="Arial" w:cs="Arial"/>
          <w:lang w:val="hu-HU"/>
        </w:rPr>
      </w:pPr>
      <w:r w:rsidRPr="0031370B">
        <w:rPr>
          <w:rStyle w:val="FootnoteReference"/>
          <w:rFonts w:ascii="Arial" w:hAnsi="Arial" w:cs="Arial"/>
        </w:rPr>
        <w:footnoteRef/>
      </w:r>
      <w:r w:rsidRPr="0031370B">
        <w:rPr>
          <w:rFonts w:ascii="Arial" w:hAnsi="Arial" w:cs="Arial"/>
        </w:rPr>
        <w:t xml:space="preserve"> See: </w:t>
      </w:r>
      <w:hyperlink r:id="rId40" w:history="1">
        <w:r w:rsidRPr="0031370B">
          <w:rPr>
            <w:rStyle w:val="Hyperlink"/>
            <w:rFonts w:ascii="Arial" w:hAnsi="Arial" w:cs="Arial"/>
          </w:rPr>
          <w:t>http://old.aosz.hu/dmdocumen</w:t>
        </w:r>
        <w:bookmarkStart w:id="104" w:name="_Hlt392756922"/>
        <w:r w:rsidRPr="0031370B">
          <w:rPr>
            <w:rStyle w:val="Hyperlink"/>
            <w:rFonts w:ascii="Arial" w:hAnsi="Arial" w:cs="Arial"/>
          </w:rPr>
          <w:t>t</w:t>
        </w:r>
        <w:bookmarkEnd w:id="104"/>
        <w:r w:rsidRPr="0031370B">
          <w:rPr>
            <w:rStyle w:val="Hyperlink"/>
            <w:rFonts w:ascii="Arial" w:hAnsi="Arial" w:cs="Arial"/>
          </w:rPr>
          <w:t>s/oft</w:t>
        </w:r>
        <w:bookmarkStart w:id="105" w:name="_Hlt391634072"/>
        <w:r w:rsidRPr="0031370B">
          <w:rPr>
            <w:rStyle w:val="Hyperlink"/>
            <w:rFonts w:ascii="Arial" w:hAnsi="Arial" w:cs="Arial"/>
          </w:rPr>
          <w:t>_</w:t>
        </w:r>
        <w:bookmarkEnd w:id="105"/>
        <w:r w:rsidRPr="0031370B">
          <w:rPr>
            <w:rStyle w:val="Hyperlink"/>
            <w:rFonts w:ascii="Arial" w:hAnsi="Arial" w:cs="Arial"/>
          </w:rPr>
          <w:t>AOSZ</w:t>
        </w:r>
        <w:bookmarkStart w:id="106" w:name="_Hlt393444806"/>
        <w:r w:rsidRPr="0031370B">
          <w:rPr>
            <w:rStyle w:val="Hyperlink"/>
            <w:rFonts w:ascii="Arial" w:hAnsi="Arial" w:cs="Arial"/>
          </w:rPr>
          <w:t>.</w:t>
        </w:r>
        <w:bookmarkEnd w:id="106"/>
        <w:r w:rsidRPr="0031370B">
          <w:rPr>
            <w:rStyle w:val="Hyperlink"/>
            <w:rFonts w:ascii="Arial" w:hAnsi="Arial" w:cs="Arial"/>
          </w:rPr>
          <w:t>pdf</w:t>
        </w:r>
      </w:hyperlink>
      <w:r w:rsidRPr="0031370B">
        <w:rPr>
          <w:rFonts w:ascii="Arial" w:hAnsi="Arial" w:cs="Arial"/>
        </w:rPr>
        <w:t>.</w:t>
      </w:r>
    </w:p>
  </w:footnote>
  <w:footnote w:id="64">
    <w:p w14:paraId="6F36B598" w14:textId="77777777" w:rsidR="006F0AF2" w:rsidRPr="00CD59CC" w:rsidRDefault="006F0AF2" w:rsidP="00CD59CC">
      <w:pPr>
        <w:pStyle w:val="FootnoteText"/>
        <w:rPr>
          <w:rFonts w:ascii="Arial" w:hAnsi="Arial" w:cs="Arial"/>
          <w:lang w:val="hu-HU"/>
        </w:rPr>
      </w:pPr>
      <w:r w:rsidRPr="0031370B">
        <w:rPr>
          <w:rStyle w:val="FootnoteReference"/>
          <w:rFonts w:ascii="Arial" w:hAnsi="Arial" w:cs="Arial"/>
        </w:rPr>
        <w:footnoteRef/>
      </w:r>
      <w:r w:rsidRPr="0031370B">
        <w:rPr>
          <w:rFonts w:ascii="Arial" w:hAnsi="Arial" w:cs="Arial"/>
        </w:rPr>
        <w:t xml:space="preserve"> See: </w:t>
      </w:r>
      <w:hyperlink r:id="rId41" w:history="1">
        <w:r w:rsidRPr="0031370B">
          <w:rPr>
            <w:rStyle w:val="Hyperlink"/>
            <w:rFonts w:ascii="Arial" w:hAnsi="Arial" w:cs="Arial"/>
          </w:rPr>
          <w:t>http://old.aosz.hu</w:t>
        </w:r>
        <w:bookmarkStart w:id="108" w:name="_Hlt393444808"/>
        <w:r w:rsidRPr="0031370B">
          <w:rPr>
            <w:rStyle w:val="Hyperlink"/>
            <w:rFonts w:ascii="Arial" w:hAnsi="Arial" w:cs="Arial"/>
          </w:rPr>
          <w:t>/</w:t>
        </w:r>
        <w:bookmarkEnd w:id="108"/>
        <w:r w:rsidRPr="0031370B">
          <w:rPr>
            <w:rStyle w:val="Hyperlink"/>
            <w:rFonts w:ascii="Arial" w:hAnsi="Arial" w:cs="Arial"/>
          </w:rPr>
          <w:t>dmdocument</w:t>
        </w:r>
        <w:bookmarkStart w:id="109" w:name="_Hlt391634042"/>
        <w:r w:rsidRPr="0031370B">
          <w:rPr>
            <w:rStyle w:val="Hyperlink"/>
            <w:rFonts w:ascii="Arial" w:hAnsi="Arial" w:cs="Arial"/>
          </w:rPr>
          <w:t>s</w:t>
        </w:r>
        <w:bookmarkEnd w:id="109"/>
        <w:r w:rsidRPr="0031370B">
          <w:rPr>
            <w:rStyle w:val="Hyperlink"/>
            <w:rFonts w:ascii="Arial" w:hAnsi="Arial" w:cs="Arial"/>
          </w:rPr>
          <w:t>/oft_AOSZ.</w:t>
        </w:r>
        <w:bookmarkStart w:id="110" w:name="_Hlt391634052"/>
        <w:r w:rsidRPr="0031370B">
          <w:rPr>
            <w:rStyle w:val="Hyperlink"/>
            <w:rFonts w:ascii="Arial" w:hAnsi="Arial" w:cs="Arial"/>
          </w:rPr>
          <w:t>p</w:t>
        </w:r>
        <w:bookmarkEnd w:id="110"/>
        <w:r w:rsidRPr="0031370B">
          <w:rPr>
            <w:rStyle w:val="Hyperlink"/>
            <w:rFonts w:ascii="Arial" w:hAnsi="Arial" w:cs="Arial"/>
          </w:rPr>
          <w:t>df</w:t>
        </w:r>
      </w:hyperlink>
      <w:r w:rsidRPr="0031370B">
        <w:rPr>
          <w:rFonts w:ascii="Arial" w:hAnsi="Arial" w:cs="Arial"/>
        </w:rPr>
        <w:t>.</w:t>
      </w:r>
    </w:p>
  </w:footnote>
  <w:footnote w:id="65">
    <w:p w14:paraId="20E1802E" w14:textId="084E065F"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See: </w:t>
      </w:r>
      <w:hyperlink r:id="rId42" w:history="1">
        <w:r w:rsidRPr="00CD59CC">
          <w:rPr>
            <w:rStyle w:val="Hyperlink"/>
            <w:rFonts w:ascii="Arial" w:hAnsi="Arial" w:cs="Arial"/>
          </w:rPr>
          <w:t>http://www.egyenlobanasm</w:t>
        </w:r>
        <w:bookmarkStart w:id="127" w:name="_Hlt369776995"/>
        <w:bookmarkStart w:id="128" w:name="_Hlt369776998"/>
        <w:r w:rsidRPr="00CD59CC">
          <w:rPr>
            <w:rStyle w:val="Hyperlink"/>
            <w:rFonts w:ascii="Arial" w:hAnsi="Arial" w:cs="Arial"/>
          </w:rPr>
          <w:t>o</w:t>
        </w:r>
        <w:bookmarkEnd w:id="127"/>
        <w:bookmarkEnd w:id="128"/>
        <w:r w:rsidRPr="00CD59CC">
          <w:rPr>
            <w:rStyle w:val="Hyperlink"/>
            <w:rFonts w:ascii="Arial" w:hAnsi="Arial" w:cs="Arial"/>
          </w:rPr>
          <w:t>d.hu/jogesetek/hu/278-20</w:t>
        </w:r>
        <w:bookmarkStart w:id="129" w:name="_Hlt370197107"/>
        <w:r w:rsidRPr="00CD59CC">
          <w:rPr>
            <w:rStyle w:val="Hyperlink"/>
            <w:rFonts w:ascii="Arial" w:hAnsi="Arial" w:cs="Arial"/>
          </w:rPr>
          <w:t>0</w:t>
        </w:r>
        <w:bookmarkEnd w:id="129"/>
        <w:r w:rsidRPr="00CD59CC">
          <w:rPr>
            <w:rStyle w:val="Hyperlink"/>
            <w:rFonts w:ascii="Arial" w:hAnsi="Arial" w:cs="Arial"/>
          </w:rPr>
          <w:t>7.p</w:t>
        </w:r>
        <w:bookmarkStart w:id="130" w:name="_Hlt391634111"/>
        <w:r w:rsidRPr="00CD59CC">
          <w:rPr>
            <w:rStyle w:val="Hyperlink"/>
            <w:rFonts w:ascii="Arial" w:hAnsi="Arial" w:cs="Arial"/>
          </w:rPr>
          <w:t>d</w:t>
        </w:r>
        <w:bookmarkEnd w:id="130"/>
        <w:r w:rsidRPr="00CD59CC">
          <w:rPr>
            <w:rStyle w:val="Hyperlink"/>
            <w:rFonts w:ascii="Arial" w:hAnsi="Arial" w:cs="Arial"/>
          </w:rPr>
          <w:t>f</w:t>
        </w:r>
      </w:hyperlink>
      <w:r w:rsidRPr="00CD59CC">
        <w:rPr>
          <w:rFonts w:ascii="Arial" w:hAnsi="Arial" w:cs="Arial"/>
          <w:color w:val="000000"/>
        </w:rPr>
        <w:t xml:space="preserve">. </w:t>
      </w:r>
    </w:p>
  </w:footnote>
  <w:footnote w:id="66">
    <w:p w14:paraId="05FF3736"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Horváth and Kiss v. Hungary, Application no. 11146/11</w:t>
      </w:r>
      <w:r>
        <w:rPr>
          <w:rFonts w:ascii="Arial" w:hAnsi="Arial" w:cs="Arial"/>
          <w:lang w:val="hu-HU"/>
        </w:rPr>
        <w:t>.</w:t>
      </w:r>
    </w:p>
  </w:footnote>
  <w:footnote w:id="67">
    <w:p w14:paraId="2AF5C592"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One of the applicants was described as being “two and a half years behind normal”, with “an immature central nervous system”, the other applicant was assessed to have learning difficulties and a low IQ.</w:t>
      </w:r>
    </w:p>
  </w:footnote>
  <w:footnote w:id="68">
    <w:p w14:paraId="31A9394C" w14:textId="77777777"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Lilla Farkas, Zsófia Kardos, József Mayer, Szilvia Németh, Judit Szira: Diszkrimináció az oktatásban. UNESCO nemzeti jelentés – Magyarország. Oktatáskutató és Fejlesztő Intézet, Budapest, 2008. pp. 17-18.</w:t>
      </w:r>
    </w:p>
  </w:footnote>
  <w:footnote w:id="69">
    <w:p w14:paraId="4407E87C" w14:textId="3B56F2A7" w:rsidR="006F0AF2" w:rsidRPr="008C622D" w:rsidRDefault="006F0AF2" w:rsidP="00CD59CC">
      <w:pPr>
        <w:pStyle w:val="FootnoteText"/>
        <w:rPr>
          <w:rFonts w:ascii="Arial" w:hAnsi="Arial" w:cs="Arial"/>
        </w:rPr>
      </w:pPr>
      <w:r w:rsidRPr="0031370B">
        <w:rPr>
          <w:rStyle w:val="FootnoteReference"/>
          <w:rFonts w:ascii="Arial" w:hAnsi="Arial" w:cs="Arial"/>
        </w:rPr>
        <w:footnoteRef/>
      </w:r>
      <w:r w:rsidRPr="0031370B">
        <w:rPr>
          <w:rFonts w:ascii="Arial" w:hAnsi="Arial" w:cs="Arial"/>
        </w:rPr>
        <w:t xml:space="preserve"> See:</w:t>
      </w:r>
      <w:r w:rsidRPr="0031370B">
        <w:t xml:space="preserve"> </w:t>
      </w:r>
      <w:hyperlink r:id="rId43" w:history="1">
        <w:r w:rsidRPr="0031370B">
          <w:rPr>
            <w:rStyle w:val="Hyperlink"/>
            <w:rFonts w:ascii="Arial" w:hAnsi="Arial" w:cs="Arial"/>
          </w:rPr>
          <w:t>http://2010-2014.kormany.hu/download/c/93/21000/Oktat%C3%A1si_%C3%89vk%C3%B6nyv_2012.pdf</w:t>
        </w:r>
      </w:hyperlink>
      <w:r w:rsidRPr="0031370B">
        <w:rPr>
          <w:rFonts w:ascii="Arial" w:hAnsi="Arial" w:cs="Arial"/>
        </w:rPr>
        <w:t>.</w:t>
      </w:r>
    </w:p>
  </w:footnote>
  <w:footnote w:id="70">
    <w:p w14:paraId="7E6EA8A5"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Julia M. White: Pitfalls and Bias: Entry Testing and the Overrepresentation of Romani Children in Special Education (available at: </w:t>
      </w:r>
      <w:hyperlink r:id="rId44" w:history="1">
        <w:r w:rsidRPr="00CD59CC">
          <w:rPr>
            <w:rStyle w:val="Hyperlink"/>
            <w:rFonts w:ascii="Arial" w:hAnsi="Arial" w:cs="Arial"/>
          </w:rPr>
          <w:t>http://www.romaeducationfund</w:t>
        </w:r>
        <w:bookmarkStart w:id="174" w:name="_Hlt391634167"/>
        <w:r w:rsidRPr="00CD59CC">
          <w:rPr>
            <w:rStyle w:val="Hyperlink"/>
            <w:rFonts w:ascii="Arial" w:hAnsi="Arial" w:cs="Arial"/>
          </w:rPr>
          <w:t>.</w:t>
        </w:r>
        <w:bookmarkEnd w:id="174"/>
        <w:r w:rsidRPr="00CD59CC">
          <w:rPr>
            <w:rStyle w:val="Hyperlink"/>
            <w:rFonts w:ascii="Arial" w:hAnsi="Arial" w:cs="Arial"/>
          </w:rPr>
          <w:t>hu/sites/default/files/publications/pitfalls-and-bias-screen_singlepages.pdf</w:t>
        </w:r>
      </w:hyperlink>
      <w:r w:rsidRPr="00CD59CC">
        <w:rPr>
          <w:rFonts w:ascii="Arial" w:hAnsi="Arial" w:cs="Arial"/>
        </w:rPr>
        <w:t>), pp. 9-10.</w:t>
      </w:r>
    </w:p>
  </w:footnote>
  <w:footnote w:id="71">
    <w:p w14:paraId="7648CCB5"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Article 25</w:t>
      </w:r>
      <w:r>
        <w:rPr>
          <w:rFonts w:ascii="Arial" w:hAnsi="Arial" w:cs="Arial"/>
          <w:lang w:val="hu-HU"/>
        </w:rPr>
        <w:t>.</w:t>
      </w:r>
    </w:p>
  </w:footnote>
  <w:footnote w:id="72">
    <w:p w14:paraId="61E224E0" w14:textId="2420B7CB"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8C622D">
        <w:rPr>
          <w:rFonts w:ascii="Arial" w:hAnsi="Arial" w:cs="Arial"/>
          <w:lang w:val="hu-HU"/>
        </w:rPr>
        <w:t xml:space="preserve"> </w:t>
      </w:r>
      <w:hyperlink r:id="rId45" w:history="1">
        <w:r w:rsidRPr="008C622D">
          <w:rPr>
            <w:rStyle w:val="Hyperlink"/>
            <w:rFonts w:ascii="Arial" w:hAnsi="Arial" w:cs="Arial"/>
            <w:lang w:val="hu-HU"/>
          </w:rPr>
          <w:t>http://www.ajbh.hu/-/a-nemzetkozi-romanapon-az-ombudsman-es-nemzetisegi-helyettese-a-nemzetisegi-kozepiskolai-oktatas-helyzeterol?redirect=http%3A%2F%2Fwww.ajbh.hu%2Fkezdolap%3Bjsessionid%3D61A942FCFB0171D1455FE1AF44BA5E59%3Fp_p_id%3D101_INSTANCE_LDWG9zbBd7So%26p_p_lifecycle%3D0%26p_p_state%3Dnormal%26p_p_mode%3Dview%26p_p_col_id%3Dcolumn-7%26p_p_col_pos%3D1%26p_p_col_count%3D4</w:t>
        </w:r>
      </w:hyperlink>
      <w:r w:rsidRPr="008C622D">
        <w:rPr>
          <w:rFonts w:ascii="Arial" w:hAnsi="Arial" w:cs="Arial"/>
          <w:lang w:val="hu-HU"/>
        </w:rPr>
        <w:t>.</w:t>
      </w:r>
    </w:p>
  </w:footnote>
  <w:footnote w:id="73">
    <w:p w14:paraId="3BAD9F95" w14:textId="77777777"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Case no. EBH 14/2007. See: </w:t>
      </w:r>
      <w:hyperlink r:id="rId46" w:history="1">
        <w:r w:rsidRPr="00CD59CC">
          <w:rPr>
            <w:rStyle w:val="Hyperlink"/>
            <w:rFonts w:ascii="Arial" w:hAnsi="Arial" w:cs="Arial"/>
          </w:rPr>
          <w:t>http://www.egyenlob</w:t>
        </w:r>
        <w:bookmarkStart w:id="179" w:name="_Hlt391634187"/>
        <w:r w:rsidRPr="00CD59CC">
          <w:rPr>
            <w:rStyle w:val="Hyperlink"/>
            <w:rFonts w:ascii="Arial" w:hAnsi="Arial" w:cs="Arial"/>
          </w:rPr>
          <w:t>a</w:t>
        </w:r>
        <w:bookmarkEnd w:id="179"/>
        <w:r w:rsidRPr="00CD59CC">
          <w:rPr>
            <w:rStyle w:val="Hyperlink"/>
            <w:rFonts w:ascii="Arial" w:hAnsi="Arial" w:cs="Arial"/>
          </w:rPr>
          <w:t>nasmo</w:t>
        </w:r>
        <w:bookmarkStart w:id="180" w:name="_Hlt369777056"/>
        <w:bookmarkStart w:id="181" w:name="_Hlt369777058"/>
        <w:r w:rsidRPr="00CD59CC">
          <w:rPr>
            <w:rStyle w:val="Hyperlink"/>
            <w:rFonts w:ascii="Arial" w:hAnsi="Arial" w:cs="Arial"/>
          </w:rPr>
          <w:t>d</w:t>
        </w:r>
        <w:bookmarkEnd w:id="180"/>
        <w:bookmarkEnd w:id="181"/>
        <w:r w:rsidRPr="00CD59CC">
          <w:rPr>
            <w:rStyle w:val="Hyperlink"/>
            <w:rFonts w:ascii="Arial" w:hAnsi="Arial" w:cs="Arial"/>
          </w:rPr>
          <w:t>.hu/jogesetek/hu/1</w:t>
        </w:r>
        <w:bookmarkStart w:id="182" w:name="_Hlt370197125"/>
        <w:r w:rsidRPr="00CD59CC">
          <w:rPr>
            <w:rStyle w:val="Hyperlink"/>
            <w:rFonts w:ascii="Arial" w:hAnsi="Arial" w:cs="Arial"/>
          </w:rPr>
          <w:t>4</w:t>
        </w:r>
        <w:bookmarkEnd w:id="182"/>
        <w:r w:rsidRPr="00CD59CC">
          <w:rPr>
            <w:rStyle w:val="Hyperlink"/>
            <w:rFonts w:ascii="Arial" w:hAnsi="Arial" w:cs="Arial"/>
          </w:rPr>
          <w:t>-2007.pdf</w:t>
        </w:r>
      </w:hyperlink>
      <w:r w:rsidRPr="00CD59CC">
        <w:rPr>
          <w:rFonts w:ascii="Arial" w:hAnsi="Arial" w:cs="Arial"/>
          <w:color w:val="000000"/>
        </w:rPr>
        <w:t xml:space="preserve">. </w:t>
      </w:r>
    </w:p>
  </w:footnote>
  <w:footnote w:id="74">
    <w:p w14:paraId="0ECFFAC9" w14:textId="77777777"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w:t>
      </w:r>
      <w:hyperlink r:id="rId47" w:history="1">
        <w:r w:rsidRPr="00CD59CC">
          <w:rPr>
            <w:rStyle w:val="Hyperlink"/>
            <w:rFonts w:ascii="Arial" w:hAnsi="Arial" w:cs="Arial"/>
          </w:rPr>
          <w:t>http://www.mut.hu/?module=news&amp;action=getfile&amp;</w:t>
        </w:r>
        <w:bookmarkStart w:id="187" w:name="_Hlt370197133"/>
        <w:r w:rsidRPr="00CD59CC">
          <w:rPr>
            <w:rStyle w:val="Hyperlink"/>
            <w:rFonts w:ascii="Arial" w:hAnsi="Arial" w:cs="Arial"/>
          </w:rPr>
          <w:t>f</w:t>
        </w:r>
        <w:bookmarkEnd w:id="187"/>
        <w:r w:rsidRPr="00CD59CC">
          <w:rPr>
            <w:rStyle w:val="Hyperlink"/>
            <w:rFonts w:ascii="Arial" w:hAnsi="Arial" w:cs="Arial"/>
          </w:rPr>
          <w:t>id</w:t>
        </w:r>
        <w:bookmarkStart w:id="188" w:name="_Hlt369777437"/>
        <w:bookmarkStart w:id="189" w:name="_Hlt369777438"/>
        <w:bookmarkStart w:id="190" w:name="_Hlt369777439"/>
        <w:r w:rsidRPr="00CD59CC">
          <w:rPr>
            <w:rStyle w:val="Hyperlink"/>
            <w:rFonts w:ascii="Arial" w:hAnsi="Arial" w:cs="Arial"/>
          </w:rPr>
          <w:t>=</w:t>
        </w:r>
        <w:bookmarkEnd w:id="188"/>
        <w:bookmarkEnd w:id="189"/>
        <w:bookmarkEnd w:id="190"/>
        <w:r w:rsidRPr="00CD59CC">
          <w:rPr>
            <w:rStyle w:val="Hyperlink"/>
            <w:rFonts w:ascii="Arial" w:hAnsi="Arial" w:cs="Arial"/>
          </w:rPr>
          <w:t>11</w:t>
        </w:r>
        <w:bookmarkStart w:id="191" w:name="_Hlt391634200"/>
        <w:r w:rsidRPr="00CD59CC">
          <w:rPr>
            <w:rStyle w:val="Hyperlink"/>
            <w:rFonts w:ascii="Arial" w:hAnsi="Arial" w:cs="Arial"/>
          </w:rPr>
          <w:t>4</w:t>
        </w:r>
        <w:bookmarkEnd w:id="191"/>
        <w:r w:rsidRPr="00CD59CC">
          <w:rPr>
            <w:rStyle w:val="Hyperlink"/>
            <w:rFonts w:ascii="Arial" w:hAnsi="Arial" w:cs="Arial"/>
          </w:rPr>
          <w:t>874</w:t>
        </w:r>
      </w:hyperlink>
      <w:r w:rsidRPr="00CD59CC">
        <w:rPr>
          <w:rFonts w:ascii="Arial" w:hAnsi="Arial" w:cs="Arial"/>
          <w:color w:val="000000"/>
        </w:rPr>
        <w:t xml:space="preserve">. </w:t>
      </w:r>
    </w:p>
  </w:footnote>
  <w:footnote w:id="75">
    <w:p w14:paraId="5BD4BAD3"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48" w:history="1">
        <w:r w:rsidRPr="00CD59CC">
          <w:rPr>
            <w:rStyle w:val="Hyperlink"/>
            <w:rFonts w:ascii="Arial" w:hAnsi="Arial" w:cs="Arial"/>
          </w:rPr>
          <w:t>http://www.ksh.hu/</w:t>
        </w:r>
        <w:bookmarkStart w:id="192" w:name="_Hlt391634202"/>
        <w:r w:rsidRPr="00CD59CC">
          <w:rPr>
            <w:rStyle w:val="Hyperlink"/>
            <w:rFonts w:ascii="Arial" w:hAnsi="Arial" w:cs="Arial"/>
          </w:rPr>
          <w:t>t</w:t>
        </w:r>
        <w:bookmarkEnd w:id="192"/>
        <w:r w:rsidRPr="00CD59CC">
          <w:rPr>
            <w:rStyle w:val="Hyperlink"/>
            <w:rFonts w:ascii="Arial" w:hAnsi="Arial" w:cs="Arial"/>
          </w:rPr>
          <w:t>hm/2/indi2_7_7.h</w:t>
        </w:r>
        <w:bookmarkStart w:id="193" w:name="_Hlt366844614"/>
        <w:r w:rsidRPr="00CD59CC">
          <w:rPr>
            <w:rStyle w:val="Hyperlink"/>
            <w:rFonts w:ascii="Arial" w:hAnsi="Arial" w:cs="Arial"/>
          </w:rPr>
          <w:t>t</w:t>
        </w:r>
        <w:bookmarkEnd w:id="193"/>
        <w:r w:rsidRPr="00CD59CC">
          <w:rPr>
            <w:rStyle w:val="Hyperlink"/>
            <w:rFonts w:ascii="Arial" w:hAnsi="Arial" w:cs="Arial"/>
          </w:rPr>
          <w:t>ml</w:t>
        </w:r>
      </w:hyperlink>
      <w:r w:rsidRPr="00CD59CC">
        <w:rPr>
          <w:rFonts w:ascii="Arial" w:hAnsi="Arial" w:cs="Arial"/>
        </w:rPr>
        <w:t>.</w:t>
      </w:r>
    </w:p>
  </w:footnote>
  <w:footnote w:id="76">
    <w:p w14:paraId="0B100746" w14:textId="77777777"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Style w:val="Hyperlink"/>
          <w:rFonts w:ascii="Arial" w:hAnsi="Arial" w:cs="Arial"/>
        </w:rPr>
        <w:t xml:space="preserve"> </w:t>
      </w:r>
      <w:hyperlink r:id="rId49" w:history="1">
        <w:r w:rsidRPr="00CD59CC">
          <w:rPr>
            <w:rStyle w:val="Hyperlink"/>
            <w:rFonts w:ascii="Arial" w:hAnsi="Arial" w:cs="Arial"/>
          </w:rPr>
          <w:t>www.pestes</w:t>
        </w:r>
        <w:bookmarkStart w:id="194" w:name="_Hlt391634204"/>
        <w:r w:rsidRPr="00CD59CC">
          <w:rPr>
            <w:rStyle w:val="Hyperlink"/>
            <w:rFonts w:ascii="Arial" w:hAnsi="Arial" w:cs="Arial"/>
          </w:rPr>
          <w:t>e</w:t>
        </w:r>
        <w:bookmarkEnd w:id="194"/>
        <w:r w:rsidRPr="00CD59CC">
          <w:rPr>
            <w:rStyle w:val="Hyperlink"/>
            <w:rFonts w:ascii="Arial" w:hAnsi="Arial" w:cs="Arial"/>
          </w:rPr>
          <w:t>ly</w:t>
        </w:r>
        <w:bookmarkStart w:id="195" w:name="_Hlt369777736"/>
        <w:bookmarkStart w:id="196" w:name="_Hlt369777737"/>
        <w:r w:rsidRPr="00CD59CC">
          <w:rPr>
            <w:rStyle w:val="Hyperlink"/>
            <w:rFonts w:ascii="Arial" w:hAnsi="Arial" w:cs="Arial"/>
          </w:rPr>
          <w:t>.</w:t>
        </w:r>
        <w:bookmarkEnd w:id="195"/>
        <w:bookmarkEnd w:id="196"/>
        <w:r w:rsidRPr="00CD59CC">
          <w:rPr>
            <w:rStyle w:val="Hyperlink"/>
            <w:rFonts w:ascii="Arial" w:hAnsi="Arial" w:cs="Arial"/>
          </w:rPr>
          <w:t>hu/doc/Urm</w:t>
        </w:r>
        <w:bookmarkStart w:id="197" w:name="_Hlt369777728"/>
        <w:r w:rsidRPr="00CD59CC">
          <w:rPr>
            <w:rStyle w:val="Hyperlink"/>
            <w:rFonts w:ascii="Arial" w:hAnsi="Arial" w:cs="Arial"/>
          </w:rPr>
          <w:t>o</w:t>
        </w:r>
        <w:bookmarkEnd w:id="197"/>
        <w:r w:rsidRPr="00CD59CC">
          <w:rPr>
            <w:rStyle w:val="Hyperlink"/>
            <w:rFonts w:ascii="Arial" w:hAnsi="Arial" w:cs="Arial"/>
          </w:rPr>
          <w:t>s_0811</w:t>
        </w:r>
        <w:bookmarkStart w:id="198" w:name="_Hlt370197149"/>
        <w:r w:rsidRPr="00CD59CC">
          <w:rPr>
            <w:rStyle w:val="Hyperlink"/>
            <w:rFonts w:ascii="Arial" w:hAnsi="Arial" w:cs="Arial"/>
          </w:rPr>
          <w:t>2</w:t>
        </w:r>
        <w:bookmarkEnd w:id="198"/>
        <w:r w:rsidRPr="00CD59CC">
          <w:rPr>
            <w:rStyle w:val="Hyperlink"/>
            <w:rFonts w:ascii="Arial" w:hAnsi="Arial" w:cs="Arial"/>
          </w:rPr>
          <w:t>4.ppt</w:t>
        </w:r>
      </w:hyperlink>
      <w:r w:rsidRPr="00CD59CC">
        <w:rPr>
          <w:rStyle w:val="Hyperlink"/>
          <w:rFonts w:ascii="Arial" w:hAnsi="Arial" w:cs="Arial"/>
        </w:rPr>
        <w:t xml:space="preserve">. </w:t>
      </w:r>
    </w:p>
  </w:footnote>
  <w:footnote w:id="77">
    <w:p w14:paraId="00F3BB03" w14:textId="77777777" w:rsidR="006F0AF2" w:rsidRPr="00B97ED3" w:rsidRDefault="006F0AF2" w:rsidP="00CD59CC">
      <w:pPr>
        <w:pStyle w:val="FootnoteText"/>
        <w:rPr>
          <w:rFonts w:ascii="Arial" w:hAnsi="Arial" w:cs="Arial"/>
        </w:rPr>
      </w:pPr>
      <w:r w:rsidRPr="00B97ED3">
        <w:rPr>
          <w:rStyle w:val="FootnoteReference"/>
          <w:rFonts w:ascii="Arial" w:hAnsi="Arial" w:cs="Arial"/>
        </w:rPr>
        <w:footnoteRef/>
      </w:r>
      <w:r w:rsidRPr="00B97ED3">
        <w:rPr>
          <w:rFonts w:ascii="Arial" w:hAnsi="Arial" w:cs="Arial"/>
        </w:rPr>
        <w:t xml:space="preserve"> Civil Society Monitoring Report on the Implementation of the National Roma Integration Strategy </w:t>
      </w:r>
    </w:p>
    <w:p w14:paraId="215A0682" w14:textId="7223A056" w:rsidR="006F0AF2" w:rsidRPr="00CD59CC" w:rsidRDefault="006F0AF2" w:rsidP="00CD59CC">
      <w:pPr>
        <w:pStyle w:val="FootnoteText"/>
        <w:rPr>
          <w:rFonts w:ascii="Arial" w:hAnsi="Arial" w:cs="Arial"/>
          <w:lang w:val="hu-HU"/>
        </w:rPr>
      </w:pPr>
      <w:r w:rsidRPr="00B97ED3">
        <w:rPr>
          <w:rFonts w:ascii="Arial" w:hAnsi="Arial" w:cs="Arial"/>
        </w:rPr>
        <w:t xml:space="preserve">and Decade Action Plan in 2012 in Hungary, p. 96. Available at: </w:t>
      </w:r>
      <w:hyperlink r:id="rId50" w:history="1">
        <w:r w:rsidRPr="00B97ED3">
          <w:rPr>
            <w:rStyle w:val="Hyperlink"/>
            <w:rFonts w:ascii="Arial" w:hAnsi="Arial" w:cs="Arial"/>
          </w:rPr>
          <w:t>http://www.romadecade.org/cms/upload/file/9270_file8_hu_civil-society-monitoring-report_en.pdf</w:t>
        </w:r>
      </w:hyperlink>
      <w:r w:rsidRPr="00B97ED3">
        <w:rPr>
          <w:rFonts w:ascii="Arial" w:hAnsi="Arial" w:cs="Arial"/>
        </w:rPr>
        <w:t>.</w:t>
      </w:r>
    </w:p>
  </w:footnote>
  <w:footnote w:id="78">
    <w:p w14:paraId="15B86759" w14:textId="16148578"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51" w:history="1">
        <w:r w:rsidRPr="00CD59CC">
          <w:rPr>
            <w:rStyle w:val="Hyperlink"/>
            <w:rFonts w:ascii="Arial" w:hAnsi="Arial" w:cs="Arial"/>
          </w:rPr>
          <w:t>http://3ddigitalispublikacio.hu/media/ombudsman/2008/beszamolo_2008.pdf</w:t>
        </w:r>
      </w:hyperlink>
      <w:r w:rsidRPr="00CD59CC">
        <w:rPr>
          <w:rStyle w:val="Hyperlink"/>
          <w:rFonts w:ascii="Arial" w:hAnsi="Arial" w:cs="Arial"/>
        </w:rPr>
        <w:t>.</w:t>
      </w:r>
    </w:p>
  </w:footnote>
  <w:footnote w:id="79">
    <w:p w14:paraId="5E617033" w14:textId="7B04BB12"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52" w:history="1">
        <w:r w:rsidRPr="00CD59CC">
          <w:rPr>
            <w:rStyle w:val="Hyperlink"/>
            <w:rFonts w:ascii="Arial" w:hAnsi="Arial" w:cs="Arial"/>
          </w:rPr>
          <w:t>http://www.kisebbsegiombudsman.hu/data/files/205796771.pdf</w:t>
        </w:r>
      </w:hyperlink>
      <w:r w:rsidRPr="00CD59CC">
        <w:rPr>
          <w:rFonts w:ascii="Arial" w:hAnsi="Arial" w:cs="Arial"/>
        </w:rPr>
        <w:t>.</w:t>
      </w:r>
    </w:p>
  </w:footnote>
  <w:footnote w:id="80">
    <w:p w14:paraId="5B1A32D3" w14:textId="60251A66"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53" w:anchor="_48_INSTANCE_zay8bgVWSb6D_=http%3A%2F%2Fwww.ajbh.hu%2Fstatic%2Fbeszamolok_hu%2F%3F" w:history="1">
        <w:r w:rsidRPr="00CD59CC">
          <w:rPr>
            <w:rStyle w:val="Hyperlink"/>
            <w:rFonts w:ascii="Arial" w:hAnsi="Arial" w:cs="Arial"/>
          </w:rPr>
          <w:t>http://www.ajbh.hu/eves-beszamolok-archiv#_48_INSTANCE_zay8bgVWSb6D_=http%3A%2F%2Fwww.ajbh.hu%2Fstatic%2Fbeszamolok_hu%2F%3F</w:t>
        </w:r>
      </w:hyperlink>
      <w:r w:rsidRPr="00CD59CC">
        <w:rPr>
          <w:rFonts w:ascii="Arial" w:hAnsi="Arial" w:cs="Arial"/>
        </w:rPr>
        <w:t xml:space="preserve"> (p. 329 of the report).</w:t>
      </w:r>
    </w:p>
  </w:footnote>
  <w:footnote w:id="81">
    <w:p w14:paraId="171CA62A" w14:textId="34571EBD"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w:t>
      </w:r>
      <w:hyperlink r:id="rId54" w:history="1">
        <w:r w:rsidRPr="00CD59CC">
          <w:rPr>
            <w:rStyle w:val="Hyperlink"/>
            <w:rFonts w:ascii="Arial" w:hAnsi="Arial" w:cs="Arial"/>
          </w:rPr>
          <w:t>http://www.egyenlobanasmod.hu/j</w:t>
        </w:r>
        <w:bookmarkStart w:id="199" w:name="_Hlt369777794"/>
        <w:bookmarkStart w:id="200" w:name="_Hlt369777795"/>
        <w:bookmarkStart w:id="201" w:name="_Hlt369777796"/>
        <w:r w:rsidRPr="00CD59CC">
          <w:rPr>
            <w:rStyle w:val="Hyperlink"/>
            <w:rFonts w:ascii="Arial" w:hAnsi="Arial" w:cs="Arial"/>
          </w:rPr>
          <w:t>o</w:t>
        </w:r>
        <w:bookmarkEnd w:id="199"/>
        <w:bookmarkEnd w:id="200"/>
        <w:bookmarkEnd w:id="201"/>
        <w:r w:rsidRPr="00CD59CC">
          <w:rPr>
            <w:rStyle w:val="Hyperlink"/>
            <w:rFonts w:ascii="Arial" w:hAnsi="Arial" w:cs="Arial"/>
          </w:rPr>
          <w:t>geset</w:t>
        </w:r>
        <w:bookmarkStart w:id="202" w:name="_Hlt370197159"/>
        <w:r w:rsidRPr="00CD59CC">
          <w:rPr>
            <w:rStyle w:val="Hyperlink"/>
            <w:rFonts w:ascii="Arial" w:hAnsi="Arial" w:cs="Arial"/>
          </w:rPr>
          <w:t>e</w:t>
        </w:r>
        <w:bookmarkEnd w:id="202"/>
        <w:r w:rsidRPr="00CD59CC">
          <w:rPr>
            <w:rStyle w:val="Hyperlink"/>
            <w:rFonts w:ascii="Arial" w:hAnsi="Arial" w:cs="Arial"/>
          </w:rPr>
          <w:t>k/hu/934-2008.p</w:t>
        </w:r>
        <w:bookmarkStart w:id="203" w:name="_Hlt391634251"/>
        <w:r w:rsidRPr="00CD59CC">
          <w:rPr>
            <w:rStyle w:val="Hyperlink"/>
            <w:rFonts w:ascii="Arial" w:hAnsi="Arial" w:cs="Arial"/>
          </w:rPr>
          <w:t>d</w:t>
        </w:r>
        <w:bookmarkEnd w:id="203"/>
        <w:r w:rsidRPr="00CD59CC">
          <w:rPr>
            <w:rStyle w:val="Hyperlink"/>
            <w:rFonts w:ascii="Arial" w:hAnsi="Arial" w:cs="Arial"/>
          </w:rPr>
          <w:t>f</w:t>
        </w:r>
      </w:hyperlink>
      <w:r w:rsidRPr="00CD59CC">
        <w:rPr>
          <w:rFonts w:ascii="Arial" w:hAnsi="Arial" w:cs="Arial"/>
          <w:color w:val="000000"/>
        </w:rPr>
        <w:t>.</w:t>
      </w:r>
    </w:p>
  </w:footnote>
  <w:footnote w:id="82">
    <w:p w14:paraId="6CC36C72"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No reference can be provided due to the conditions of the settlement.</w:t>
      </w:r>
    </w:p>
  </w:footnote>
  <w:footnote w:id="83">
    <w:p w14:paraId="20243200" w14:textId="0A72A335"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w:t>
      </w:r>
      <w:hyperlink r:id="rId55" w:history="1">
        <w:r w:rsidRPr="00CD59CC">
          <w:rPr>
            <w:rStyle w:val="Hyperlink"/>
            <w:rFonts w:ascii="Arial" w:hAnsi="Arial" w:cs="Arial"/>
          </w:rPr>
          <w:t>www.egyenlobanasmod.hu</w:t>
        </w:r>
      </w:hyperlink>
      <w:r w:rsidRPr="00CD59CC">
        <w:rPr>
          <w:rFonts w:ascii="Arial" w:hAnsi="Arial" w:cs="Arial"/>
          <w:color w:val="000000"/>
        </w:rPr>
        <w:t xml:space="preserve"> (report on 2006).</w:t>
      </w:r>
    </w:p>
  </w:footnote>
  <w:footnote w:id="84">
    <w:p w14:paraId="279EE2B9" w14:textId="77777777"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Case no. EBH 10/2006.</w:t>
      </w:r>
    </w:p>
  </w:footnote>
  <w:footnote w:id="85">
    <w:p w14:paraId="156C99F1" w14:textId="77777777"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See:</w:t>
      </w:r>
      <w:r w:rsidRPr="00BB4E9F">
        <w:rPr>
          <w:rFonts w:ascii="Arial" w:hAnsi="Arial"/>
        </w:rPr>
        <w:t xml:space="preserve"> </w:t>
      </w:r>
      <w:hyperlink r:id="rId56" w:history="1">
        <w:r w:rsidRPr="00CD59CC">
          <w:rPr>
            <w:rStyle w:val="Hyperlink"/>
            <w:rFonts w:ascii="Arial" w:hAnsi="Arial" w:cs="Arial"/>
          </w:rPr>
          <w:t>http://www.asz.hu/tanulmanyok/2008/a-magyarorszag</w:t>
        </w:r>
        <w:bookmarkStart w:id="268" w:name="_Hlt391634293"/>
        <w:r w:rsidRPr="00CD59CC">
          <w:rPr>
            <w:rStyle w:val="Hyperlink"/>
            <w:rFonts w:ascii="Arial" w:hAnsi="Arial" w:cs="Arial"/>
          </w:rPr>
          <w:t>i</w:t>
        </w:r>
        <w:bookmarkEnd w:id="268"/>
        <w:r w:rsidRPr="00CD59CC">
          <w:rPr>
            <w:rStyle w:val="Hyperlink"/>
            <w:rFonts w:ascii="Arial" w:hAnsi="Arial" w:cs="Arial"/>
          </w:rPr>
          <w:t>-ciganysag-helyze</w:t>
        </w:r>
        <w:bookmarkStart w:id="269" w:name="_Hlt370197183"/>
        <w:r w:rsidRPr="00CD59CC">
          <w:rPr>
            <w:rStyle w:val="Hyperlink"/>
            <w:rFonts w:ascii="Arial" w:hAnsi="Arial" w:cs="Arial"/>
          </w:rPr>
          <w:t>t</w:t>
        </w:r>
        <w:bookmarkEnd w:id="269"/>
        <w:r w:rsidRPr="00CD59CC">
          <w:rPr>
            <w:rStyle w:val="Hyperlink"/>
            <w:rFonts w:ascii="Arial" w:hAnsi="Arial" w:cs="Arial"/>
          </w:rPr>
          <w:t>enek-javitasara-es-felemelkedesere-a-rendszervaltas-ota-forditott-tamogatasok-merteke-es-hatekonysaga/t206.pdf</w:t>
        </w:r>
      </w:hyperlink>
      <w:r w:rsidRPr="00CD59CC">
        <w:rPr>
          <w:rFonts w:ascii="Arial" w:hAnsi="Arial" w:cs="Arial"/>
          <w:color w:val="000000"/>
        </w:rPr>
        <w:t xml:space="preserve">. </w:t>
      </w:r>
    </w:p>
  </w:footnote>
  <w:footnote w:id="86">
    <w:p w14:paraId="025A7803" w14:textId="77777777"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“While the government policy with respect to desegregation must be commended, it is clear that the current approach based on financial incentives is grossly inadequate to match the non-Roma citizen resistance at the municipal level.” See:</w:t>
      </w:r>
      <w:r w:rsidRPr="00BB4E9F">
        <w:rPr>
          <w:rFonts w:ascii="Arial" w:hAnsi="Arial"/>
        </w:rPr>
        <w:t xml:space="preserve"> </w:t>
      </w:r>
      <w:hyperlink r:id="rId57" w:history="1">
        <w:r w:rsidRPr="00CD59CC">
          <w:rPr>
            <w:rStyle w:val="Hyperlink"/>
            <w:rFonts w:ascii="Arial" w:hAnsi="Arial" w:cs="Arial"/>
          </w:rPr>
          <w:t>htt</w:t>
        </w:r>
        <w:bookmarkStart w:id="270" w:name="_Hlt369778187"/>
        <w:bookmarkStart w:id="271" w:name="_Hlt369778188"/>
        <w:bookmarkStart w:id="272" w:name="_Hlt369778189"/>
        <w:r w:rsidRPr="00CD59CC">
          <w:rPr>
            <w:rStyle w:val="Hyperlink"/>
            <w:rFonts w:ascii="Arial" w:hAnsi="Arial" w:cs="Arial"/>
          </w:rPr>
          <w:t>p</w:t>
        </w:r>
        <w:bookmarkEnd w:id="270"/>
        <w:bookmarkEnd w:id="271"/>
        <w:bookmarkEnd w:id="272"/>
        <w:r w:rsidRPr="00CD59CC">
          <w:rPr>
            <w:rStyle w:val="Hyperlink"/>
            <w:rFonts w:ascii="Arial" w:hAnsi="Arial" w:cs="Arial"/>
          </w:rPr>
          <w:t>://daccess-</w:t>
        </w:r>
        <w:bookmarkStart w:id="273" w:name="_Hlt370197188"/>
        <w:r w:rsidRPr="00CD59CC">
          <w:rPr>
            <w:rStyle w:val="Hyperlink"/>
            <w:rFonts w:ascii="Arial" w:hAnsi="Arial" w:cs="Arial"/>
          </w:rPr>
          <w:t>d</w:t>
        </w:r>
        <w:bookmarkStart w:id="274" w:name="_Hlt391634296"/>
        <w:bookmarkEnd w:id="273"/>
        <w:r w:rsidRPr="00CD59CC">
          <w:rPr>
            <w:rStyle w:val="Hyperlink"/>
            <w:rFonts w:ascii="Arial" w:hAnsi="Arial" w:cs="Arial"/>
          </w:rPr>
          <w:t>d</w:t>
        </w:r>
        <w:bookmarkEnd w:id="274"/>
        <w:r w:rsidRPr="00CD59CC">
          <w:rPr>
            <w:rStyle w:val="Hyperlink"/>
            <w:rFonts w:ascii="Arial" w:hAnsi="Arial" w:cs="Arial"/>
          </w:rPr>
          <w:t>s-ny.un.org/doc/UNDOC/GEN/G07/100/83/PDF/G0710083.pdf?OpenElement</w:t>
        </w:r>
      </w:hyperlink>
      <w:r w:rsidRPr="00CD59CC">
        <w:rPr>
          <w:rFonts w:ascii="Arial" w:hAnsi="Arial" w:cs="Arial"/>
          <w:color w:val="000000"/>
        </w:rPr>
        <w:t xml:space="preserve">. </w:t>
      </w:r>
    </w:p>
  </w:footnote>
  <w:footnote w:id="87">
    <w:p w14:paraId="63BACD2D"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Resolution No. 1430/2011. (XII. 13.) of the Government regarding the National Social Inclusion Strategy and Governmental Action Plan for the Implementation thereof in the Years 2012 to 2014).</w:t>
      </w:r>
    </w:p>
  </w:footnote>
  <w:footnote w:id="88">
    <w:p w14:paraId="04F6F968"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Civil Society Monitoring Report on the Implementation of the National Roma Integration Strategy </w:t>
      </w:r>
    </w:p>
    <w:p w14:paraId="11CACC46" w14:textId="781C86CA" w:rsidR="006F0AF2" w:rsidRPr="00CD59CC" w:rsidRDefault="006F0AF2" w:rsidP="00CD59CC">
      <w:pPr>
        <w:pStyle w:val="FootnoteText"/>
        <w:rPr>
          <w:rFonts w:ascii="Arial" w:hAnsi="Arial" w:cs="Arial"/>
          <w:lang w:val="hu-HU"/>
        </w:rPr>
      </w:pPr>
      <w:r w:rsidRPr="00CD59CC">
        <w:rPr>
          <w:rFonts w:ascii="Arial" w:hAnsi="Arial" w:cs="Arial"/>
        </w:rPr>
        <w:t xml:space="preserve">and Decade Action Plan in 2012 in Hungary, p. 7. Available at: </w:t>
      </w:r>
      <w:hyperlink r:id="rId58" w:history="1">
        <w:r w:rsidRPr="008C622D">
          <w:rPr>
            <w:rStyle w:val="Hyperlink"/>
            <w:rFonts w:ascii="Arial" w:hAnsi="Arial" w:cs="Arial"/>
          </w:rPr>
          <w:t>http://www.romadecade.org/cms/upload/file/9270_file8_hu_civil-society-monitoring-report_en.pdf</w:t>
        </w:r>
      </w:hyperlink>
      <w:r>
        <w:rPr>
          <w:rFonts w:ascii="Arial" w:hAnsi="Arial" w:cs="Arial"/>
        </w:rPr>
        <w:t>.</w:t>
      </w:r>
    </w:p>
  </w:footnote>
  <w:footnote w:id="89">
    <w:p w14:paraId="2C0B4377" w14:textId="5EE2046C"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Decree 84/2013 of the Ministry of Human R</w:t>
      </w:r>
      <w:r>
        <w:rPr>
          <w:rFonts w:ascii="Arial" w:hAnsi="Arial" w:cs="Arial"/>
        </w:rPr>
        <w:t>esources.</w:t>
      </w:r>
    </w:p>
  </w:footnote>
  <w:footnote w:id="90">
    <w:p w14:paraId="4728023F" w14:textId="0BBCC416"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59" w:history="1">
        <w:r w:rsidRPr="00CD59CC">
          <w:rPr>
            <w:rStyle w:val="Hyperlink"/>
            <w:rFonts w:ascii="Arial" w:hAnsi="Arial" w:cs="Arial"/>
          </w:rPr>
          <w:t>http://www.romnet.hu/hirek/2012/05/02/roma_szakkollegiumok_egyhazi_bazison_8211_a_legregebbi_roma_kollegium_vezetoje_tiltakozik</w:t>
        </w:r>
      </w:hyperlink>
      <w:r w:rsidRPr="00CD59CC">
        <w:rPr>
          <w:rFonts w:ascii="Arial" w:hAnsi="Arial" w:cs="Arial"/>
        </w:rPr>
        <w:t>.</w:t>
      </w:r>
    </w:p>
  </w:footnote>
  <w:footnote w:id="91">
    <w:p w14:paraId="64EB18CE" w14:textId="63953B66"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w:t>
      </w:r>
      <w:hyperlink r:id="rId60" w:history="1">
        <w:r w:rsidRPr="00CD59CC">
          <w:rPr>
            <w:rStyle w:val="Hyperlink"/>
            <w:rFonts w:ascii="Arial" w:hAnsi="Arial" w:cs="Arial"/>
          </w:rPr>
          <w:t>http://www.nek.gov.hu/id-1184-diplomas_roma_munkavallalok.html</w:t>
        </w:r>
      </w:hyperlink>
      <w:r w:rsidRPr="00CD59CC">
        <w:rPr>
          <w:rStyle w:val="Hyperlink"/>
          <w:rFonts w:ascii="Arial" w:hAnsi="Arial" w:cs="Arial"/>
        </w:rPr>
        <w:t>.</w:t>
      </w:r>
    </w:p>
  </w:footnote>
  <w:footnote w:id="92">
    <w:p w14:paraId="2A238296" w14:textId="2E76E04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hyperlink r:id="rId61" w:history="1">
        <w:r w:rsidRPr="008C622D">
          <w:rPr>
            <w:rStyle w:val="Hyperlink"/>
            <w:rFonts w:ascii="Arial" w:hAnsi="Arial" w:cs="Arial"/>
          </w:rPr>
          <w:t>http://hvg.hu/karrier/20130924_Romakat_foglalkoztat_az_allam_a_kiemelt_f</w:t>
        </w:r>
      </w:hyperlink>
      <w:r>
        <w:rPr>
          <w:rFonts w:ascii="Arial" w:hAnsi="Arial" w:cs="Arial"/>
        </w:rPr>
        <w:t>.</w:t>
      </w:r>
    </w:p>
  </w:footnote>
  <w:footnote w:id="93">
    <w:p w14:paraId="2F556F9D" w14:textId="020468DA"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lang w:val="hu-HU"/>
        </w:rPr>
        <w:t xml:space="preserve"> </w:t>
      </w:r>
      <w:hyperlink r:id="rId62" w:history="1">
        <w:r w:rsidRPr="008C622D">
          <w:rPr>
            <w:rStyle w:val="Hyperlink"/>
            <w:rFonts w:ascii="Arial" w:hAnsi="Arial" w:cs="Arial"/>
            <w:lang w:val="hu-HU"/>
          </w:rPr>
          <w:t>http://hvg.hu/itthon/20130920_Navracsics_szaz_roma_ugyintezo_fog_dolgoz</w:t>
        </w:r>
      </w:hyperlink>
      <w:r>
        <w:rPr>
          <w:rFonts w:ascii="Arial" w:hAnsi="Arial" w:cs="Arial"/>
          <w:lang w:val="hu-HU"/>
        </w:rPr>
        <w:t>.</w:t>
      </w:r>
    </w:p>
  </w:footnote>
  <w:footnote w:id="94">
    <w:p w14:paraId="7BA79992" w14:textId="7E37372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 xml:space="preserve">For the full text of the agreement see: </w:t>
      </w:r>
      <w:hyperlink r:id="rId63" w:history="1">
        <w:r w:rsidRPr="008C622D">
          <w:rPr>
            <w:rStyle w:val="Hyperlink"/>
            <w:rFonts w:ascii="Arial" w:hAnsi="Arial" w:cs="Arial"/>
            <w:lang w:val="hu-HU"/>
          </w:rPr>
          <w:t>http://www.romnet.hu/hirek/2011/05/20/keretmegallapodas_a_kormany_es_az_orszagos_roma_onkormanyzat_kozott</w:t>
        </w:r>
      </w:hyperlink>
      <w:r>
        <w:rPr>
          <w:rFonts w:ascii="Arial" w:hAnsi="Arial" w:cs="Arial"/>
          <w:lang w:val="hu-HU"/>
        </w:rPr>
        <w:t>.</w:t>
      </w:r>
    </w:p>
  </w:footnote>
  <w:footnote w:id="95">
    <w:p w14:paraId="67BB7770" w14:textId="2185FCF2"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See: Updated Civil Society Monitoring Report on the implementation of the National Roma Integration Strategy and Decade Action Plan in 2012 and 2013 in HUNGARY, pP. 11-12. Available at: </w:t>
      </w:r>
      <w:hyperlink r:id="rId64" w:history="1">
        <w:r w:rsidRPr="008C622D">
          <w:rPr>
            <w:rStyle w:val="Hyperlink"/>
            <w:rFonts w:ascii="Arial" w:hAnsi="Arial" w:cs="Arial"/>
          </w:rPr>
          <w:t>http://www.romadecade.org/news/updated-civil-society-monitoring-reports/9717</w:t>
        </w:r>
      </w:hyperlink>
      <w:r>
        <w:rPr>
          <w:rFonts w:ascii="Arial" w:hAnsi="Arial" w:cs="Arial"/>
        </w:rPr>
        <w:t>.</w:t>
      </w:r>
    </w:p>
  </w:footnote>
  <w:footnote w:id="96">
    <w:p w14:paraId="1DE1F834" w14:textId="3555CEAD"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 xml:space="preserve">See: </w:t>
      </w:r>
      <w:hyperlink r:id="rId65" w:history="1">
        <w:r w:rsidRPr="00CD59CC">
          <w:rPr>
            <w:rStyle w:val="Hyperlink"/>
            <w:rFonts w:ascii="Arial" w:hAnsi="Arial" w:cs="Arial"/>
          </w:rPr>
          <w:t>http://www.partnershungary.hu/images/Letoltheto/civilek_angol.pdf</w:t>
        </w:r>
      </w:hyperlink>
      <w:r w:rsidRPr="00CD59CC">
        <w:rPr>
          <w:rFonts w:ascii="Arial" w:hAnsi="Arial" w:cs="Arial"/>
        </w:rPr>
        <w:t>.</w:t>
      </w:r>
    </w:p>
  </w:footnote>
  <w:footnote w:id="97">
    <w:p w14:paraId="00FBA7AE" w14:textId="24261B91"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See for instance: </w:t>
      </w:r>
      <w:hyperlink r:id="rId66" w:history="1">
        <w:r w:rsidRPr="00CD59CC">
          <w:rPr>
            <w:rStyle w:val="Hyperlink"/>
            <w:rFonts w:ascii="Arial" w:hAnsi="Arial" w:cs="Arial"/>
          </w:rPr>
          <w:t>http://nol.hu/belfold/20130424-felfuggesztett_szegregacios_per</w:t>
        </w:r>
      </w:hyperlink>
      <w:r w:rsidRPr="00CD59CC">
        <w:rPr>
          <w:rFonts w:ascii="Arial" w:hAnsi="Arial" w:cs="Arial"/>
        </w:rPr>
        <w:t>.</w:t>
      </w:r>
    </w:p>
  </w:footnote>
  <w:footnote w:id="98">
    <w:p w14:paraId="515C67F2" w14:textId="4119590C" w:rsidR="006F0AF2" w:rsidRPr="00CD59CC" w:rsidRDefault="006F0AF2" w:rsidP="008C622D">
      <w:pPr>
        <w:rPr>
          <w:rFonts w:ascii="Arial" w:hAnsi="Arial" w:cs="Arial"/>
          <w:sz w:val="20"/>
          <w:szCs w:val="20"/>
          <w:lang w:val="hu-HU"/>
        </w:rPr>
      </w:pPr>
      <w:r w:rsidRPr="00CD59CC">
        <w:rPr>
          <w:rStyle w:val="FootnoteReference"/>
          <w:rFonts w:ascii="Arial" w:hAnsi="Arial" w:cs="Arial"/>
          <w:sz w:val="20"/>
          <w:szCs w:val="20"/>
        </w:rPr>
        <w:footnoteRef/>
      </w:r>
      <w:r w:rsidRPr="00CD59CC">
        <w:rPr>
          <w:rFonts w:ascii="Arial" w:hAnsi="Arial" w:cs="Arial"/>
          <w:sz w:val="20"/>
          <w:szCs w:val="20"/>
          <w:lang w:val="hu-HU"/>
        </w:rPr>
        <w:t xml:space="preserve"> </w:t>
      </w:r>
      <w:hyperlink r:id="rId67" w:history="1">
        <w:r w:rsidRPr="008C622D">
          <w:rPr>
            <w:rStyle w:val="Hyperlink"/>
            <w:rFonts w:ascii="Arial" w:hAnsi="Arial" w:cs="Arial"/>
            <w:sz w:val="20"/>
            <w:szCs w:val="20"/>
            <w:lang w:val="hu-HU"/>
          </w:rPr>
          <w:t>http://www.parlament.hu/irom39/10593/10593.pdf</w:t>
        </w:r>
      </w:hyperlink>
      <w:r>
        <w:rPr>
          <w:rFonts w:ascii="Arial" w:hAnsi="Arial" w:cs="Arial"/>
          <w:sz w:val="20"/>
          <w:szCs w:val="20"/>
          <w:lang w:val="hu-HU"/>
        </w:rPr>
        <w:t>.</w:t>
      </w:r>
    </w:p>
  </w:footnote>
  <w:footnote w:id="99">
    <w:p w14:paraId="610C8F6C" w14:textId="77777777"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Articles 5 and 6 of Act LXXX of 2003 on Legal Aid.</w:t>
      </w:r>
    </w:p>
  </w:footnote>
  <w:footnote w:id="100">
    <w:p w14:paraId="39E705BD" w14:textId="1FD09B92"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See for instance Article 146 of the Judicial Status Act. </w:t>
      </w:r>
    </w:p>
  </w:footnote>
  <w:footnote w:id="101">
    <w:p w14:paraId="6ED405E3"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Information from the Authority’staff.</w:t>
      </w:r>
    </w:p>
  </w:footnote>
  <w:footnote w:id="102">
    <w:p w14:paraId="56F2DAB0" w14:textId="3EFD214B"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Article 14 Paragraph (3)</w:t>
      </w:r>
      <w:r>
        <w:rPr>
          <w:rFonts w:ascii="Arial" w:hAnsi="Arial" w:cs="Arial"/>
          <w:color w:val="000000"/>
        </w:rPr>
        <w:t>.</w:t>
      </w:r>
    </w:p>
  </w:footnote>
  <w:footnote w:id="103">
    <w:p w14:paraId="3DBC6A47" w14:textId="541FE24C" w:rsidR="006F0AF2" w:rsidRPr="00CD59CC" w:rsidRDefault="006F0AF2" w:rsidP="00CD59CC">
      <w:pPr>
        <w:pStyle w:val="FootnoteText"/>
        <w:rPr>
          <w:rStyle w:val="Hyperlink"/>
          <w:rFonts w:ascii="Arial" w:hAnsi="Arial" w:cs="Arial"/>
          <w:lang w:eastAsia="en-GB"/>
        </w:rPr>
      </w:pPr>
      <w:r w:rsidRPr="00CD59CC">
        <w:rPr>
          <w:rStyle w:val="FootnoteReference"/>
          <w:rFonts w:ascii="Arial" w:hAnsi="Arial" w:cs="Arial"/>
          <w:color w:val="000000"/>
        </w:rPr>
        <w:footnoteRef/>
      </w:r>
      <w:r w:rsidRPr="00CD59CC">
        <w:rPr>
          <w:rFonts w:ascii="Arial" w:hAnsi="Arial" w:cs="Arial"/>
          <w:color w:val="000000"/>
        </w:rPr>
        <w:t xml:space="preserve"> Source: Website of the Equal Treatment Authority: annual reports of the Authority, available at: </w:t>
      </w:r>
      <w:hyperlink r:id="rId68" w:history="1">
        <w:r w:rsidRPr="008C622D">
          <w:rPr>
            <w:rStyle w:val="Hyperlink"/>
            <w:rFonts w:ascii="Arial" w:hAnsi="Arial" w:cs="Arial"/>
          </w:rPr>
          <w:t>http://www.egyenlobanasmod.hu/cikkek/beszamolok</w:t>
        </w:r>
      </w:hyperlink>
      <w:r w:rsidRPr="00CD59CC">
        <w:rPr>
          <w:rFonts w:ascii="Arial" w:hAnsi="Arial" w:cs="Arial"/>
          <w:color w:val="000000"/>
        </w:rPr>
        <w:t>.</w:t>
      </w:r>
    </w:p>
  </w:footnote>
  <w:footnote w:id="104">
    <w:p w14:paraId="194FD14F" w14:textId="507E9E4F"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See: </w:t>
      </w:r>
      <w:hyperlink r:id="rId69" w:history="1">
        <w:r w:rsidRPr="00CD59CC">
          <w:rPr>
            <w:rStyle w:val="Hyperlink"/>
            <w:rFonts w:ascii="Arial" w:hAnsi="Arial" w:cs="Arial"/>
          </w:rPr>
          <w:t>http://www.egyenlobanasmod.hu/index.php?g=hirek/TTaf_200804.htm</w:t>
        </w:r>
      </w:hyperlink>
      <w:r w:rsidRPr="00CD59CC">
        <w:rPr>
          <w:rStyle w:val="Hyperlink"/>
          <w:rFonts w:ascii="Arial" w:hAnsi="Arial" w:cs="Arial"/>
        </w:rPr>
        <w:t>.</w:t>
      </w:r>
    </w:p>
  </w:footnote>
  <w:footnote w:id="105">
    <w:p w14:paraId="261D8A6F" w14:textId="77777777"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See for instance the decision of the Debrecen Regional Appeals Court (published as ÍH 2006. 115).</w:t>
      </w:r>
    </w:p>
  </w:footnote>
  <w:footnote w:id="106">
    <w:p w14:paraId="56549826" w14:textId="77777777"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See:</w:t>
      </w:r>
      <w:r w:rsidRPr="00BB4E9F">
        <w:rPr>
          <w:rFonts w:ascii="Arial" w:hAnsi="Arial"/>
        </w:rPr>
        <w:t xml:space="preserve"> </w:t>
      </w:r>
      <w:hyperlink r:id="rId70" w:history="1">
        <w:r w:rsidRPr="00CD59CC">
          <w:rPr>
            <w:rStyle w:val="Hyperlink"/>
            <w:rFonts w:ascii="Arial" w:hAnsi="Arial" w:cs="Arial"/>
          </w:rPr>
          <w:t>http://www.egyenlobanasmod.hu/jog</w:t>
        </w:r>
        <w:bookmarkStart w:id="300" w:name="_Hlt370197212"/>
        <w:r w:rsidRPr="00CD59CC">
          <w:rPr>
            <w:rStyle w:val="Hyperlink"/>
            <w:rFonts w:ascii="Arial" w:hAnsi="Arial" w:cs="Arial"/>
          </w:rPr>
          <w:t>e</w:t>
        </w:r>
        <w:bookmarkEnd w:id="300"/>
        <w:r w:rsidRPr="00CD59CC">
          <w:rPr>
            <w:rStyle w:val="Hyperlink"/>
            <w:rFonts w:ascii="Arial" w:hAnsi="Arial" w:cs="Arial"/>
          </w:rPr>
          <w:t>sete</w:t>
        </w:r>
        <w:bookmarkStart w:id="301" w:name="_Hlt391634489"/>
        <w:r w:rsidRPr="00CD59CC">
          <w:rPr>
            <w:rStyle w:val="Hyperlink"/>
            <w:rFonts w:ascii="Arial" w:hAnsi="Arial" w:cs="Arial"/>
          </w:rPr>
          <w:t>k</w:t>
        </w:r>
        <w:bookmarkEnd w:id="301"/>
        <w:r w:rsidRPr="00CD59CC">
          <w:rPr>
            <w:rStyle w:val="Hyperlink"/>
            <w:rFonts w:ascii="Arial" w:hAnsi="Arial" w:cs="Arial"/>
          </w:rPr>
          <w:t>/jogesetek</w:t>
        </w:r>
      </w:hyperlink>
      <w:r w:rsidRPr="00CD59CC">
        <w:rPr>
          <w:rFonts w:ascii="Arial" w:hAnsi="Arial" w:cs="Arial"/>
          <w:color w:val="000000"/>
        </w:rPr>
        <w:t xml:space="preserve">. </w:t>
      </w:r>
    </w:p>
  </w:footnote>
  <w:footnote w:id="107">
    <w:p w14:paraId="065DD555" w14:textId="77777777" w:rsidR="006F0AF2" w:rsidRPr="00CD59CC" w:rsidRDefault="006F0AF2" w:rsidP="00CD59CC">
      <w:pPr>
        <w:pStyle w:val="FootnoteText"/>
        <w:rPr>
          <w:rFonts w:ascii="Arial" w:hAnsi="Arial" w:cs="Arial"/>
          <w:color w:val="000000"/>
        </w:rPr>
      </w:pPr>
      <w:r w:rsidRPr="00CD59CC">
        <w:rPr>
          <w:rStyle w:val="Lbjegyzet-karakterek"/>
          <w:rFonts w:ascii="Arial" w:hAnsi="Arial" w:cs="Arial"/>
          <w:color w:val="000000"/>
        </w:rPr>
        <w:footnoteRef/>
      </w:r>
      <w:r w:rsidRPr="00CD59CC">
        <w:rPr>
          <w:rFonts w:ascii="Arial" w:hAnsi="Arial" w:cs="Arial"/>
          <w:color w:val="000000"/>
        </w:rPr>
        <w:t xml:space="preserve"> See: </w:t>
      </w:r>
      <w:hyperlink r:id="rId71" w:history="1">
        <w:r w:rsidRPr="00CD59CC">
          <w:rPr>
            <w:rStyle w:val="Hyperlink"/>
            <w:rFonts w:ascii="Arial" w:hAnsi="Arial" w:cs="Arial"/>
          </w:rPr>
          <w:t>http://www.egyenlobanasmod.hu/jogesetek/</w:t>
        </w:r>
        <w:bookmarkStart w:id="302" w:name="_Hlt369778257"/>
        <w:bookmarkStart w:id="303" w:name="_Hlt369778258"/>
        <w:r w:rsidRPr="00CD59CC">
          <w:rPr>
            <w:rStyle w:val="Hyperlink"/>
            <w:rFonts w:ascii="Arial" w:hAnsi="Arial" w:cs="Arial"/>
          </w:rPr>
          <w:t>h</w:t>
        </w:r>
        <w:bookmarkEnd w:id="302"/>
        <w:bookmarkEnd w:id="303"/>
        <w:r w:rsidRPr="00CD59CC">
          <w:rPr>
            <w:rStyle w:val="Hyperlink"/>
            <w:rFonts w:ascii="Arial" w:hAnsi="Arial" w:cs="Arial"/>
          </w:rPr>
          <w:t>u/700</w:t>
        </w:r>
        <w:bookmarkStart w:id="304" w:name="_Hlt370197218"/>
        <w:r w:rsidRPr="00CD59CC">
          <w:rPr>
            <w:rStyle w:val="Hyperlink"/>
            <w:rFonts w:ascii="Arial" w:hAnsi="Arial" w:cs="Arial"/>
          </w:rPr>
          <w:t>-</w:t>
        </w:r>
        <w:bookmarkEnd w:id="304"/>
        <w:r w:rsidRPr="00CD59CC">
          <w:rPr>
            <w:rStyle w:val="Hyperlink"/>
            <w:rFonts w:ascii="Arial" w:hAnsi="Arial" w:cs="Arial"/>
          </w:rPr>
          <w:t>2007.</w:t>
        </w:r>
        <w:bookmarkStart w:id="305" w:name="_Hlt391634491"/>
        <w:r w:rsidRPr="00CD59CC">
          <w:rPr>
            <w:rStyle w:val="Hyperlink"/>
            <w:rFonts w:ascii="Arial" w:hAnsi="Arial" w:cs="Arial"/>
          </w:rPr>
          <w:t>p</w:t>
        </w:r>
        <w:bookmarkEnd w:id="305"/>
        <w:r w:rsidRPr="00CD59CC">
          <w:rPr>
            <w:rStyle w:val="Hyperlink"/>
            <w:rFonts w:ascii="Arial" w:hAnsi="Arial" w:cs="Arial"/>
          </w:rPr>
          <w:t>df</w:t>
        </w:r>
      </w:hyperlink>
      <w:r w:rsidRPr="00CD59CC">
        <w:rPr>
          <w:rFonts w:ascii="Arial" w:hAnsi="Arial" w:cs="Arial"/>
          <w:color w:val="000000"/>
        </w:rPr>
        <w:t xml:space="preserve">. </w:t>
      </w:r>
    </w:p>
  </w:footnote>
  <w:footnote w:id="108">
    <w:p w14:paraId="58CDC417" w14:textId="282F89E5"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72" w:history="1">
        <w:r w:rsidRPr="00CD59CC">
          <w:rPr>
            <w:rStyle w:val="Hyperlink"/>
            <w:rFonts w:ascii="Arial" w:hAnsi="Arial" w:cs="Arial"/>
          </w:rPr>
          <w:t>http://www.neki.hu/index.php?option=com_content&amp;view=article&amp;id=416:oetmillio-forint-birsagot-kell-fizetnie-a-rio-cafenak&amp;catid=1:friss-hk&amp;Itemid=64</w:t>
        </w:r>
      </w:hyperlink>
      <w:r w:rsidRPr="00CD59CC">
        <w:rPr>
          <w:rStyle w:val="Hyperlink"/>
          <w:rFonts w:ascii="Arial" w:hAnsi="Arial" w:cs="Arial"/>
        </w:rPr>
        <w:t>.</w:t>
      </w:r>
    </w:p>
  </w:footnote>
  <w:footnote w:id="109">
    <w:p w14:paraId="68E8989E" w14:textId="23438160"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73" w:history="1">
        <w:r w:rsidRPr="00CD59CC">
          <w:rPr>
            <w:rStyle w:val="Hyperlink"/>
            <w:rFonts w:ascii="Arial" w:hAnsi="Arial" w:cs="Arial"/>
          </w:rPr>
          <w:t>http://www.egyenlobanasmod.hu/data/2012_tevekenyseg_szamok_tukreben.pdf</w:t>
        </w:r>
      </w:hyperlink>
      <w:r w:rsidRPr="00CD59CC">
        <w:rPr>
          <w:rFonts w:ascii="Arial" w:hAnsi="Arial" w:cs="Arial"/>
        </w:rPr>
        <w:t>.</w:t>
      </w:r>
    </w:p>
  </w:footnote>
  <w:footnote w:id="110">
    <w:p w14:paraId="3E33E5AD" w14:textId="73DBCAD1"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74" w:history="1">
        <w:r w:rsidRPr="00CD59CC">
          <w:rPr>
            <w:rStyle w:val="Hyperlink"/>
            <w:rFonts w:ascii="Arial" w:hAnsi="Arial" w:cs="Arial"/>
          </w:rPr>
          <w:t>http://www.egyenlobanasmod.hu/data/2011_tevekenyseg_szamok_tukreben.pdf</w:t>
        </w:r>
      </w:hyperlink>
      <w:r w:rsidRPr="00CD59CC">
        <w:rPr>
          <w:rFonts w:ascii="Arial" w:hAnsi="Arial" w:cs="Arial"/>
        </w:rPr>
        <w:t>.</w:t>
      </w:r>
    </w:p>
  </w:footnote>
  <w:footnote w:id="111">
    <w:p w14:paraId="67FEF67C" w14:textId="4AEFFCC2"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75" w:history="1">
        <w:r w:rsidRPr="00CD59CC">
          <w:rPr>
            <w:rStyle w:val="Hyperlink"/>
            <w:rFonts w:ascii="Arial" w:hAnsi="Arial" w:cs="Arial"/>
          </w:rPr>
          <w:t>http://www.egyenlobanasmod.hu/data/2010beszamolo2.pdf</w:t>
        </w:r>
      </w:hyperlink>
      <w:r w:rsidRPr="00CD59CC">
        <w:rPr>
          <w:rFonts w:ascii="Arial" w:hAnsi="Arial" w:cs="Arial"/>
        </w:rPr>
        <w:t>.</w:t>
      </w:r>
    </w:p>
  </w:footnote>
  <w:footnote w:id="112">
    <w:p w14:paraId="11CB57D0" w14:textId="25EE5DCF" w:rsidR="006F0AF2" w:rsidRPr="00CD59CC" w:rsidRDefault="006F0AF2" w:rsidP="00CD59CC">
      <w:pPr>
        <w:pStyle w:val="FootnoteText"/>
        <w:rPr>
          <w:rFonts w:ascii="Arial" w:hAnsi="Arial" w:cs="Arial"/>
        </w:rPr>
      </w:pPr>
      <w:r w:rsidRPr="0031370B">
        <w:rPr>
          <w:rStyle w:val="FootnoteReference"/>
          <w:rFonts w:ascii="Arial" w:hAnsi="Arial" w:cs="Arial"/>
        </w:rPr>
        <w:footnoteRef/>
      </w:r>
      <w:r w:rsidRPr="0031370B">
        <w:rPr>
          <w:rFonts w:ascii="Arial" w:hAnsi="Arial" w:cs="Arial"/>
        </w:rPr>
        <w:t xml:space="preserve"> See: </w:t>
      </w:r>
      <w:hyperlink r:id="rId76" w:history="1">
        <w:r w:rsidRPr="0031370B">
          <w:rPr>
            <w:rStyle w:val="Hyperlink"/>
            <w:rFonts w:ascii="Arial" w:hAnsi="Arial" w:cs="Arial"/>
          </w:rPr>
          <w:t>http://www2.ohchr.org/english/bodies/hrc/docs/A.66.40_vol.II_partI.pdf</w:t>
        </w:r>
      </w:hyperlink>
      <w:r>
        <w:rPr>
          <w:rFonts w:ascii="Arial" w:hAnsi="Arial" w:cs="Arial"/>
        </w:rPr>
        <w:t>.</w:t>
      </w:r>
    </w:p>
  </w:footnote>
  <w:footnote w:id="113">
    <w:p w14:paraId="40F48ECB" w14:textId="703C0E74"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w:t>
      </w:r>
      <w:hyperlink r:id="rId77" w:history="1">
        <w:r>
          <w:rPr>
            <w:rStyle w:val="Hyperlink"/>
            <w:rFonts w:ascii="Arial" w:hAnsi="Arial" w:cs="Arial"/>
            <w:iCs/>
          </w:rPr>
          <w:t>http://www.egyenlobanasmod.hu</w:t>
        </w:r>
      </w:hyperlink>
      <w:r w:rsidRPr="00CD59CC">
        <w:rPr>
          <w:rStyle w:val="Hyperlink"/>
          <w:rFonts w:ascii="Arial" w:hAnsi="Arial" w:cs="Arial"/>
          <w:iCs/>
        </w:rPr>
        <w:t>.</w:t>
      </w:r>
    </w:p>
  </w:footnote>
  <w:footnote w:id="114">
    <w:p w14:paraId="0116DF7C"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Information by Judit Demeter, President of the Authority.</w:t>
      </w:r>
    </w:p>
  </w:footnote>
  <w:footnote w:id="115">
    <w:p w14:paraId="65885470" w14:textId="016AF981"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Information from the Authority’s staff.</w:t>
      </w:r>
    </w:p>
  </w:footnote>
  <w:footnote w:id="116">
    <w:p w14:paraId="3A1C35F7" w14:textId="4A1B232E"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78" w:history="1">
        <w:r w:rsidRPr="00CD59CC">
          <w:rPr>
            <w:rStyle w:val="Hyperlink"/>
            <w:rFonts w:ascii="Arial" w:hAnsi="Arial" w:cs="Arial"/>
          </w:rPr>
          <w:t>http://www.egyenlobanasmod.hu/tamop/data/TAMOP_EBH_</w:t>
        </w:r>
        <w:bookmarkStart w:id="310" w:name="_Hlt391634680"/>
        <w:r w:rsidRPr="00CD59CC">
          <w:rPr>
            <w:rStyle w:val="Hyperlink"/>
            <w:rFonts w:ascii="Arial" w:hAnsi="Arial" w:cs="Arial"/>
          </w:rPr>
          <w:t>1</w:t>
        </w:r>
        <w:bookmarkEnd w:id="310"/>
        <w:r w:rsidRPr="00CD59CC">
          <w:rPr>
            <w:rStyle w:val="Hyperlink"/>
            <w:rFonts w:ascii="Arial" w:hAnsi="Arial" w:cs="Arial"/>
          </w:rPr>
          <w:t>_english.pdf</w:t>
        </w:r>
      </w:hyperlink>
      <w:r w:rsidRPr="00CD59CC">
        <w:rPr>
          <w:rStyle w:val="Hyperlink"/>
          <w:rFonts w:ascii="Arial" w:hAnsi="Arial" w:cs="Arial"/>
        </w:rPr>
        <w:t>.</w:t>
      </w:r>
    </w:p>
  </w:footnote>
  <w:footnote w:id="117">
    <w:p w14:paraId="674F0B89" w14:textId="3844E26A"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79" w:history="1">
        <w:r w:rsidRPr="00CD59CC">
          <w:rPr>
            <w:rStyle w:val="Hyperlink"/>
            <w:rFonts w:ascii="Arial" w:hAnsi="Arial" w:cs="Arial"/>
          </w:rPr>
          <w:t>http://www.egyenlobanasmod.hu/tamop/data/2.2_english_summary.p</w:t>
        </w:r>
        <w:bookmarkStart w:id="311" w:name="_Hlt391634682"/>
        <w:r w:rsidRPr="00CD59CC">
          <w:rPr>
            <w:rStyle w:val="Hyperlink"/>
            <w:rFonts w:ascii="Arial" w:hAnsi="Arial" w:cs="Arial"/>
          </w:rPr>
          <w:t>d</w:t>
        </w:r>
        <w:bookmarkEnd w:id="311"/>
        <w:r w:rsidRPr="00CD59CC">
          <w:rPr>
            <w:rStyle w:val="Hyperlink"/>
            <w:rFonts w:ascii="Arial" w:hAnsi="Arial" w:cs="Arial"/>
          </w:rPr>
          <w:t>f</w:t>
        </w:r>
      </w:hyperlink>
      <w:r w:rsidRPr="00CD59CC">
        <w:rPr>
          <w:rStyle w:val="Hyperlink"/>
          <w:rFonts w:ascii="Arial" w:hAnsi="Arial" w:cs="Arial"/>
        </w:rPr>
        <w:t>.</w:t>
      </w:r>
    </w:p>
  </w:footnote>
  <w:footnote w:id="118">
    <w:p w14:paraId="5E7A798F" w14:textId="1E365CDA"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80" w:history="1">
        <w:r w:rsidRPr="00CD59CC">
          <w:rPr>
            <w:rStyle w:val="Hyperlink"/>
            <w:rFonts w:ascii="Arial" w:hAnsi="Arial" w:cs="Arial"/>
          </w:rPr>
          <w:t>http://www.egyenlobanasmod.hu/tamop/data/eselyegyenlosegiterv_vegleges</w:t>
        </w:r>
        <w:bookmarkStart w:id="312" w:name="_Hlt391634684"/>
        <w:r w:rsidRPr="00CD59CC">
          <w:rPr>
            <w:rStyle w:val="Hyperlink"/>
            <w:rFonts w:ascii="Arial" w:hAnsi="Arial" w:cs="Arial"/>
          </w:rPr>
          <w:t>_</w:t>
        </w:r>
        <w:bookmarkEnd w:id="312"/>
        <w:r w:rsidRPr="00CD59CC">
          <w:rPr>
            <w:rStyle w:val="Hyperlink"/>
            <w:rFonts w:ascii="Arial" w:hAnsi="Arial" w:cs="Arial"/>
          </w:rPr>
          <w:t>english.pdf</w:t>
        </w:r>
      </w:hyperlink>
      <w:r w:rsidRPr="00CD59CC">
        <w:rPr>
          <w:rStyle w:val="Hyperlink"/>
          <w:rFonts w:ascii="Arial" w:hAnsi="Arial" w:cs="Arial"/>
        </w:rPr>
        <w:t>.</w:t>
      </w:r>
    </w:p>
  </w:footnote>
  <w:footnote w:id="119">
    <w:p w14:paraId="1B964748" w14:textId="6E42985B"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81" w:history="1">
        <w:r w:rsidRPr="00CD59CC">
          <w:rPr>
            <w:rStyle w:val="Hyperlink"/>
            <w:rFonts w:ascii="Arial" w:hAnsi="Arial" w:cs="Arial"/>
          </w:rPr>
          <w:t>http://www.egyenlobanasmod.hu/tamop/data/2.4_english_summar</w:t>
        </w:r>
        <w:bookmarkStart w:id="313" w:name="_Hlt391634686"/>
        <w:r w:rsidRPr="00CD59CC">
          <w:rPr>
            <w:rStyle w:val="Hyperlink"/>
            <w:rFonts w:ascii="Arial" w:hAnsi="Arial" w:cs="Arial"/>
          </w:rPr>
          <w:t>y</w:t>
        </w:r>
        <w:bookmarkEnd w:id="313"/>
        <w:r w:rsidRPr="00CD59CC">
          <w:rPr>
            <w:rStyle w:val="Hyperlink"/>
            <w:rFonts w:ascii="Arial" w:hAnsi="Arial" w:cs="Arial"/>
          </w:rPr>
          <w:t>.pdf</w:t>
        </w:r>
      </w:hyperlink>
      <w:r w:rsidRPr="00CD59CC">
        <w:rPr>
          <w:rStyle w:val="Hyperlink"/>
          <w:rFonts w:ascii="Arial" w:hAnsi="Arial" w:cs="Arial"/>
        </w:rPr>
        <w:t>.</w:t>
      </w:r>
    </w:p>
  </w:footnote>
  <w:footnote w:id="120">
    <w:p w14:paraId="6F3950F2"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82" w:history="1">
        <w:r w:rsidRPr="00CD59CC">
          <w:rPr>
            <w:rStyle w:val="Hyperlink"/>
            <w:rFonts w:ascii="Arial" w:hAnsi="Arial" w:cs="Arial"/>
          </w:rPr>
          <w:t>http://www.egyenlobanasmod.hu/tamop/data/MTA_1hullam_english_summary-2.p</w:t>
        </w:r>
        <w:bookmarkStart w:id="314" w:name="_Hlt391634688"/>
        <w:r w:rsidRPr="00CD59CC">
          <w:rPr>
            <w:rStyle w:val="Hyperlink"/>
            <w:rFonts w:ascii="Arial" w:hAnsi="Arial" w:cs="Arial"/>
          </w:rPr>
          <w:t>d</w:t>
        </w:r>
        <w:bookmarkEnd w:id="314"/>
        <w:r w:rsidRPr="00CD59CC">
          <w:rPr>
            <w:rStyle w:val="Hyperlink"/>
            <w:rFonts w:ascii="Arial" w:hAnsi="Arial" w:cs="Arial"/>
          </w:rPr>
          <w:t>f</w:t>
        </w:r>
      </w:hyperlink>
      <w:r w:rsidRPr="00CD59CC">
        <w:rPr>
          <w:rStyle w:val="Hyperlink"/>
          <w:rFonts w:ascii="Arial" w:hAnsi="Arial" w:cs="Arial"/>
        </w:rPr>
        <w:t>.</w:t>
      </w:r>
    </w:p>
  </w:footnote>
  <w:footnote w:id="121">
    <w:p w14:paraId="04E3522C" w14:textId="64DD7B75" w:rsidR="006F0AF2" w:rsidRPr="00BB4E9F" w:rsidRDefault="006F0AF2" w:rsidP="00CD59CC">
      <w:pPr>
        <w:pStyle w:val="FootnoteText"/>
        <w:rPr>
          <w:rFonts w:ascii="Arial" w:hAnsi="Arial"/>
          <w:lang w:val="hu-HU"/>
        </w:rPr>
      </w:pPr>
      <w:r w:rsidRPr="00CD59CC">
        <w:rPr>
          <w:rStyle w:val="FootnoteReference"/>
          <w:rFonts w:ascii="Arial" w:hAnsi="Arial" w:cs="Arial"/>
        </w:rPr>
        <w:footnoteRef/>
      </w:r>
      <w:r w:rsidRPr="00CD59CC">
        <w:rPr>
          <w:rFonts w:ascii="Arial" w:hAnsi="Arial" w:cs="Arial"/>
        </w:rPr>
        <w:t xml:space="preserve"> </w:t>
      </w:r>
      <w:hyperlink r:id="rId83" w:history="1">
        <w:r w:rsidRPr="006F5D91">
          <w:rPr>
            <w:rStyle w:val="Hyperlink"/>
            <w:rFonts w:ascii="Arial" w:hAnsi="Arial" w:cs="Arial"/>
          </w:rPr>
          <w:t>http://www.egyenlobanasmod.hu/tamop/data/EBH_6_kiadvany_FINAL_press.pdf</w:t>
        </w:r>
      </w:hyperlink>
      <w:r>
        <w:rPr>
          <w:rFonts w:ascii="Arial" w:hAnsi="Arial" w:cs="Arial"/>
        </w:rPr>
        <w:t>.</w:t>
      </w:r>
    </w:p>
  </w:footnote>
  <w:footnote w:id="122">
    <w:p w14:paraId="1FD41803" w14:textId="77777777"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Data from the staff of the Authority.</w:t>
      </w:r>
    </w:p>
  </w:footnote>
  <w:footnote w:id="123">
    <w:p w14:paraId="26A9DD25" w14:textId="77777777" w:rsidR="006F0AF2" w:rsidRPr="00CD59CC" w:rsidRDefault="006F0AF2" w:rsidP="00CD59CC">
      <w:pPr>
        <w:pStyle w:val="FootnoteText"/>
        <w:rPr>
          <w:rFonts w:ascii="Arial" w:hAnsi="Arial" w:cs="Arial"/>
          <w:color w:val="000000"/>
        </w:rPr>
      </w:pPr>
      <w:r w:rsidRPr="00CD59CC">
        <w:rPr>
          <w:rStyle w:val="FootnoteReference"/>
          <w:rFonts w:ascii="Arial" w:hAnsi="Arial" w:cs="Arial"/>
          <w:color w:val="000000"/>
        </w:rPr>
        <w:footnoteRef/>
      </w:r>
      <w:r w:rsidRPr="00CD59CC">
        <w:rPr>
          <w:rFonts w:ascii="Arial" w:hAnsi="Arial" w:cs="Arial"/>
          <w:color w:val="000000"/>
        </w:rPr>
        <w:t xml:space="preserve"> Data from the staff of the Authority.</w:t>
      </w:r>
    </w:p>
  </w:footnote>
  <w:footnote w:id="124">
    <w:p w14:paraId="5D9594CE" w14:textId="42EB801F"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For the project grant see </w:t>
      </w:r>
      <w:hyperlink r:id="rId84" w:history="1">
        <w:r w:rsidRPr="00CD59CC">
          <w:rPr>
            <w:rStyle w:val="Hyperlink"/>
            <w:rFonts w:ascii="Arial" w:hAnsi="Arial" w:cs="Arial"/>
          </w:rPr>
          <w:t>http://www.nfu.hu/megjelent_a_tamop_5_5_5_kiemelt_proje</w:t>
        </w:r>
        <w:bookmarkStart w:id="323" w:name="_Hlt391634716"/>
        <w:r w:rsidRPr="00CD59CC">
          <w:rPr>
            <w:rStyle w:val="Hyperlink"/>
            <w:rFonts w:ascii="Arial" w:hAnsi="Arial" w:cs="Arial"/>
          </w:rPr>
          <w:t>k</w:t>
        </w:r>
        <w:bookmarkEnd w:id="323"/>
        <w:r w:rsidRPr="00CD59CC">
          <w:rPr>
            <w:rStyle w:val="Hyperlink"/>
            <w:rFonts w:ascii="Arial" w:hAnsi="Arial" w:cs="Arial"/>
          </w:rPr>
          <w:t>t</w:t>
        </w:r>
      </w:hyperlink>
      <w:r w:rsidRPr="00CD59CC">
        <w:rPr>
          <w:rFonts w:ascii="Arial" w:hAnsi="Arial" w:cs="Arial"/>
        </w:rPr>
        <w:t>.</w:t>
      </w:r>
    </w:p>
  </w:footnote>
  <w:footnote w:id="125">
    <w:p w14:paraId="4E7A7DCC" w14:textId="16622060"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85" w:history="1">
        <w:r w:rsidRPr="00CD59CC">
          <w:rPr>
            <w:rStyle w:val="Hyperlink"/>
            <w:rFonts w:ascii="Arial" w:hAnsi="Arial" w:cs="Arial"/>
          </w:rPr>
          <w:t>http://www.egyenlobanasmod.hu/data/2010tevekenyseg_szamok_tukreben.p</w:t>
        </w:r>
        <w:bookmarkStart w:id="324" w:name="_Hlt391634718"/>
        <w:r w:rsidRPr="00CD59CC">
          <w:rPr>
            <w:rStyle w:val="Hyperlink"/>
            <w:rFonts w:ascii="Arial" w:hAnsi="Arial" w:cs="Arial"/>
          </w:rPr>
          <w:t>d</w:t>
        </w:r>
        <w:bookmarkEnd w:id="324"/>
        <w:r w:rsidRPr="00CD59CC">
          <w:rPr>
            <w:rStyle w:val="Hyperlink"/>
            <w:rFonts w:ascii="Arial" w:hAnsi="Arial" w:cs="Arial"/>
          </w:rPr>
          <w:t>f</w:t>
        </w:r>
      </w:hyperlink>
      <w:r w:rsidRPr="00CD59CC">
        <w:rPr>
          <w:rStyle w:val="Hyperlink"/>
          <w:rFonts w:ascii="Arial" w:hAnsi="Arial" w:cs="Arial"/>
        </w:rPr>
        <w:t>.</w:t>
      </w:r>
    </w:p>
  </w:footnote>
  <w:footnote w:id="126">
    <w:p w14:paraId="4C38E894" w14:textId="54A888A8"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w:t>
      </w:r>
      <w:hyperlink r:id="rId86" w:history="1">
        <w:r w:rsidRPr="00CD59CC">
          <w:rPr>
            <w:rStyle w:val="Hyperlink"/>
            <w:rFonts w:ascii="Arial" w:hAnsi="Arial" w:cs="Arial"/>
          </w:rPr>
          <w:t>http://www.egyenlobanasmod.hu/data/EgyenloBanasmodHatosag_2011</w:t>
        </w:r>
        <w:bookmarkStart w:id="325" w:name="_Hlt391634722"/>
        <w:r w:rsidRPr="00CD59CC">
          <w:rPr>
            <w:rStyle w:val="Hyperlink"/>
            <w:rFonts w:ascii="Arial" w:hAnsi="Arial" w:cs="Arial"/>
          </w:rPr>
          <w:t>_</w:t>
        </w:r>
        <w:bookmarkEnd w:id="325"/>
        <w:r w:rsidRPr="00CD59CC">
          <w:rPr>
            <w:rStyle w:val="Hyperlink"/>
            <w:rFonts w:ascii="Arial" w:hAnsi="Arial" w:cs="Arial"/>
          </w:rPr>
          <w:t>jogtudatossag.pdf</w:t>
        </w:r>
      </w:hyperlink>
      <w:r w:rsidRPr="00CD59CC">
        <w:rPr>
          <w:rStyle w:val="Hyperlink"/>
          <w:rFonts w:ascii="Arial" w:hAnsi="Arial" w:cs="Arial"/>
        </w:rPr>
        <w:t>.</w:t>
      </w:r>
      <w:r w:rsidRPr="00CD59CC">
        <w:rPr>
          <w:rStyle w:val="Hyperlink"/>
          <w:rFonts w:ascii="Arial" w:hAnsi="Arial" w:cs="Arial"/>
          <w:iCs/>
        </w:rPr>
        <w:t xml:space="preserve"> </w:t>
      </w:r>
      <w:r w:rsidRPr="006F5D91">
        <w:rPr>
          <w:rStyle w:val="Hyperlink"/>
          <w:rFonts w:ascii="Arial" w:hAnsi="Arial" w:cs="Arial"/>
          <w:iCs/>
          <w:color w:val="auto"/>
          <w:u w:val="none"/>
        </w:rPr>
        <w:t>Numbers for 2012 are not available yet.</w:t>
      </w:r>
    </w:p>
  </w:footnote>
  <w:footnote w:id="127">
    <w:p w14:paraId="3E3F5E11" w14:textId="233CD614"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hyperlink r:id="rId87" w:history="1">
        <w:r w:rsidRPr="006F5D91">
          <w:rPr>
            <w:rStyle w:val="Hyperlink"/>
            <w:rFonts w:ascii="Arial" w:hAnsi="Arial" w:cs="Arial"/>
          </w:rPr>
          <w:t>http://www.egyenlobanasmod.hu/data/EBH_2013_tevekenyseg_szamok_tukreben.pdf</w:t>
        </w:r>
      </w:hyperlink>
      <w:r>
        <w:rPr>
          <w:rFonts w:ascii="Arial" w:hAnsi="Arial" w:cs="Arial"/>
        </w:rPr>
        <w:t>.</w:t>
      </w:r>
    </w:p>
  </w:footnote>
  <w:footnote w:id="128">
    <w:p w14:paraId="20088606" w14:textId="7EAB818C" w:rsidR="006F0AF2" w:rsidRPr="00BB4E9F" w:rsidRDefault="006F0AF2" w:rsidP="00CD59CC">
      <w:pPr>
        <w:pStyle w:val="FootnoteText"/>
        <w:rPr>
          <w:rFonts w:ascii="Arial" w:hAnsi="Arial"/>
          <w:lang w:val="hu-HU"/>
        </w:rPr>
      </w:pPr>
      <w:r w:rsidRPr="00CD59CC">
        <w:rPr>
          <w:rStyle w:val="FootnoteReference"/>
          <w:rFonts w:ascii="Arial" w:hAnsi="Arial" w:cs="Arial"/>
        </w:rPr>
        <w:footnoteRef/>
      </w:r>
      <w:r w:rsidRPr="00CD59CC">
        <w:rPr>
          <w:rFonts w:ascii="Arial" w:hAnsi="Arial" w:cs="Arial"/>
          <w:lang w:val="hu-HU"/>
        </w:rPr>
        <w:t xml:space="preserve"> </w:t>
      </w:r>
      <w:hyperlink r:id="rId88" w:history="1">
        <w:r w:rsidRPr="00CD59CC">
          <w:rPr>
            <w:rStyle w:val="Hyperlink"/>
            <w:rFonts w:ascii="Arial" w:hAnsi="Arial" w:cs="Arial"/>
            <w:lang w:val="hu-HU"/>
          </w:rPr>
          <w:t>http://www.egyenlobanasmod.hu/data/2010tevekenyseg_szamok_tuk</w:t>
        </w:r>
        <w:bookmarkStart w:id="326" w:name="_Hlt391634755"/>
        <w:r w:rsidRPr="00CD59CC">
          <w:rPr>
            <w:rStyle w:val="Hyperlink"/>
            <w:rFonts w:ascii="Arial" w:hAnsi="Arial" w:cs="Arial"/>
            <w:lang w:val="hu-HU"/>
          </w:rPr>
          <w:t>r</w:t>
        </w:r>
        <w:bookmarkEnd w:id="326"/>
        <w:r w:rsidRPr="00CD59CC">
          <w:rPr>
            <w:rStyle w:val="Hyperlink"/>
            <w:rFonts w:ascii="Arial" w:hAnsi="Arial" w:cs="Arial"/>
            <w:lang w:val="hu-HU"/>
          </w:rPr>
          <w:t>eben.pdf</w:t>
        </w:r>
      </w:hyperlink>
      <w:r w:rsidRPr="00CD59CC">
        <w:rPr>
          <w:rStyle w:val="Hyperlink"/>
          <w:rFonts w:ascii="Arial" w:hAnsi="Arial" w:cs="Arial"/>
          <w:lang w:val="hu-HU"/>
        </w:rPr>
        <w:t>.</w:t>
      </w:r>
    </w:p>
  </w:footnote>
  <w:footnote w:id="129">
    <w:p w14:paraId="020A517A" w14:textId="02275EF1" w:rsidR="006F0AF2" w:rsidRPr="00BB4E9F" w:rsidRDefault="006F0AF2" w:rsidP="00CD59CC">
      <w:pPr>
        <w:pStyle w:val="FootnoteText"/>
        <w:rPr>
          <w:rFonts w:ascii="Arial" w:hAnsi="Arial"/>
          <w:lang w:val="hu-HU"/>
        </w:rPr>
      </w:pPr>
      <w:r w:rsidRPr="00CD59CC">
        <w:rPr>
          <w:rStyle w:val="FootnoteReference"/>
          <w:rFonts w:ascii="Arial" w:hAnsi="Arial" w:cs="Arial"/>
        </w:rPr>
        <w:footnoteRef/>
      </w:r>
      <w:r w:rsidRPr="00CD59CC">
        <w:rPr>
          <w:rFonts w:ascii="Arial" w:hAnsi="Arial" w:cs="Arial"/>
          <w:lang w:val="hu-HU"/>
        </w:rPr>
        <w:t xml:space="preserve"> </w:t>
      </w:r>
      <w:hyperlink r:id="rId89" w:history="1">
        <w:r w:rsidRPr="00CD59CC">
          <w:rPr>
            <w:rStyle w:val="Hyperlink"/>
            <w:rFonts w:ascii="Arial" w:hAnsi="Arial" w:cs="Arial"/>
            <w:iCs/>
            <w:lang w:val="hu-HU"/>
          </w:rPr>
          <w:t>http://www.egyenlobanasmod.hu/data/EgyenloBanasmodHatosag_2011_jogtudatossag.p</w:t>
        </w:r>
        <w:bookmarkStart w:id="327" w:name="_Hlt391634757"/>
        <w:r w:rsidRPr="00CD59CC">
          <w:rPr>
            <w:rStyle w:val="Hyperlink"/>
            <w:rFonts w:ascii="Arial" w:hAnsi="Arial" w:cs="Arial"/>
            <w:iCs/>
            <w:lang w:val="hu-HU"/>
          </w:rPr>
          <w:t>d</w:t>
        </w:r>
        <w:bookmarkEnd w:id="327"/>
        <w:r w:rsidRPr="00CD59CC">
          <w:rPr>
            <w:rStyle w:val="Hyperlink"/>
            <w:rFonts w:ascii="Arial" w:hAnsi="Arial" w:cs="Arial"/>
            <w:iCs/>
            <w:lang w:val="hu-HU"/>
          </w:rPr>
          <w:t>f</w:t>
        </w:r>
      </w:hyperlink>
      <w:r w:rsidRPr="00CD59CC">
        <w:rPr>
          <w:rStyle w:val="Hyperlink"/>
          <w:rFonts w:ascii="Arial" w:hAnsi="Arial" w:cs="Arial"/>
          <w:iCs/>
          <w:lang w:val="hu-HU"/>
        </w:rPr>
        <w:t>.</w:t>
      </w:r>
    </w:p>
  </w:footnote>
  <w:footnote w:id="130">
    <w:p w14:paraId="60E458C2" w14:textId="6B5D9278" w:rsidR="006F0AF2" w:rsidRPr="00BB4E9F" w:rsidRDefault="006F0AF2" w:rsidP="00CD59CC">
      <w:pPr>
        <w:pStyle w:val="FootnoteText"/>
        <w:rPr>
          <w:rFonts w:ascii="Arial" w:hAnsi="Arial"/>
          <w:lang w:val="hu-HU"/>
        </w:rPr>
      </w:pPr>
      <w:r w:rsidRPr="00CD59CC">
        <w:rPr>
          <w:rStyle w:val="FootnoteReference"/>
          <w:rFonts w:ascii="Arial" w:hAnsi="Arial" w:cs="Arial"/>
        </w:rPr>
        <w:footnoteRef/>
      </w:r>
      <w:r w:rsidRPr="00CD59CC">
        <w:rPr>
          <w:rFonts w:ascii="Arial" w:hAnsi="Arial" w:cs="Arial"/>
          <w:lang w:val="hu-HU"/>
        </w:rPr>
        <w:t xml:space="preserve"> </w:t>
      </w:r>
      <w:hyperlink r:id="rId90" w:history="1">
        <w:r w:rsidRPr="00CD59CC">
          <w:rPr>
            <w:rStyle w:val="Hyperlink"/>
            <w:rFonts w:ascii="Arial" w:hAnsi="Arial" w:cs="Arial"/>
            <w:lang w:val="hu-HU"/>
          </w:rPr>
          <w:t>http://www.egyenlobanasmod.hu/tamop/kepzesek#t201211</w:t>
        </w:r>
        <w:bookmarkStart w:id="328" w:name="_Hlt391634759"/>
        <w:r w:rsidRPr="00CD59CC">
          <w:rPr>
            <w:rStyle w:val="Hyperlink"/>
            <w:rFonts w:ascii="Arial" w:hAnsi="Arial" w:cs="Arial"/>
            <w:lang w:val="hu-HU"/>
          </w:rPr>
          <w:t>2</w:t>
        </w:r>
        <w:bookmarkEnd w:id="328"/>
        <w:r w:rsidRPr="00CD59CC">
          <w:rPr>
            <w:rStyle w:val="Hyperlink"/>
            <w:rFonts w:ascii="Arial" w:hAnsi="Arial" w:cs="Arial"/>
            <w:lang w:val="hu-HU"/>
          </w:rPr>
          <w:t>2</w:t>
        </w:r>
      </w:hyperlink>
      <w:r w:rsidRPr="00CD59CC">
        <w:rPr>
          <w:rFonts w:ascii="Arial" w:hAnsi="Arial" w:cs="Arial"/>
          <w:lang w:val="hu-HU"/>
        </w:rPr>
        <w:t>.</w:t>
      </w:r>
    </w:p>
  </w:footnote>
  <w:footnote w:id="131">
    <w:p w14:paraId="332E0776" w14:textId="18B2AFA5" w:rsidR="006F0AF2" w:rsidRPr="00BB4E9F" w:rsidRDefault="006F0AF2" w:rsidP="00CD59CC">
      <w:pPr>
        <w:pStyle w:val="FootnoteText"/>
        <w:rPr>
          <w:rFonts w:ascii="Arial" w:hAnsi="Arial"/>
          <w:lang w:val="hu-HU"/>
        </w:rPr>
      </w:pPr>
      <w:r w:rsidRPr="00CD59CC">
        <w:rPr>
          <w:rStyle w:val="FootnoteReference"/>
          <w:rFonts w:ascii="Arial" w:hAnsi="Arial" w:cs="Arial"/>
        </w:rPr>
        <w:footnoteRef/>
      </w:r>
      <w:r w:rsidRPr="00CD59CC">
        <w:rPr>
          <w:rStyle w:val="Hyperlink"/>
          <w:rFonts w:ascii="Arial" w:hAnsi="Arial" w:cs="Arial"/>
          <w:lang w:val="hu-HU"/>
        </w:rPr>
        <w:t xml:space="preserve"> </w:t>
      </w:r>
      <w:hyperlink r:id="rId91" w:history="1">
        <w:r w:rsidRPr="00CD59CC">
          <w:rPr>
            <w:rStyle w:val="Hyperlink"/>
            <w:rFonts w:ascii="Arial" w:hAnsi="Arial" w:cs="Arial"/>
            <w:lang w:val="hu-HU"/>
          </w:rPr>
          <w:t>http://www.egyenlobanasmod.hu/cikkek/elob</w:t>
        </w:r>
        <w:bookmarkStart w:id="329" w:name="_Hlt391634761"/>
        <w:r w:rsidRPr="00CD59CC">
          <w:rPr>
            <w:rStyle w:val="Hyperlink"/>
            <w:rFonts w:ascii="Arial" w:hAnsi="Arial" w:cs="Arial"/>
            <w:lang w:val="hu-HU"/>
          </w:rPr>
          <w:t>e</w:t>
        </w:r>
        <w:bookmarkEnd w:id="329"/>
        <w:r w:rsidRPr="00CD59CC">
          <w:rPr>
            <w:rStyle w:val="Hyperlink"/>
            <w:rFonts w:ascii="Arial" w:hAnsi="Arial" w:cs="Arial"/>
            <w:lang w:val="hu-HU"/>
          </w:rPr>
          <w:t>n-a-jatszoterrol</w:t>
        </w:r>
      </w:hyperlink>
      <w:r w:rsidRPr="00CD59CC">
        <w:rPr>
          <w:rStyle w:val="Hyperlink"/>
          <w:rFonts w:ascii="Arial" w:hAnsi="Arial" w:cs="Arial"/>
          <w:lang w:val="hu-HU"/>
        </w:rPr>
        <w:t>.</w:t>
      </w:r>
    </w:p>
  </w:footnote>
  <w:footnote w:id="132">
    <w:p w14:paraId="07E10373" w14:textId="12358AF7" w:rsidR="006F0AF2" w:rsidRPr="00BB4E9F" w:rsidRDefault="006F0AF2" w:rsidP="00CD59CC">
      <w:pPr>
        <w:pStyle w:val="FootnoteText"/>
        <w:rPr>
          <w:rFonts w:ascii="Arial" w:hAnsi="Arial"/>
          <w:lang w:val="hu-HU"/>
        </w:rPr>
      </w:pPr>
      <w:r w:rsidRPr="0031370B">
        <w:rPr>
          <w:rStyle w:val="FootnoteReference"/>
          <w:rFonts w:ascii="Arial" w:hAnsi="Arial" w:cs="Arial"/>
        </w:rPr>
        <w:footnoteRef/>
      </w:r>
      <w:r w:rsidRPr="0031370B">
        <w:rPr>
          <w:rFonts w:ascii="Arial" w:hAnsi="Arial" w:cs="Arial"/>
          <w:lang w:val="hu-HU"/>
        </w:rPr>
        <w:t xml:space="preserve"> </w:t>
      </w:r>
      <w:hyperlink r:id="rId92" w:history="1">
        <w:r w:rsidRPr="0031370B">
          <w:rPr>
            <w:rStyle w:val="Hyperlink"/>
            <w:rFonts w:ascii="Arial" w:hAnsi="Arial" w:cs="Arial"/>
            <w:lang w:val="hu-HU"/>
          </w:rPr>
          <w:t>http://2010-2014.kormany.hu/hu</w:t>
        </w:r>
        <w:bookmarkStart w:id="330" w:name="_Hlt393444902"/>
        <w:r w:rsidRPr="0031370B">
          <w:rPr>
            <w:rStyle w:val="Hyperlink"/>
            <w:rFonts w:ascii="Arial" w:hAnsi="Arial" w:cs="Arial"/>
            <w:lang w:val="hu-HU"/>
          </w:rPr>
          <w:t>/</w:t>
        </w:r>
        <w:bookmarkEnd w:id="330"/>
        <w:r w:rsidRPr="0031370B">
          <w:rPr>
            <w:rStyle w:val="Hyperlink"/>
            <w:rFonts w:ascii="Arial" w:hAnsi="Arial" w:cs="Arial"/>
            <w:iCs/>
            <w:lang w:val="hu-HU"/>
          </w:rPr>
          <w:t>emberi-eroforrasok-</w:t>
        </w:r>
        <w:bookmarkStart w:id="331" w:name="_Hlt391634765"/>
        <w:r w:rsidRPr="0031370B">
          <w:rPr>
            <w:rStyle w:val="Hyperlink"/>
            <w:rFonts w:ascii="Arial" w:hAnsi="Arial" w:cs="Arial"/>
            <w:iCs/>
            <w:lang w:val="hu-HU"/>
          </w:rPr>
          <w:t>m</w:t>
        </w:r>
        <w:bookmarkEnd w:id="331"/>
        <w:r w:rsidRPr="0031370B">
          <w:rPr>
            <w:rStyle w:val="Hyperlink"/>
            <w:rFonts w:ascii="Arial" w:hAnsi="Arial" w:cs="Arial"/>
            <w:iCs/>
            <w:lang w:val="hu-HU"/>
          </w:rPr>
          <w:t>iniszteriuma</w:t>
        </w:r>
        <w:r w:rsidRPr="0031370B">
          <w:rPr>
            <w:rStyle w:val="Hyperlink"/>
            <w:rFonts w:ascii="Arial" w:hAnsi="Arial" w:cs="Arial"/>
            <w:lang w:val="hu-HU"/>
          </w:rPr>
          <w:t>/tarsadalmi-felzarkozasert-felelos-allamtitkarsag</w:t>
        </w:r>
      </w:hyperlink>
      <w:r w:rsidRPr="0031370B">
        <w:rPr>
          <w:rStyle w:val="Hyperlink"/>
          <w:rFonts w:ascii="Arial" w:hAnsi="Arial" w:cs="Arial"/>
          <w:lang w:val="hu-HU"/>
        </w:rPr>
        <w:t>.</w:t>
      </w:r>
    </w:p>
  </w:footnote>
  <w:footnote w:id="133">
    <w:p w14:paraId="5E4E147D" w14:textId="0E923AD5" w:rsidR="006F0AF2" w:rsidRPr="00BB4E9F" w:rsidRDefault="006F0AF2" w:rsidP="00CD59CC">
      <w:pPr>
        <w:pStyle w:val="FootnoteText"/>
        <w:rPr>
          <w:rFonts w:ascii="Arial" w:hAnsi="Arial"/>
          <w:lang w:val="hu-HU"/>
        </w:rPr>
      </w:pPr>
      <w:r w:rsidRPr="0031370B">
        <w:rPr>
          <w:rStyle w:val="FootnoteReference"/>
          <w:rFonts w:ascii="Arial" w:hAnsi="Arial" w:cs="Arial"/>
        </w:rPr>
        <w:footnoteRef/>
      </w:r>
      <w:r w:rsidRPr="0031370B">
        <w:rPr>
          <w:rFonts w:ascii="Arial" w:hAnsi="Arial" w:cs="Arial"/>
          <w:lang w:val="hu-HU"/>
        </w:rPr>
        <w:t xml:space="preserve"> </w:t>
      </w:r>
      <w:hyperlink r:id="rId93" w:history="1">
        <w:r w:rsidRPr="0031370B">
          <w:rPr>
            <w:rStyle w:val="Hyperlink"/>
            <w:rFonts w:ascii="Arial" w:hAnsi="Arial" w:cs="Arial"/>
            <w:lang w:val="hu-HU"/>
          </w:rPr>
          <w:t>http://2010-2014.kormany.hu/hu</w:t>
        </w:r>
        <w:bookmarkStart w:id="332" w:name="_Hlt393444905"/>
        <w:r w:rsidRPr="0031370B">
          <w:rPr>
            <w:rStyle w:val="Hyperlink"/>
            <w:rFonts w:ascii="Arial" w:hAnsi="Arial" w:cs="Arial"/>
            <w:lang w:val="hu-HU"/>
          </w:rPr>
          <w:t>/</w:t>
        </w:r>
        <w:bookmarkEnd w:id="332"/>
        <w:r w:rsidRPr="0031370B">
          <w:rPr>
            <w:rStyle w:val="Hyperlink"/>
            <w:rFonts w:ascii="Arial" w:hAnsi="Arial" w:cs="Arial"/>
            <w:lang w:val="hu-HU"/>
          </w:rPr>
          <w:t>kozigazgatasi-es-igazsagugyi-mini</w:t>
        </w:r>
        <w:bookmarkStart w:id="333" w:name="_Hlt391634767"/>
        <w:r w:rsidRPr="0031370B">
          <w:rPr>
            <w:rStyle w:val="Hyperlink"/>
            <w:rFonts w:ascii="Arial" w:hAnsi="Arial" w:cs="Arial"/>
            <w:lang w:val="hu-HU"/>
          </w:rPr>
          <w:t>s</w:t>
        </w:r>
        <w:bookmarkEnd w:id="333"/>
        <w:r w:rsidRPr="0031370B">
          <w:rPr>
            <w:rStyle w:val="Hyperlink"/>
            <w:rFonts w:ascii="Arial" w:hAnsi="Arial" w:cs="Arial"/>
            <w:lang w:val="hu-HU"/>
          </w:rPr>
          <w:t>zterium/tarsadalmi-felzarkozasert-felelos-allamtitkarsag/hirek/huszonhatan-nyertek-az-iskola-halo-programban</w:t>
        </w:r>
      </w:hyperlink>
      <w:r w:rsidRPr="0031370B">
        <w:rPr>
          <w:rStyle w:val="Hyperlink"/>
          <w:rFonts w:ascii="Arial" w:hAnsi="Arial" w:cs="Arial"/>
          <w:lang w:val="hu-HU"/>
        </w:rPr>
        <w:t>.</w:t>
      </w:r>
    </w:p>
  </w:footnote>
  <w:footnote w:id="134">
    <w:p w14:paraId="7474E4B6" w14:textId="1A22CE80" w:rsidR="006F0AF2" w:rsidRPr="00BB4E9F" w:rsidRDefault="006F0AF2" w:rsidP="00CD59CC">
      <w:pPr>
        <w:pStyle w:val="FootnoteText"/>
        <w:rPr>
          <w:rFonts w:ascii="Arial" w:hAnsi="Arial"/>
          <w:lang w:val="hu-HU"/>
        </w:rPr>
      </w:pPr>
      <w:r w:rsidRPr="0031370B">
        <w:rPr>
          <w:rStyle w:val="FootnoteReference"/>
          <w:rFonts w:ascii="Arial" w:hAnsi="Arial" w:cs="Arial"/>
        </w:rPr>
        <w:footnoteRef/>
      </w:r>
      <w:r w:rsidRPr="0031370B">
        <w:rPr>
          <w:rFonts w:ascii="Arial" w:hAnsi="Arial" w:cs="Arial"/>
          <w:lang w:val="hu-HU"/>
        </w:rPr>
        <w:t xml:space="preserve"> </w:t>
      </w:r>
      <w:hyperlink r:id="rId94" w:history="1">
        <w:r w:rsidRPr="0031370B">
          <w:rPr>
            <w:rStyle w:val="Hyperlink"/>
            <w:rFonts w:ascii="Arial" w:hAnsi="Arial" w:cs="Arial"/>
            <w:lang w:val="hu-HU"/>
          </w:rPr>
          <w:t>http:/</w:t>
        </w:r>
        <w:bookmarkStart w:id="334" w:name="_Hlt393099342"/>
        <w:bookmarkStart w:id="335" w:name="_Hlt393099343"/>
        <w:r w:rsidRPr="0031370B">
          <w:rPr>
            <w:rStyle w:val="Hyperlink"/>
            <w:rFonts w:ascii="Arial" w:hAnsi="Arial" w:cs="Arial"/>
            <w:lang w:val="hu-HU"/>
          </w:rPr>
          <w:t>/</w:t>
        </w:r>
        <w:bookmarkEnd w:id="334"/>
        <w:bookmarkEnd w:id="335"/>
        <w:r w:rsidRPr="0031370B">
          <w:rPr>
            <w:rStyle w:val="Hyperlink"/>
            <w:rFonts w:ascii="Arial" w:hAnsi="Arial" w:cs="Arial"/>
            <w:lang w:val="hu-HU"/>
          </w:rPr>
          <w:t>2010-2014.kormany.hu/hu/kozigazgatasi-es-igazsagugyi-miniszterium/tarsadalmi-felzarkozasert-felelos-allamtitkarsa</w:t>
        </w:r>
        <w:bookmarkStart w:id="336" w:name="_Hlt393444908"/>
        <w:r w:rsidRPr="0031370B">
          <w:rPr>
            <w:rStyle w:val="Hyperlink"/>
            <w:rFonts w:ascii="Arial" w:hAnsi="Arial" w:cs="Arial"/>
            <w:lang w:val="hu-HU"/>
          </w:rPr>
          <w:t>g</w:t>
        </w:r>
        <w:bookmarkEnd w:id="336"/>
        <w:r w:rsidRPr="0031370B">
          <w:rPr>
            <w:rStyle w:val="Hyperlink"/>
            <w:rFonts w:ascii="Arial" w:hAnsi="Arial" w:cs="Arial"/>
            <w:lang w:val="hu-HU"/>
          </w:rPr>
          <w:t>/hirek/komplex-telepfelszamolasi-programot-indit-a-korm</w:t>
        </w:r>
        <w:bookmarkStart w:id="337" w:name="_Hlt391634769"/>
        <w:r w:rsidRPr="0031370B">
          <w:rPr>
            <w:rStyle w:val="Hyperlink"/>
            <w:rFonts w:ascii="Arial" w:hAnsi="Arial" w:cs="Arial"/>
            <w:lang w:val="hu-HU"/>
          </w:rPr>
          <w:t>a</w:t>
        </w:r>
        <w:bookmarkEnd w:id="337"/>
        <w:r w:rsidRPr="0031370B">
          <w:rPr>
            <w:rStyle w:val="Hyperlink"/>
            <w:rFonts w:ascii="Arial" w:hAnsi="Arial" w:cs="Arial"/>
            <w:lang w:val="hu-HU"/>
          </w:rPr>
          <w:t>ny</w:t>
        </w:r>
      </w:hyperlink>
      <w:r w:rsidRPr="0031370B">
        <w:rPr>
          <w:rStyle w:val="Hyperlink"/>
          <w:rFonts w:ascii="Arial" w:hAnsi="Arial" w:cs="Arial"/>
          <w:lang w:val="hu-HU"/>
        </w:rPr>
        <w:t>.</w:t>
      </w:r>
    </w:p>
  </w:footnote>
  <w:footnote w:id="135">
    <w:p w14:paraId="43770A23" w14:textId="2E59067C" w:rsidR="006F0AF2" w:rsidRPr="00BB4E9F" w:rsidRDefault="006F0AF2" w:rsidP="00CD59CC">
      <w:pPr>
        <w:pStyle w:val="FootnoteText"/>
        <w:rPr>
          <w:rFonts w:ascii="Arial" w:hAnsi="Arial"/>
          <w:lang w:val="hu-HU"/>
        </w:rPr>
      </w:pPr>
      <w:r w:rsidRPr="0031370B">
        <w:rPr>
          <w:rStyle w:val="FootnoteReference"/>
          <w:rFonts w:ascii="Arial" w:hAnsi="Arial" w:cs="Arial"/>
        </w:rPr>
        <w:footnoteRef/>
      </w:r>
      <w:r w:rsidRPr="0031370B">
        <w:rPr>
          <w:rFonts w:ascii="Arial" w:hAnsi="Arial" w:cs="Arial"/>
          <w:lang w:val="hu-HU"/>
        </w:rPr>
        <w:t xml:space="preserve"> </w:t>
      </w:r>
      <w:hyperlink r:id="rId95" w:history="1">
        <w:r w:rsidRPr="0031370B">
          <w:rPr>
            <w:rStyle w:val="Hyperlink"/>
            <w:rFonts w:ascii="Arial" w:hAnsi="Arial" w:cs="Arial"/>
            <w:lang w:val="hu-HU"/>
          </w:rPr>
          <w:t>http://2010-2014.kormany.hu/hu/kozigazgatasi-es-igazsagugyi-miniszterium/tarsad</w:t>
        </w:r>
        <w:bookmarkStart w:id="338" w:name="_Hlt391634770"/>
        <w:r w:rsidRPr="0031370B">
          <w:rPr>
            <w:rStyle w:val="Hyperlink"/>
            <w:rFonts w:ascii="Arial" w:hAnsi="Arial" w:cs="Arial"/>
            <w:lang w:val="hu-HU"/>
          </w:rPr>
          <w:t>a</w:t>
        </w:r>
        <w:bookmarkEnd w:id="338"/>
        <w:r w:rsidRPr="0031370B">
          <w:rPr>
            <w:rStyle w:val="Hyperlink"/>
            <w:rFonts w:ascii="Arial" w:hAnsi="Arial" w:cs="Arial"/>
            <w:lang w:val="hu-HU"/>
          </w:rPr>
          <w:t>lmi-felzarkozasert-felelos-alla</w:t>
        </w:r>
        <w:bookmarkStart w:id="339" w:name="_Hlt393099372"/>
        <w:bookmarkStart w:id="340" w:name="_Hlt393099373"/>
        <w:r w:rsidRPr="0031370B">
          <w:rPr>
            <w:rStyle w:val="Hyperlink"/>
            <w:rFonts w:ascii="Arial" w:hAnsi="Arial" w:cs="Arial"/>
            <w:lang w:val="hu-HU"/>
          </w:rPr>
          <w:t>m</w:t>
        </w:r>
        <w:bookmarkEnd w:id="339"/>
        <w:bookmarkEnd w:id="340"/>
        <w:r w:rsidRPr="0031370B">
          <w:rPr>
            <w:rStyle w:val="Hyperlink"/>
            <w:rFonts w:ascii="Arial" w:hAnsi="Arial" w:cs="Arial"/>
            <w:lang w:val="hu-HU"/>
          </w:rPr>
          <w:t>titka</w:t>
        </w:r>
        <w:bookmarkStart w:id="341" w:name="_Hlt393444910"/>
        <w:r w:rsidRPr="0031370B">
          <w:rPr>
            <w:rStyle w:val="Hyperlink"/>
            <w:rFonts w:ascii="Arial" w:hAnsi="Arial" w:cs="Arial"/>
            <w:lang w:val="hu-HU"/>
          </w:rPr>
          <w:t>r</w:t>
        </w:r>
        <w:bookmarkEnd w:id="341"/>
        <w:r w:rsidRPr="0031370B">
          <w:rPr>
            <w:rStyle w:val="Hyperlink"/>
            <w:rFonts w:ascii="Arial" w:hAnsi="Arial" w:cs="Arial"/>
            <w:lang w:val="hu-HU"/>
          </w:rPr>
          <w:t>sag/hirek/az-europai-unio-tagallamai-kozul-magyarorszag-nyujtotta-be-elsokent-felzarkozasi-strategiajat</w:t>
        </w:r>
      </w:hyperlink>
      <w:r w:rsidRPr="0031370B">
        <w:rPr>
          <w:rStyle w:val="Hyperlink"/>
          <w:rFonts w:ascii="Arial" w:hAnsi="Arial" w:cs="Arial"/>
          <w:lang w:val="hu-HU"/>
        </w:rPr>
        <w:t>.</w:t>
      </w:r>
    </w:p>
  </w:footnote>
  <w:footnote w:id="136">
    <w:p w14:paraId="6E8E48BE" w14:textId="77777777" w:rsidR="006F0AF2" w:rsidRPr="00CD59CC" w:rsidRDefault="006F0AF2" w:rsidP="00CD59CC">
      <w:pPr>
        <w:pStyle w:val="FootnoteText"/>
        <w:rPr>
          <w:rFonts w:ascii="Arial" w:hAnsi="Arial" w:cs="Arial"/>
        </w:rPr>
      </w:pPr>
      <w:r w:rsidRPr="00CD59CC">
        <w:rPr>
          <w:rStyle w:val="FootnoteReference"/>
          <w:rFonts w:ascii="Arial" w:hAnsi="Arial" w:cs="Arial"/>
        </w:rPr>
        <w:footnoteRef/>
      </w:r>
      <w:r w:rsidRPr="00CD59CC">
        <w:rPr>
          <w:rFonts w:ascii="Arial" w:hAnsi="Arial" w:cs="Arial"/>
        </w:rPr>
        <w:t xml:space="preserve"> Civil Society Monitoring Report on the Implementation of the National Roma Integration Strategy </w:t>
      </w:r>
    </w:p>
    <w:p w14:paraId="63898D4B" w14:textId="0510636C" w:rsidR="006F0AF2" w:rsidRPr="00CD59CC" w:rsidRDefault="006F0AF2" w:rsidP="00CD59CC">
      <w:pPr>
        <w:pStyle w:val="FootnoteText"/>
        <w:rPr>
          <w:rFonts w:ascii="Arial" w:hAnsi="Arial" w:cs="Arial"/>
        </w:rPr>
      </w:pPr>
      <w:r w:rsidRPr="00CD59CC">
        <w:rPr>
          <w:rFonts w:ascii="Arial" w:hAnsi="Arial" w:cs="Arial"/>
        </w:rPr>
        <w:t xml:space="preserve">and Decade Action Plan in 2012 in Hungary, Available at: </w:t>
      </w:r>
      <w:hyperlink r:id="rId96" w:history="1">
        <w:r w:rsidRPr="006F5D91">
          <w:rPr>
            <w:rStyle w:val="Hyperlink"/>
            <w:rFonts w:ascii="Arial" w:hAnsi="Arial" w:cs="Arial"/>
          </w:rPr>
          <w:t>http://www.romadecade.org/cms/upload/file/9270_file8_hu_civil-society-monitoring-report_en.pdf</w:t>
        </w:r>
      </w:hyperlink>
      <w:r>
        <w:rPr>
          <w:rFonts w:ascii="Arial" w:hAnsi="Arial" w:cs="Arial"/>
        </w:rPr>
        <w:t>.</w:t>
      </w:r>
    </w:p>
  </w:footnote>
  <w:footnote w:id="137">
    <w:p w14:paraId="2EFE6238"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Ibid, p. 9.</w:t>
      </w:r>
    </w:p>
  </w:footnote>
  <w:footnote w:id="138">
    <w:p w14:paraId="700ACE5D" w14:textId="77777777"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Ibid.</w:t>
      </w:r>
    </w:p>
  </w:footnote>
  <w:footnote w:id="139">
    <w:p w14:paraId="699BC5AF" w14:textId="2C2D038D" w:rsidR="006F0AF2" w:rsidRPr="00CD59CC" w:rsidRDefault="006F0AF2" w:rsidP="00CD59CC">
      <w:pPr>
        <w:pStyle w:val="FootnoteText"/>
        <w:rPr>
          <w:rFonts w:ascii="Arial" w:hAnsi="Arial" w:cs="Arial"/>
          <w:lang w:val="hu-HU"/>
        </w:rPr>
      </w:pPr>
      <w:r w:rsidRPr="00CD59CC">
        <w:rPr>
          <w:rStyle w:val="FootnoteReference"/>
          <w:rFonts w:ascii="Arial" w:hAnsi="Arial" w:cs="Arial"/>
        </w:rPr>
        <w:footnoteRef/>
      </w:r>
      <w:r w:rsidRPr="00CD59CC">
        <w:rPr>
          <w:rFonts w:ascii="Arial" w:hAnsi="Arial" w:cs="Arial"/>
        </w:rPr>
        <w:t xml:space="preserve"> </w:t>
      </w:r>
      <w:r w:rsidRPr="00CD59CC">
        <w:rPr>
          <w:rFonts w:ascii="Arial" w:hAnsi="Arial" w:cs="Arial"/>
          <w:lang w:val="hu-HU"/>
        </w:rPr>
        <w:t xml:space="preserve">See for instance: </w:t>
      </w:r>
      <w:hyperlink r:id="rId97" w:history="1">
        <w:r w:rsidRPr="00CD59CC">
          <w:rPr>
            <w:rStyle w:val="Hyperlink"/>
            <w:rFonts w:ascii="Arial" w:hAnsi="Arial" w:cs="Arial"/>
            <w:lang w:val="hu-HU"/>
          </w:rPr>
          <w:t>http://hvg.hu/itt</w:t>
        </w:r>
        <w:bookmarkStart w:id="351" w:name="_Hlt391634853"/>
        <w:r w:rsidRPr="00CD59CC">
          <w:rPr>
            <w:rStyle w:val="Hyperlink"/>
            <w:rFonts w:ascii="Arial" w:hAnsi="Arial" w:cs="Arial"/>
            <w:lang w:val="hu-HU"/>
          </w:rPr>
          <w:t>h</w:t>
        </w:r>
        <w:bookmarkEnd w:id="351"/>
        <w:r w:rsidRPr="00CD59CC">
          <w:rPr>
            <w:rStyle w:val="Hyperlink"/>
            <w:rFonts w:ascii="Arial" w:hAnsi="Arial" w:cs="Arial"/>
            <w:lang w:val="hu-HU"/>
          </w:rPr>
          <w:t>on/20130711_Balog_Heindl_roma_szegregacio</w:t>
        </w:r>
      </w:hyperlink>
      <w:r w:rsidRPr="00CD59CC">
        <w:rPr>
          <w:rFonts w:ascii="Arial" w:hAnsi="Arial" w:cs="Arial"/>
          <w:lang w:val="hu-HU"/>
        </w:rPr>
        <w:t xml:space="preserve">; </w:t>
      </w:r>
      <w:hyperlink r:id="rId98" w:history="1">
        <w:r w:rsidRPr="006F5D91">
          <w:rPr>
            <w:rStyle w:val="Hyperlink"/>
            <w:rFonts w:ascii="Arial" w:hAnsi="Arial" w:cs="Arial"/>
            <w:lang w:val="hu-HU"/>
          </w:rPr>
          <w:t>http://www.romnet.hu/hirek/2013/09/25/mohacsi_erzsebet_is_kivonult</w:t>
        </w:r>
      </w:hyperlink>
      <w:r>
        <w:rPr>
          <w:rFonts w:ascii="Arial" w:hAnsi="Arial" w:cs="Arial"/>
          <w:lang w:val="hu-H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D611E" w14:textId="77777777" w:rsidR="006F0AF2" w:rsidRDefault="006F0AF2">
    <w:pPr>
      <w:pStyle w:val="Header"/>
      <w:framePr w:wrap="around" w:vAnchor="text" w:hAnchor="margin" w:xAlign="right" w:y="1"/>
      <w:rPr>
        <w:rStyle w:val="PageNumber"/>
        <w:rFonts w:ascii="Arial" w:hAnsi="Arial" w:cs="Arial"/>
        <w:i/>
        <w:sz w:val="16"/>
        <w:szCs w:val="16"/>
      </w:rPr>
    </w:pPr>
  </w:p>
  <w:p w14:paraId="30B3A5EC" w14:textId="77777777" w:rsidR="006F0AF2" w:rsidRPr="001C0AFF" w:rsidRDefault="000D069B" w:rsidP="00DC2773">
    <w:pPr>
      <w:tabs>
        <w:tab w:val="left" w:pos="9072"/>
      </w:tabs>
      <w:rPr>
        <w:lang w:val="nl-NL"/>
      </w:rPr>
    </w:pPr>
    <w:r>
      <w:rPr>
        <w:noProof/>
      </w:rPr>
      <w:pict w14:anchorId="0A2ECA53">
        <v:group id="Group 22" o:spid="_x0000_s2118" style="position:absolute;margin-left:109.5pt;margin-top:-.55pt;width:343.6pt;height:40.1pt;z-index:251651072" coordorigin="3605,783" coordsize="6872,8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 o:spid="_x0000_s2119" type="#_x0000_t75" style="position:absolute;left:9675;top:783;width:802;height:80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fy4nFAAAA2wAAAA8AAABkcnMvZG93bnJldi54bWxEj0FrwkAUhO+F/oflCb01Gy2IpK4iUsEW&#10;VIz14O01+7oJZt+G7DZJ/71bKHgcZuYbZr4cbC06an3lWME4SUEQF05XbBR8njbPMxA+IGusHZOC&#10;X/KwXDw+zDHTrucjdXkwIkLYZ6igDKHJpPRFSRZ94hri6H271mKIsjVSt9hHuK3lJE2n0mLFcaHE&#10;htYlFdf8x0bKano2H9v3r93BXHaHN+Nxv5kp9TQaVq8gAg3hHv5vb7WCyQv8fYk/QC5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E38uJxQAAANsAAAAPAAAAAAAAAAAAAAAA&#10;AJ8CAABkcnMvZG93bnJldi54bWxQSwUGAAAAAAQABAD3AAAAkQMAAAAA&#10;">
            <v:imagedata r:id="rId1" o:title=""/>
          </v:shape>
          <v:shapetype id="_x0000_t202" coordsize="21600,21600" o:spt="202" path="m,l,21600r21600,l21600,xe">
            <v:stroke joinstyle="miter"/>
            <v:path gradientshapeok="t" o:connecttype="rect"/>
          </v:shapetype>
          <v:shape id="Text Box 1" o:spid="_x0000_s2120" type="#_x0000_t202" style="position:absolute;left:3605;top:1177;width:648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style="mso-next-textbox:#Text Box 1">
              <w:txbxContent>
                <w:p w14:paraId="17FBCD2D" w14:textId="77777777" w:rsidR="006F0AF2" w:rsidRPr="00057514" w:rsidRDefault="006F0AF2">
                  <w:pPr>
                    <w:jc w:val="right"/>
                    <w:rPr>
                      <w:rFonts w:ascii="Arial" w:hAnsi="Arial" w:cs="Arial"/>
                      <w:sz w:val="16"/>
                      <w:szCs w:val="16"/>
                    </w:rPr>
                  </w:pPr>
                  <w:r w:rsidRPr="00057514">
                    <w:rPr>
                      <w:rFonts w:ascii="Arial" w:hAnsi="Arial" w:cs="Arial"/>
                      <w:sz w:val="16"/>
                      <w:szCs w:val="16"/>
                    </w:rPr>
                    <w:t>European network of legal experts in the non-discrimination field</w:t>
                  </w:r>
                </w:p>
              </w:txbxContent>
            </v:textbox>
          </v:shape>
        </v:group>
      </w:pict>
    </w:r>
    <w:r>
      <w:rPr>
        <w:noProof/>
      </w:rPr>
      <w:pict w14:anchorId="6FA4B428">
        <v:line id="Straight Connector 21" o:spid="_x0000_s2117" style="position:absolute;z-index:251650048;visibility:visible;mso-wrap-distance-top:-3e-5mm;mso-wrap-distance-bottom:-3e-5mm" from="0,6.9pt" to="36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&#1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93093" w14:textId="1A708967" w:rsidR="006F0AF2" w:rsidRPr="001C0AFF" w:rsidRDefault="000D069B" w:rsidP="00177728">
    <w:pPr>
      <w:rPr>
        <w:lang w:val="nl-NL"/>
      </w:rPr>
    </w:pPr>
    <w:r>
      <w:rPr>
        <w:noProof/>
      </w:rPr>
      <w:pict w14:anchorId="6BD8DAF3">
        <v:group id="Group 16" o:spid="_x0000_s2166" style="position:absolute;margin-left:113.75pt;margin-top:.15pt;width:339.85pt;height:40.1pt;z-index:251653120" coordorigin="3685,783" coordsize="6797,8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167" type="#_x0000_t75" style="position:absolute;left:9680;top:783;width:802;height:80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WIBzfEAAAA2wAAAA8AAABkcnMvZG93bnJldi54bWxEj0+LwjAQxe+C3yGM4E3T9aBSjSKLgi6o&#10;+O/gbWxm07LNpDRZrd/eLCx4m+G995s303ljS3Gn2heOFXz0ExDEmdMFGwXn06o3BuEDssbSMSl4&#10;kof5rN2aYqrdgw90PwYjIoR9igryEKpUSp/lZNH3XUUctW9XWwxxrY3UNT4i3JZykCRDabHgeCHH&#10;ij5zyn6OvzZSFsOL+Vpvbtu9uW73S+Nxtxor1e00iwmIQE14m//Tax3rj+DvlziAnL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WIBzfEAAAA2wAAAA8AAAAAAAAAAAAAAAAA&#10;nwIAAGRycy9kb3ducmV2LnhtbFBLBQYAAAAABAAEAPcAAACQAwAAAAA=&#10;">
            <v:imagedata r:id="rId1" o:title=""/>
          </v:shape>
          <v:shapetype id="_x0000_t202" coordsize="21600,21600" o:spt="202" path="m,l,21600r21600,l21600,xe">
            <v:stroke joinstyle="miter"/>
            <v:path gradientshapeok="t" o:connecttype="rect"/>
          </v:shapetype>
          <v:shape id="Text Box 7" o:spid="_x0000_s2168" type="#_x0000_t202" style="position:absolute;left:3685;top:1171;width:648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14:paraId="3BF5D7F9" w14:textId="77777777" w:rsidR="006F0AF2" w:rsidRPr="00057514" w:rsidRDefault="006F0AF2">
                  <w:pPr>
                    <w:jc w:val="right"/>
                    <w:rPr>
                      <w:rFonts w:ascii="Arial" w:hAnsi="Arial" w:cs="Arial"/>
                      <w:sz w:val="16"/>
                      <w:szCs w:val="16"/>
                    </w:rPr>
                  </w:pPr>
                  <w:r w:rsidRPr="00057514">
                    <w:rPr>
                      <w:rFonts w:ascii="Arial" w:hAnsi="Arial" w:cs="Arial"/>
                      <w:sz w:val="16"/>
                      <w:szCs w:val="16"/>
                    </w:rPr>
                    <w:t>European network of legal experts in the non-discrimination field</w:t>
                  </w:r>
                </w:p>
              </w:txbxContent>
            </v:textbox>
          </v:shape>
        </v:group>
      </w:pict>
    </w:r>
    <w:r>
      <w:rPr>
        <w:noProof/>
      </w:rPr>
      <w:pict w14:anchorId="3B99E829">
        <v:line id="Straight Connector 15" o:spid="_x0000_s2165" style="position:absolute;z-index:251652096;visibility:visible;mso-wrap-distance-top:-3e-5mm;mso-wrap-distance-bottom:-3e-5mm" from="0,6.9pt" to="36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&#1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08F86" w14:textId="77777777" w:rsidR="006F0AF2" w:rsidRDefault="006F0AF2">
    <w:pPr>
      <w:pStyle w:val="Header"/>
      <w:framePr w:wrap="around" w:vAnchor="text" w:hAnchor="margin" w:xAlign="right" w:y="1"/>
      <w:rPr>
        <w:rStyle w:val="PageNumber"/>
        <w:rFonts w:ascii="Arial" w:hAnsi="Arial" w:cs="Arial"/>
        <w:i/>
        <w:sz w:val="16"/>
        <w:szCs w:val="16"/>
      </w:rPr>
    </w:pPr>
  </w:p>
  <w:p w14:paraId="251EF0CE" w14:textId="6A53FD2C" w:rsidR="006F0AF2" w:rsidRPr="00602EA3" w:rsidRDefault="000D069B" w:rsidP="00602EA3">
    <w:pPr>
      <w:rPr>
        <w:lang w:val="en-AU"/>
      </w:rPr>
    </w:pPr>
    <w:r>
      <w:rPr>
        <w:noProof/>
        <w:lang w:val="nl-NL" w:eastAsia="nl-NL"/>
      </w:rPr>
      <w:pict w14:anchorId="6C299F8E">
        <v:group id="_x0000_s2070" style="position:absolute;margin-left:328pt;margin-top:-2.95pt;width:342.85pt;height:40.1pt;z-index:251649024" coordorigin="8545,650" coordsize="6857,8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 o:spid="_x0000_s2071" type="#_x0000_t75" style="position:absolute;left:14600;top:650;width:802;height:802;visibility:visible" wrapcoords="-408 0 -408 21192 21600 21192 21600 0 -408 0">
            <v:imagedata r:id="rId1" o:title=""/>
          </v:shape>
          <v:shapetype id="_x0000_t202" coordsize="21600,21600" o:spt="202" path="m,l,21600r21600,l21600,xe">
            <v:stroke joinstyle="miter"/>
            <v:path gradientshapeok="t" o:connecttype="rect"/>
          </v:shapetype>
          <v:shape id="Text Box 12" o:spid="_x0000_s2072" type="#_x0000_t202" style="position:absolute;left:8545;top:1068;width:6480;height: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" filled="f" stroked="f">
            <v:textbox>
              <w:txbxContent>
                <w:p w14:paraId="1A48ED1C" w14:textId="77777777" w:rsidR="006F0AF2" w:rsidRPr="00D253E3" w:rsidRDefault="006F0AF2">
                  <w:pPr>
                    <w:jc w:val="right"/>
                    <w:rPr>
                      <w:rFonts w:ascii="Arial" w:hAnsi="Arial" w:cs="Arial"/>
                      <w:sz w:val="16"/>
                      <w:szCs w:val="16"/>
                    </w:rPr>
                  </w:pPr>
                  <w:r w:rsidRPr="00D253E3">
                    <w:rPr>
                      <w:rFonts w:ascii="Arial" w:hAnsi="Arial" w:cs="Arial"/>
                      <w:sz w:val="16"/>
                      <w:szCs w:val="16"/>
                    </w:rPr>
                    <w:t>European network of legal experts in the non-discrimination field</w:t>
                  </w:r>
                </w:p>
              </w:txbxContent>
            </v:textbox>
          </v:shape>
        </v:group>
      </w:pict>
    </w:r>
    <w:r>
      <w:rPr>
        <w:noProof/>
        <w:lang w:val="fr-BE" w:eastAsia="fr-BE"/>
      </w:rPr>
      <w:pict w14:anchorId="51516622">
        <v:line id="Line 13" o:spid="_x0000_s2069" style="position:absolute;z-index:251648000;visibility:visible" from="0,6.9pt" to="36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"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28E90" w14:textId="55887252" w:rsidR="006F0AF2" w:rsidRDefault="000D069B" w:rsidP="00602EA3">
    <w:r>
      <w:rPr>
        <w:noProof/>
        <w:lang w:val="nl-NL" w:eastAsia="nl-NL"/>
      </w:rPr>
      <w:pict w14:anchorId="07270486">
        <v:group id="_x0000_s2062" style="position:absolute;margin-left:329.5pt;margin-top:-.55pt;width:341.35pt;height:40.1pt;z-index:251646976" coordorigin="8575,698" coordsize="6827,8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2063" type="#_x0000_t75" style="position:absolute;left:14600;top:698;width:802;height:802;visibility:visible" wrapcoords="-408 0 -408 21192 21600 21192 21600 0 -408 0">
            <v:imagedata r:id="rId1" o:title=""/>
          </v:shape>
          <v:shapetype id="_x0000_t202" coordsize="21600,21600" o:spt="202" path="m,l,21600r21600,l21600,xe">
            <v:stroke joinstyle="miter"/>
            <v:path gradientshapeok="t" o:connecttype="rect"/>
          </v:shapetype>
          <v:shape id="Text Box 16" o:spid="_x0000_s2064" type="#_x0000_t202" style="position:absolute;left:8575;top:1092;width:6480;height: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" filled="f" stroked="f">
            <v:textbox style="mso-next-textbox:#Text Box 16">
              <w:txbxContent>
                <w:p w14:paraId="4E4FA157" w14:textId="55EE0E04" w:rsidR="007714FA" w:rsidRDefault="006F0AF2" w:rsidP="00E34CF1">
                  <w:r w:rsidRPr="00D253E3">
                    <w:rPr>
                      <w:rFonts w:ascii="Arial" w:hAnsi="Arial" w:cs="Arial"/>
                      <w:sz w:val="16"/>
                      <w:szCs w:val="16"/>
                    </w:rPr>
                    <w:t>European network of legal experts in the non-discrimination field</w:t>
                  </w:r>
                </w:p>
              </w:txbxContent>
            </v:textbox>
          </v:shape>
        </v:group>
      </w:pict>
    </w:r>
    <w:r>
      <w:rPr>
        <w:noProof/>
        <w:lang w:val="fr-BE" w:eastAsia="fr-BE"/>
      </w:rPr>
      <w:pict w14:anchorId="38F73696">
        <v:line id="Line 18" o:spid="_x0000_s2061" style="position:absolute;z-index:251645952;visibility:visible" from="0,6.9pt" to="36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" stroked="f"/>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DEA28" w14:textId="77777777" w:rsidR="006F0AF2" w:rsidRDefault="006F0AF2">
    <w:pPr>
      <w:pStyle w:val="Header"/>
      <w:framePr w:wrap="around" w:vAnchor="text" w:hAnchor="margin" w:xAlign="right" w:y="1"/>
      <w:rPr>
        <w:rStyle w:val="PageNumber"/>
        <w:rFonts w:ascii="Arial" w:hAnsi="Arial" w:cs="Arial"/>
        <w:i/>
        <w:sz w:val="16"/>
        <w:szCs w:val="16"/>
      </w:rPr>
    </w:pPr>
  </w:p>
  <w:p w14:paraId="594CEB9A" w14:textId="16E229A0" w:rsidR="006F0AF2" w:rsidRPr="00602EA3" w:rsidRDefault="000D069B" w:rsidP="00602EA3">
    <w:pPr>
      <w:rPr>
        <w:lang w:val="en-AU"/>
      </w:rPr>
    </w:pPr>
    <w:r>
      <w:rPr>
        <w:noProof/>
        <w:lang w:val="nl-NL" w:eastAsia="nl-NL"/>
      </w:rPr>
      <w:pict w14:anchorId="4EB98B4D">
        <v:group id="_x0000_s2256" style="position:absolute;margin-left:110.4pt;margin-top:-.4pt;width:342.85pt;height:40.1pt;z-index:251661312" coordorigin="8545,650" coordsize="6857,8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 o:spid="_x0000_s2257" type="#_x0000_t75" style="position:absolute;left:14600;top:650;width:802;height:802;visibility:visible" wrapcoords="-408 0 -408 21192 21600 21192 21600 0 -408 0">
            <v:imagedata r:id="rId1" o:title=""/>
          </v:shape>
          <v:shapetype id="_x0000_t202" coordsize="21600,21600" o:spt="202" path="m,l,21600r21600,l21600,xe">
            <v:stroke joinstyle="miter"/>
            <v:path gradientshapeok="t" o:connecttype="rect"/>
          </v:shapetype>
          <v:shape id="Text Box 12" o:spid="_x0000_s2258" type="#_x0000_t202" style="position:absolute;left:8545;top:1068;width:6480;height: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" filled="f" stroked="f">
            <v:textbox>
              <w:txbxContent>
                <w:p w14:paraId="208236B7" w14:textId="77777777" w:rsidR="006F0AF2" w:rsidRPr="00D253E3" w:rsidRDefault="006F0AF2">
                  <w:pPr>
                    <w:jc w:val="right"/>
                    <w:rPr>
                      <w:rFonts w:ascii="Arial" w:hAnsi="Arial" w:cs="Arial"/>
                      <w:sz w:val="16"/>
                      <w:szCs w:val="16"/>
                    </w:rPr>
                  </w:pPr>
                  <w:r w:rsidRPr="00D253E3">
                    <w:rPr>
                      <w:rFonts w:ascii="Arial" w:hAnsi="Arial" w:cs="Arial"/>
                      <w:sz w:val="16"/>
                      <w:szCs w:val="16"/>
                    </w:rPr>
                    <w:t>European network of legal experts in the non-discrimination field</w:t>
                  </w:r>
                </w:p>
              </w:txbxContent>
            </v:textbox>
          </v:shape>
        </v:group>
      </w:pict>
    </w:r>
    <w:r>
      <w:rPr>
        <w:noProof/>
        <w:lang w:val="fr-BE" w:eastAsia="fr-BE"/>
      </w:rPr>
      <w:pict w14:anchorId="11D9194F">
        <v:line id="_x0000_s2255" style="position:absolute;z-index:251660288;visibility:visible" from="0,6.9pt" to="36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" stroked="f"/>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32DFF" w14:textId="7D63A4A8" w:rsidR="006F0AF2" w:rsidRDefault="000D069B" w:rsidP="00602EA3">
    <w:r>
      <w:rPr>
        <w:noProof/>
        <w:lang w:val="nl-NL" w:eastAsia="nl-NL"/>
      </w:rPr>
      <w:pict w14:anchorId="376E0427">
        <v:group id="_x0000_s2246" style="position:absolute;margin-left:112.25pt;margin-top:-.55pt;width:341.35pt;height:40.1pt;z-index:251655168" coordorigin="8575,698" coordsize="6827,8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2247" type="#_x0000_t75" style="position:absolute;left:14600;top:698;width:802;height:802;visibility:visible" wrapcoords="-408 0 -408 21192 21600 21192 21600 0 -408 0">
            <v:imagedata r:id="rId1" o:title=""/>
          </v:shape>
          <v:shapetype id="_x0000_t202" coordsize="21600,21600" o:spt="202" path="m,l,21600r21600,l21600,xe">
            <v:stroke joinstyle="miter"/>
            <v:path gradientshapeok="t" o:connecttype="rect"/>
          </v:shapetype>
          <v:shape id="Text Box 16" o:spid="_x0000_s2248" type="#_x0000_t202" style="position:absolute;left:8575;top:1092;width:6480;height: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" filled="f" stroked="f">
            <v:textbox>
              <w:txbxContent>
                <w:p w14:paraId="17D335D9" w14:textId="77777777" w:rsidR="006F0AF2" w:rsidRPr="00D253E3" w:rsidRDefault="006F0AF2">
                  <w:pPr>
                    <w:jc w:val="right"/>
                    <w:rPr>
                      <w:rFonts w:ascii="Arial" w:hAnsi="Arial" w:cs="Arial"/>
                      <w:sz w:val="16"/>
                      <w:szCs w:val="16"/>
                    </w:rPr>
                  </w:pPr>
                  <w:r w:rsidRPr="00D253E3">
                    <w:rPr>
                      <w:rFonts w:ascii="Arial" w:hAnsi="Arial" w:cs="Arial"/>
                      <w:sz w:val="16"/>
                      <w:szCs w:val="16"/>
                    </w:rPr>
                    <w:t>European network of legal experts in the non-discrimination field</w:t>
                  </w:r>
                </w:p>
              </w:txbxContent>
            </v:textbox>
          </v:shape>
        </v:group>
      </w:pict>
    </w:r>
    <w:r>
      <w:rPr>
        <w:noProof/>
        <w:lang w:val="fr-BE" w:eastAsia="fr-BE"/>
      </w:rPr>
      <w:pict w14:anchorId="35E6D073">
        <v:line id="_x0000_s2245" style="position:absolute;z-index:251654144;visibility:visible" from="0,6.9pt" to="36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&#1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 w15:restartNumberingAfterBreak="0">
    <w:nsid w:val="00000009"/>
    <w:multiLevelType w:val="singleLevel"/>
    <w:tmpl w:val="5B1CCA1A"/>
    <w:name w:val="WW8Num9"/>
    <w:lvl w:ilvl="0">
      <w:start w:val="1"/>
      <w:numFmt w:val="lowerLetter"/>
      <w:lvlText w:val="(%1)"/>
      <w:lvlJc w:val="left"/>
      <w:pPr>
        <w:tabs>
          <w:tab w:val="num" w:pos="567"/>
        </w:tabs>
        <w:ind w:left="567" w:hanging="567"/>
      </w:pPr>
      <w:rPr>
        <w:rFonts w:hint="default"/>
      </w:rPr>
    </w:lvl>
  </w:abstractNum>
  <w:abstractNum w:abstractNumId="2" w15:restartNumberingAfterBreak="0">
    <w:nsid w:val="00DC27D8"/>
    <w:multiLevelType w:val="hybridMultilevel"/>
    <w:tmpl w:val="43E4FC0C"/>
    <w:lvl w:ilvl="0" w:tplc="077EE56C">
      <w:start w:val="1"/>
      <w:numFmt w:val="lowerLetter"/>
      <w:lvlText w:val="%1)"/>
      <w:lvlJc w:val="left"/>
      <w:pPr>
        <w:tabs>
          <w:tab w:val="num" w:pos="567"/>
        </w:tabs>
        <w:ind w:left="567" w:hanging="567"/>
      </w:pPr>
      <w:rPr>
        <w:rFonts w:hint="default"/>
      </w:rPr>
    </w:lvl>
    <w:lvl w:ilvl="1" w:tplc="A4FCDAA4">
      <w:numFmt w:val="bullet"/>
      <w:lvlText w:val=""/>
      <w:lvlJc w:val="left"/>
      <w:pPr>
        <w:tabs>
          <w:tab w:val="num" w:pos="1647"/>
        </w:tabs>
        <w:ind w:left="1647" w:hanging="567"/>
      </w:pPr>
      <w:rPr>
        <w:rFonts w:ascii="Symbol" w:eastAsia="Times New Roman" w:hAnsi="Symbol" w:cs="Times New Roman" w:hint="default"/>
      </w:rPr>
    </w:lvl>
    <w:lvl w:ilvl="2" w:tplc="0DD63DC6">
      <w:start w:val="1"/>
      <w:numFmt w:val="low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F2432B"/>
    <w:multiLevelType w:val="hybridMultilevel"/>
    <w:tmpl w:val="38568B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1">
      <w:start w:val="1"/>
      <w:numFmt w:val="bullet"/>
      <w:lvlText w:val=""/>
      <w:lvlJc w:val="left"/>
      <w:pPr>
        <w:ind w:left="2160" w:hanging="360"/>
      </w:pPr>
      <w:rPr>
        <w:rFonts w:ascii="Symbol" w:hAnsi="Symbol"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3D83723"/>
    <w:multiLevelType w:val="hybridMultilevel"/>
    <w:tmpl w:val="F6EC561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4850E3F"/>
    <w:multiLevelType w:val="hybridMultilevel"/>
    <w:tmpl w:val="0E1E1B18"/>
    <w:lvl w:ilvl="0" w:tplc="7B6079B8">
      <w:start w:val="1"/>
      <w:numFmt w:val="lowerLetter"/>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6" w15:restartNumberingAfterBreak="0">
    <w:nsid w:val="08056B37"/>
    <w:multiLevelType w:val="hybridMultilevel"/>
    <w:tmpl w:val="FB5EE872"/>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8264709"/>
    <w:multiLevelType w:val="hybridMultilevel"/>
    <w:tmpl w:val="ADDA08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A645CA0"/>
    <w:multiLevelType w:val="hybridMultilevel"/>
    <w:tmpl w:val="506CB4B0"/>
    <w:lvl w:ilvl="0" w:tplc="C86A35B8">
      <w:numFmt w:val="bullet"/>
      <w:lvlText w:val=""/>
      <w:lvlJc w:val="left"/>
      <w:pPr>
        <w:tabs>
          <w:tab w:val="num" w:pos="927"/>
        </w:tabs>
        <w:ind w:left="927" w:hanging="567"/>
      </w:pPr>
      <w:rPr>
        <w:rFonts w:ascii="Symbol" w:eastAsia="Times New Roman" w:hAnsi="Symbol" w:cs="Times New Roman" w:hint="default"/>
      </w:rPr>
    </w:lvl>
    <w:lvl w:ilvl="1" w:tplc="6812D66E">
      <w:numFmt w:val="bullet"/>
      <w:lvlText w:val=""/>
      <w:lvlJc w:val="left"/>
      <w:pPr>
        <w:tabs>
          <w:tab w:val="num" w:pos="567"/>
        </w:tabs>
        <w:ind w:left="567" w:hanging="567"/>
      </w:pPr>
      <w:rPr>
        <w:rFonts w:ascii="Symbol" w:eastAsia="Times New Roman" w:hAnsi="Symbol"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ED36407"/>
    <w:multiLevelType w:val="hybridMultilevel"/>
    <w:tmpl w:val="7354BE50"/>
    <w:lvl w:ilvl="0" w:tplc="53FA39B8">
      <w:start w:val="1"/>
      <w:numFmt w:val="bullet"/>
      <w:lvlText w:val=""/>
      <w:lvlJc w:val="left"/>
      <w:pPr>
        <w:tabs>
          <w:tab w:val="num" w:pos="567"/>
        </w:tabs>
        <w:ind w:left="567" w:hanging="56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A9302506">
      <w:numFmt w:val="bullet"/>
      <w:lvlText w:val="•"/>
      <w:lvlJc w:val="left"/>
      <w:pPr>
        <w:ind w:left="2520" w:hanging="72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1A7A99"/>
    <w:multiLevelType w:val="hybridMultilevel"/>
    <w:tmpl w:val="477000A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0FC3EC4"/>
    <w:multiLevelType w:val="hybridMultilevel"/>
    <w:tmpl w:val="4382520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17449FB"/>
    <w:multiLevelType w:val="hybridMultilevel"/>
    <w:tmpl w:val="28A6CCD8"/>
    <w:lvl w:ilvl="0" w:tplc="9E965EEE">
      <w:start w:val="1"/>
      <w:numFmt w:val="lowerRoman"/>
      <w:lvlText w:val="%1)"/>
      <w:lvlJc w:val="left"/>
      <w:pPr>
        <w:ind w:left="1287" w:hanging="720"/>
      </w:pPr>
      <w:rPr>
        <w:rFonts w:hint="default"/>
      </w:rPr>
    </w:lvl>
    <w:lvl w:ilvl="1" w:tplc="08130019" w:tentative="1">
      <w:start w:val="1"/>
      <w:numFmt w:val="lowerLetter"/>
      <w:lvlText w:val="%2."/>
      <w:lvlJc w:val="left"/>
      <w:pPr>
        <w:ind w:left="1647" w:hanging="360"/>
      </w:pPr>
    </w:lvl>
    <w:lvl w:ilvl="2" w:tplc="0813001B" w:tentative="1">
      <w:start w:val="1"/>
      <w:numFmt w:val="lowerRoman"/>
      <w:lvlText w:val="%3."/>
      <w:lvlJc w:val="right"/>
      <w:pPr>
        <w:ind w:left="2367" w:hanging="180"/>
      </w:pPr>
    </w:lvl>
    <w:lvl w:ilvl="3" w:tplc="0813000F" w:tentative="1">
      <w:start w:val="1"/>
      <w:numFmt w:val="decimal"/>
      <w:lvlText w:val="%4."/>
      <w:lvlJc w:val="left"/>
      <w:pPr>
        <w:ind w:left="3087" w:hanging="360"/>
      </w:pPr>
    </w:lvl>
    <w:lvl w:ilvl="4" w:tplc="08130019" w:tentative="1">
      <w:start w:val="1"/>
      <w:numFmt w:val="lowerLetter"/>
      <w:lvlText w:val="%5."/>
      <w:lvlJc w:val="left"/>
      <w:pPr>
        <w:ind w:left="3807" w:hanging="360"/>
      </w:pPr>
    </w:lvl>
    <w:lvl w:ilvl="5" w:tplc="0813001B" w:tentative="1">
      <w:start w:val="1"/>
      <w:numFmt w:val="lowerRoman"/>
      <w:lvlText w:val="%6."/>
      <w:lvlJc w:val="right"/>
      <w:pPr>
        <w:ind w:left="4527" w:hanging="180"/>
      </w:pPr>
    </w:lvl>
    <w:lvl w:ilvl="6" w:tplc="0813000F" w:tentative="1">
      <w:start w:val="1"/>
      <w:numFmt w:val="decimal"/>
      <w:lvlText w:val="%7."/>
      <w:lvlJc w:val="left"/>
      <w:pPr>
        <w:ind w:left="5247" w:hanging="360"/>
      </w:pPr>
    </w:lvl>
    <w:lvl w:ilvl="7" w:tplc="08130019" w:tentative="1">
      <w:start w:val="1"/>
      <w:numFmt w:val="lowerLetter"/>
      <w:lvlText w:val="%8."/>
      <w:lvlJc w:val="left"/>
      <w:pPr>
        <w:ind w:left="5967" w:hanging="360"/>
      </w:pPr>
    </w:lvl>
    <w:lvl w:ilvl="8" w:tplc="0813001B" w:tentative="1">
      <w:start w:val="1"/>
      <w:numFmt w:val="lowerRoman"/>
      <w:lvlText w:val="%9."/>
      <w:lvlJc w:val="right"/>
      <w:pPr>
        <w:ind w:left="6687" w:hanging="180"/>
      </w:pPr>
    </w:lvl>
  </w:abstractNum>
  <w:abstractNum w:abstractNumId="13" w15:restartNumberingAfterBreak="0">
    <w:nsid w:val="129649EB"/>
    <w:multiLevelType w:val="hybridMultilevel"/>
    <w:tmpl w:val="0B086D22"/>
    <w:lvl w:ilvl="0" w:tplc="330A81AC">
      <w:start w:val="1"/>
      <w:numFmt w:val="lowerLetter"/>
      <w:lvlText w:val="%1)"/>
      <w:lvlJc w:val="left"/>
      <w:pPr>
        <w:tabs>
          <w:tab w:val="num" w:pos="567"/>
        </w:tabs>
        <w:ind w:left="567" w:hanging="567"/>
      </w:pPr>
      <w:rPr>
        <w:rFonts w:hint="default"/>
        <w:b w:val="0"/>
        <w:i/>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2D76FF1"/>
    <w:multiLevelType w:val="hybridMultilevel"/>
    <w:tmpl w:val="9490E34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138C1397"/>
    <w:multiLevelType w:val="hybridMultilevel"/>
    <w:tmpl w:val="873A6652"/>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14C8687F"/>
    <w:multiLevelType w:val="hybridMultilevel"/>
    <w:tmpl w:val="42A40E7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16DD6480"/>
    <w:multiLevelType w:val="hybridMultilevel"/>
    <w:tmpl w:val="419EE0B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112877DA">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C91E81"/>
    <w:multiLevelType w:val="hybridMultilevel"/>
    <w:tmpl w:val="D2825876"/>
    <w:lvl w:ilvl="0" w:tplc="04130017">
      <w:start w:val="1"/>
      <w:numFmt w:val="lowerLetter"/>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18C57ED5"/>
    <w:multiLevelType w:val="hybridMultilevel"/>
    <w:tmpl w:val="10FC163E"/>
    <w:lvl w:ilvl="0" w:tplc="F18E66EE">
      <w:start w:val="1"/>
      <w:numFmt w:val="lowerLetter"/>
      <w:lvlText w:val="(%1)"/>
      <w:lvlJc w:val="left"/>
      <w:pPr>
        <w:ind w:left="1287" w:hanging="360"/>
      </w:pPr>
      <w:rPr>
        <w:rFonts w:hint="default"/>
      </w:r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20" w15:restartNumberingAfterBreak="0">
    <w:nsid w:val="1ABD7A26"/>
    <w:multiLevelType w:val="hybridMultilevel"/>
    <w:tmpl w:val="31CCD6A0"/>
    <w:lvl w:ilvl="0" w:tplc="3198E44A">
      <w:start w:val="1"/>
      <w:numFmt w:val="lowerLetter"/>
      <w:lvlText w:val="%1)"/>
      <w:lvlJc w:val="left"/>
      <w:pPr>
        <w:tabs>
          <w:tab w:val="num" w:pos="567"/>
        </w:tabs>
        <w:ind w:left="567" w:hanging="567"/>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B6E0F15"/>
    <w:multiLevelType w:val="hybridMultilevel"/>
    <w:tmpl w:val="B5A6364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1EEC098B"/>
    <w:multiLevelType w:val="hybridMultilevel"/>
    <w:tmpl w:val="92D6BF7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205B7D76"/>
    <w:multiLevelType w:val="hybridMultilevel"/>
    <w:tmpl w:val="FA90139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21E62A1A"/>
    <w:multiLevelType w:val="hybridMultilevel"/>
    <w:tmpl w:val="D6E4A2D0"/>
    <w:lvl w:ilvl="0" w:tplc="3516EEC8">
      <w:start w:val="1"/>
      <w:numFmt w:val="decimal"/>
      <w:lvlText w:val="(%1)"/>
      <w:lvlJc w:val="left"/>
      <w:pPr>
        <w:ind w:left="1287" w:hanging="360"/>
      </w:pPr>
      <w:rPr>
        <w:rFonts w:hint="default"/>
      </w:r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25" w15:restartNumberingAfterBreak="0">
    <w:nsid w:val="224A22E5"/>
    <w:multiLevelType w:val="hybridMultilevel"/>
    <w:tmpl w:val="C8DC2124"/>
    <w:lvl w:ilvl="0" w:tplc="3516EEC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277448AF"/>
    <w:multiLevelType w:val="hybridMultilevel"/>
    <w:tmpl w:val="5E58CFEE"/>
    <w:lvl w:ilvl="0" w:tplc="AFD07068">
      <w:start w:val="1"/>
      <w:numFmt w:val="decimal"/>
      <w:lvlText w:val="(%1)"/>
      <w:lvlJc w:val="left"/>
      <w:pPr>
        <w:ind w:left="1287" w:hanging="360"/>
      </w:pPr>
      <w:rPr>
        <w:rFonts w:hint="default"/>
      </w:r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27" w15:restartNumberingAfterBreak="0">
    <w:nsid w:val="2821444A"/>
    <w:multiLevelType w:val="hybridMultilevel"/>
    <w:tmpl w:val="01C89FC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29FD7B44"/>
    <w:multiLevelType w:val="hybridMultilevel"/>
    <w:tmpl w:val="61F8F4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2DDB5CD8"/>
    <w:multiLevelType w:val="hybridMultilevel"/>
    <w:tmpl w:val="452C1A2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2E0939F4"/>
    <w:multiLevelType w:val="hybridMultilevel"/>
    <w:tmpl w:val="E74E2D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2E954634"/>
    <w:multiLevelType w:val="hybridMultilevel"/>
    <w:tmpl w:val="13E21782"/>
    <w:lvl w:ilvl="0" w:tplc="A4FCDAA4">
      <w:numFmt w:val="bullet"/>
      <w:lvlText w:val=""/>
      <w:lvlJc w:val="left"/>
      <w:pPr>
        <w:tabs>
          <w:tab w:val="num" w:pos="567"/>
        </w:tabs>
        <w:ind w:left="567" w:hanging="567"/>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0BB315F"/>
    <w:multiLevelType w:val="hybridMultilevel"/>
    <w:tmpl w:val="5094C402"/>
    <w:lvl w:ilvl="0" w:tplc="3516EEC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33CE1B42"/>
    <w:multiLevelType w:val="hybridMultilevel"/>
    <w:tmpl w:val="C2327606"/>
    <w:lvl w:ilvl="0" w:tplc="F18E66EE">
      <w:start w:val="1"/>
      <w:numFmt w:val="lowerLetter"/>
      <w:lvlText w:val="(%1)"/>
      <w:lvlJc w:val="left"/>
      <w:pPr>
        <w:ind w:left="1287" w:hanging="360"/>
      </w:pPr>
      <w:rPr>
        <w:rFonts w:hint="default"/>
      </w:r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34" w15:restartNumberingAfterBreak="0">
    <w:nsid w:val="34487E13"/>
    <w:multiLevelType w:val="hybridMultilevel"/>
    <w:tmpl w:val="00D64D5C"/>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35FE137E"/>
    <w:multiLevelType w:val="hybridMultilevel"/>
    <w:tmpl w:val="007CE090"/>
    <w:lvl w:ilvl="0" w:tplc="077EE56C">
      <w:start w:val="1"/>
      <w:numFmt w:val="lowerLetter"/>
      <w:lvlText w:val="%1)"/>
      <w:lvlJc w:val="left"/>
      <w:pPr>
        <w:tabs>
          <w:tab w:val="num" w:pos="567"/>
        </w:tabs>
        <w:ind w:left="567" w:hanging="567"/>
      </w:pPr>
      <w:rPr>
        <w:rFonts w:hint="default"/>
      </w:rPr>
    </w:lvl>
    <w:lvl w:ilvl="1" w:tplc="1C06776A">
      <w:numFmt w:val="bullet"/>
      <w:lvlText w:val=""/>
      <w:lvlJc w:val="left"/>
      <w:pPr>
        <w:tabs>
          <w:tab w:val="num" w:pos="567"/>
        </w:tabs>
        <w:ind w:left="567" w:hanging="567"/>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91815CB"/>
    <w:multiLevelType w:val="hybridMultilevel"/>
    <w:tmpl w:val="A63A7F5A"/>
    <w:lvl w:ilvl="0" w:tplc="0413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3B8239F5"/>
    <w:multiLevelType w:val="hybridMultilevel"/>
    <w:tmpl w:val="51908F7E"/>
    <w:lvl w:ilvl="0" w:tplc="83502964">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38" w15:restartNumberingAfterBreak="0">
    <w:nsid w:val="3BE162B4"/>
    <w:multiLevelType w:val="hybridMultilevel"/>
    <w:tmpl w:val="DB54DAB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3CA965C1"/>
    <w:multiLevelType w:val="hybridMultilevel"/>
    <w:tmpl w:val="AD8C86AA"/>
    <w:lvl w:ilvl="0" w:tplc="1C06776A">
      <w:numFmt w:val="bullet"/>
      <w:lvlText w:val=""/>
      <w:lvlJc w:val="left"/>
      <w:pPr>
        <w:tabs>
          <w:tab w:val="num" w:pos="1287"/>
        </w:tabs>
        <w:ind w:left="1287" w:hanging="567"/>
      </w:pPr>
      <w:rPr>
        <w:rFonts w:ascii="Symbol" w:eastAsia="Times New Roman" w:hAnsi="Symbol" w:cs="Times New Roman" w:hint="default"/>
      </w:rPr>
    </w:lvl>
    <w:lvl w:ilvl="1" w:tplc="C86A35B8">
      <w:numFmt w:val="bullet"/>
      <w:lvlText w:val=""/>
      <w:lvlJc w:val="left"/>
      <w:pPr>
        <w:tabs>
          <w:tab w:val="num" w:pos="567"/>
        </w:tabs>
        <w:ind w:left="567" w:hanging="567"/>
      </w:pPr>
      <w:rPr>
        <w:rFonts w:ascii="Symbol" w:eastAsia="Times New Roman" w:hAnsi="Symbol"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3FF962D2"/>
    <w:multiLevelType w:val="hybridMultilevel"/>
    <w:tmpl w:val="D708F836"/>
    <w:lvl w:ilvl="0" w:tplc="4B32170C">
      <w:start w:val="1"/>
      <w:numFmt w:val="bullet"/>
      <w:lvlText w:val=""/>
      <w:lvlJc w:val="left"/>
      <w:pPr>
        <w:tabs>
          <w:tab w:val="num" w:pos="567"/>
        </w:tabs>
        <w:ind w:left="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07048DD"/>
    <w:multiLevelType w:val="hybridMultilevel"/>
    <w:tmpl w:val="28A6CCD8"/>
    <w:lvl w:ilvl="0" w:tplc="9E965EEE">
      <w:start w:val="1"/>
      <w:numFmt w:val="lowerRoman"/>
      <w:lvlText w:val="%1)"/>
      <w:lvlJc w:val="left"/>
      <w:pPr>
        <w:ind w:left="1287" w:hanging="720"/>
      </w:pPr>
      <w:rPr>
        <w:rFonts w:hint="default"/>
      </w:rPr>
    </w:lvl>
    <w:lvl w:ilvl="1" w:tplc="08130019" w:tentative="1">
      <w:start w:val="1"/>
      <w:numFmt w:val="lowerLetter"/>
      <w:lvlText w:val="%2."/>
      <w:lvlJc w:val="left"/>
      <w:pPr>
        <w:ind w:left="1647" w:hanging="360"/>
      </w:pPr>
    </w:lvl>
    <w:lvl w:ilvl="2" w:tplc="0813001B" w:tentative="1">
      <w:start w:val="1"/>
      <w:numFmt w:val="lowerRoman"/>
      <w:lvlText w:val="%3."/>
      <w:lvlJc w:val="right"/>
      <w:pPr>
        <w:ind w:left="2367" w:hanging="180"/>
      </w:pPr>
    </w:lvl>
    <w:lvl w:ilvl="3" w:tplc="0813000F" w:tentative="1">
      <w:start w:val="1"/>
      <w:numFmt w:val="decimal"/>
      <w:lvlText w:val="%4."/>
      <w:lvlJc w:val="left"/>
      <w:pPr>
        <w:ind w:left="3087" w:hanging="360"/>
      </w:pPr>
    </w:lvl>
    <w:lvl w:ilvl="4" w:tplc="08130019" w:tentative="1">
      <w:start w:val="1"/>
      <w:numFmt w:val="lowerLetter"/>
      <w:lvlText w:val="%5."/>
      <w:lvlJc w:val="left"/>
      <w:pPr>
        <w:ind w:left="3807" w:hanging="360"/>
      </w:pPr>
    </w:lvl>
    <w:lvl w:ilvl="5" w:tplc="0813001B" w:tentative="1">
      <w:start w:val="1"/>
      <w:numFmt w:val="lowerRoman"/>
      <w:lvlText w:val="%6."/>
      <w:lvlJc w:val="right"/>
      <w:pPr>
        <w:ind w:left="4527" w:hanging="180"/>
      </w:pPr>
    </w:lvl>
    <w:lvl w:ilvl="6" w:tplc="0813000F" w:tentative="1">
      <w:start w:val="1"/>
      <w:numFmt w:val="decimal"/>
      <w:lvlText w:val="%7."/>
      <w:lvlJc w:val="left"/>
      <w:pPr>
        <w:ind w:left="5247" w:hanging="360"/>
      </w:pPr>
    </w:lvl>
    <w:lvl w:ilvl="7" w:tplc="08130019" w:tentative="1">
      <w:start w:val="1"/>
      <w:numFmt w:val="lowerLetter"/>
      <w:lvlText w:val="%8."/>
      <w:lvlJc w:val="left"/>
      <w:pPr>
        <w:ind w:left="5967" w:hanging="360"/>
      </w:pPr>
    </w:lvl>
    <w:lvl w:ilvl="8" w:tplc="0813001B" w:tentative="1">
      <w:start w:val="1"/>
      <w:numFmt w:val="lowerRoman"/>
      <w:lvlText w:val="%9."/>
      <w:lvlJc w:val="right"/>
      <w:pPr>
        <w:ind w:left="6687" w:hanging="180"/>
      </w:pPr>
    </w:lvl>
  </w:abstractNum>
  <w:abstractNum w:abstractNumId="42" w15:restartNumberingAfterBreak="0">
    <w:nsid w:val="40EF5C59"/>
    <w:multiLevelType w:val="hybridMultilevel"/>
    <w:tmpl w:val="268890AC"/>
    <w:lvl w:ilvl="0" w:tplc="DA84AFC6">
      <w:numFmt w:val="bullet"/>
      <w:lvlText w:val=""/>
      <w:lvlJc w:val="left"/>
      <w:pPr>
        <w:tabs>
          <w:tab w:val="num" w:pos="927"/>
        </w:tabs>
        <w:ind w:left="927" w:hanging="567"/>
      </w:pPr>
      <w:rPr>
        <w:rFonts w:ascii="Symbol" w:eastAsia="Times New Roman" w:hAnsi="Symbol" w:hint="default"/>
      </w:rPr>
    </w:lvl>
    <w:lvl w:ilvl="1" w:tplc="D624DB4C">
      <w:numFmt w:val="bullet"/>
      <w:lvlText w:val=""/>
      <w:lvlJc w:val="left"/>
      <w:pPr>
        <w:tabs>
          <w:tab w:val="num" w:pos="567"/>
        </w:tabs>
        <w:ind w:left="567" w:hanging="567"/>
      </w:pPr>
      <w:rPr>
        <w:rFonts w:ascii="Symbol" w:eastAsia="Times New Roman"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423A601B"/>
    <w:multiLevelType w:val="hybridMultilevel"/>
    <w:tmpl w:val="928C8BD0"/>
    <w:lvl w:ilvl="0" w:tplc="D108A0F2">
      <w:numFmt w:val="bullet"/>
      <w:lvlText w:val=""/>
      <w:lvlJc w:val="left"/>
      <w:pPr>
        <w:tabs>
          <w:tab w:val="num" w:pos="567"/>
        </w:tabs>
        <w:ind w:left="567" w:hanging="567"/>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251550B"/>
    <w:multiLevelType w:val="hybridMultilevel"/>
    <w:tmpl w:val="F68AA5EE"/>
    <w:lvl w:ilvl="0" w:tplc="04130017">
      <w:start w:val="1"/>
      <w:numFmt w:val="lowerLetter"/>
      <w:lvlText w:val="%1)"/>
      <w:lvlJc w:val="left"/>
      <w:pPr>
        <w:ind w:left="1287" w:hanging="360"/>
      </w:pPr>
    </w:lvl>
    <w:lvl w:ilvl="1" w:tplc="04130017">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45" w15:restartNumberingAfterBreak="0">
    <w:nsid w:val="43600970"/>
    <w:multiLevelType w:val="hybridMultilevel"/>
    <w:tmpl w:val="63203E98"/>
    <w:lvl w:ilvl="0" w:tplc="F18E66EE">
      <w:start w:val="1"/>
      <w:numFmt w:val="lowerLetter"/>
      <w:lvlText w:val="(%1)"/>
      <w:lvlJc w:val="left"/>
      <w:pPr>
        <w:ind w:left="1287" w:hanging="360"/>
      </w:pPr>
      <w:rPr>
        <w:rFonts w:hint="default"/>
      </w:r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46" w15:restartNumberingAfterBreak="0">
    <w:nsid w:val="442D423B"/>
    <w:multiLevelType w:val="hybridMultilevel"/>
    <w:tmpl w:val="ECB80C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446D4566"/>
    <w:multiLevelType w:val="hybridMultilevel"/>
    <w:tmpl w:val="2CC62A6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15:restartNumberingAfterBreak="0">
    <w:nsid w:val="447D351C"/>
    <w:multiLevelType w:val="hybridMultilevel"/>
    <w:tmpl w:val="6C7AFF2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9" w15:restartNumberingAfterBreak="0">
    <w:nsid w:val="46877153"/>
    <w:multiLevelType w:val="hybridMultilevel"/>
    <w:tmpl w:val="B68A5274"/>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0F">
      <w:start w:val="1"/>
      <w:numFmt w:val="decimal"/>
      <w:lvlText w:val="%3."/>
      <w:lvlJc w:val="lef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469D2561"/>
    <w:multiLevelType w:val="hybridMultilevel"/>
    <w:tmpl w:val="5E1EFB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7710CE0"/>
    <w:multiLevelType w:val="hybridMultilevel"/>
    <w:tmpl w:val="3C8C22D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8175015"/>
    <w:multiLevelType w:val="hybridMultilevel"/>
    <w:tmpl w:val="F1FE1E5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3" w15:restartNumberingAfterBreak="0">
    <w:nsid w:val="495B72ED"/>
    <w:multiLevelType w:val="hybridMultilevel"/>
    <w:tmpl w:val="94BC8C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15:restartNumberingAfterBreak="0">
    <w:nsid w:val="4997752D"/>
    <w:multiLevelType w:val="hybridMultilevel"/>
    <w:tmpl w:val="FCD64C96"/>
    <w:lvl w:ilvl="0" w:tplc="52143DF6">
      <w:start w:val="1"/>
      <w:numFmt w:val="lowerLetter"/>
      <w:lvlText w:val="%1)"/>
      <w:lvlJc w:val="left"/>
      <w:pPr>
        <w:tabs>
          <w:tab w:val="num" w:pos="1134"/>
        </w:tabs>
        <w:ind w:left="1134" w:hanging="567"/>
      </w:pPr>
      <w:rPr>
        <w:rFonts w:hint="default"/>
        <w:b w:val="0"/>
        <w:i/>
        <w:color w:val="auto"/>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55" w15:restartNumberingAfterBreak="0">
    <w:nsid w:val="4C1D469C"/>
    <w:multiLevelType w:val="multilevel"/>
    <w:tmpl w:val="E08C1562"/>
    <w:lvl w:ilvl="0">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4C6D3773"/>
    <w:multiLevelType w:val="hybridMultilevel"/>
    <w:tmpl w:val="A4664516"/>
    <w:lvl w:ilvl="0" w:tplc="04130017">
      <w:start w:val="1"/>
      <w:numFmt w:val="lowerLetter"/>
      <w:lvlText w:val="%1)"/>
      <w:lvlJc w:val="left"/>
      <w:pPr>
        <w:ind w:left="720" w:hanging="360"/>
      </w:pPr>
    </w:lvl>
    <w:lvl w:ilvl="1" w:tplc="BB1A4DCE">
      <w:start w:val="4"/>
      <w:numFmt w:val="bullet"/>
      <w:lvlText w:val="-"/>
      <w:lvlJc w:val="left"/>
      <w:pPr>
        <w:ind w:left="1440" w:hanging="360"/>
      </w:pPr>
      <w:rPr>
        <w:rFonts w:ascii="Myriad Pro" w:eastAsia="Times New Roman" w:hAnsi="Myriad Pro" w:cs="Times New Roman"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7" w15:restartNumberingAfterBreak="0">
    <w:nsid w:val="4D6A2632"/>
    <w:multiLevelType w:val="hybridMultilevel"/>
    <w:tmpl w:val="178E05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DA15C59"/>
    <w:multiLevelType w:val="multilevel"/>
    <w:tmpl w:val="FD761BFA"/>
    <w:lvl w:ilvl="0">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i w: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9" w15:restartNumberingAfterBreak="0">
    <w:nsid w:val="4E210776"/>
    <w:multiLevelType w:val="hybridMultilevel"/>
    <w:tmpl w:val="15B0519C"/>
    <w:lvl w:ilvl="0" w:tplc="04130017">
      <w:start w:val="1"/>
      <w:numFmt w:val="lowerLetter"/>
      <w:lvlText w:val="%1)"/>
      <w:lvlJc w:val="left"/>
      <w:pPr>
        <w:ind w:left="1287" w:hanging="360"/>
      </w:pPr>
    </w:lvl>
    <w:lvl w:ilvl="1" w:tplc="04130017">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60" w15:restartNumberingAfterBreak="0">
    <w:nsid w:val="53855C89"/>
    <w:multiLevelType w:val="hybridMultilevel"/>
    <w:tmpl w:val="8BE07F54"/>
    <w:lvl w:ilvl="0" w:tplc="4538C7C4">
      <w:start w:val="1"/>
      <w:numFmt w:val="lowerLetter"/>
      <w:lvlText w:val="%1)"/>
      <w:lvlJc w:val="left"/>
      <w:pPr>
        <w:tabs>
          <w:tab w:val="num" w:pos="567"/>
        </w:tabs>
        <w:ind w:left="567" w:hanging="567"/>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3DA21CF"/>
    <w:multiLevelType w:val="multilevel"/>
    <w:tmpl w:val="0DBE7AAC"/>
    <w:lvl w:ilvl="0">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54B32EB4"/>
    <w:multiLevelType w:val="hybridMultilevel"/>
    <w:tmpl w:val="D6E2199C"/>
    <w:lvl w:ilvl="0" w:tplc="04130017">
      <w:start w:val="1"/>
      <w:numFmt w:val="lowerLetter"/>
      <w:lvlText w:val="%1)"/>
      <w:lvlJc w:val="left"/>
      <w:pPr>
        <w:ind w:left="720" w:hanging="360"/>
      </w:pPr>
    </w:lvl>
    <w:lvl w:ilvl="1" w:tplc="9E965EEE">
      <w:start w:val="1"/>
      <w:numFmt w:val="lowerRoman"/>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3" w15:restartNumberingAfterBreak="0">
    <w:nsid w:val="54DF3D57"/>
    <w:multiLevelType w:val="hybridMultilevel"/>
    <w:tmpl w:val="28A6CCD8"/>
    <w:lvl w:ilvl="0" w:tplc="9E965EEE">
      <w:start w:val="1"/>
      <w:numFmt w:val="lowerRoman"/>
      <w:lvlText w:val="%1)"/>
      <w:lvlJc w:val="left"/>
      <w:pPr>
        <w:ind w:left="1287" w:hanging="720"/>
      </w:pPr>
      <w:rPr>
        <w:rFonts w:hint="default"/>
      </w:rPr>
    </w:lvl>
    <w:lvl w:ilvl="1" w:tplc="08130019" w:tentative="1">
      <w:start w:val="1"/>
      <w:numFmt w:val="lowerLetter"/>
      <w:lvlText w:val="%2."/>
      <w:lvlJc w:val="left"/>
      <w:pPr>
        <w:ind w:left="1647" w:hanging="360"/>
      </w:pPr>
    </w:lvl>
    <w:lvl w:ilvl="2" w:tplc="0813001B" w:tentative="1">
      <w:start w:val="1"/>
      <w:numFmt w:val="lowerRoman"/>
      <w:lvlText w:val="%3."/>
      <w:lvlJc w:val="right"/>
      <w:pPr>
        <w:ind w:left="2367" w:hanging="180"/>
      </w:pPr>
    </w:lvl>
    <w:lvl w:ilvl="3" w:tplc="0813000F" w:tentative="1">
      <w:start w:val="1"/>
      <w:numFmt w:val="decimal"/>
      <w:lvlText w:val="%4."/>
      <w:lvlJc w:val="left"/>
      <w:pPr>
        <w:ind w:left="3087" w:hanging="360"/>
      </w:pPr>
    </w:lvl>
    <w:lvl w:ilvl="4" w:tplc="08130019" w:tentative="1">
      <w:start w:val="1"/>
      <w:numFmt w:val="lowerLetter"/>
      <w:lvlText w:val="%5."/>
      <w:lvlJc w:val="left"/>
      <w:pPr>
        <w:ind w:left="3807" w:hanging="360"/>
      </w:pPr>
    </w:lvl>
    <w:lvl w:ilvl="5" w:tplc="0813001B" w:tentative="1">
      <w:start w:val="1"/>
      <w:numFmt w:val="lowerRoman"/>
      <w:lvlText w:val="%6."/>
      <w:lvlJc w:val="right"/>
      <w:pPr>
        <w:ind w:left="4527" w:hanging="180"/>
      </w:pPr>
    </w:lvl>
    <w:lvl w:ilvl="6" w:tplc="0813000F" w:tentative="1">
      <w:start w:val="1"/>
      <w:numFmt w:val="decimal"/>
      <w:lvlText w:val="%7."/>
      <w:lvlJc w:val="left"/>
      <w:pPr>
        <w:ind w:left="5247" w:hanging="360"/>
      </w:pPr>
    </w:lvl>
    <w:lvl w:ilvl="7" w:tplc="08130019" w:tentative="1">
      <w:start w:val="1"/>
      <w:numFmt w:val="lowerLetter"/>
      <w:lvlText w:val="%8."/>
      <w:lvlJc w:val="left"/>
      <w:pPr>
        <w:ind w:left="5967" w:hanging="360"/>
      </w:pPr>
    </w:lvl>
    <w:lvl w:ilvl="8" w:tplc="0813001B" w:tentative="1">
      <w:start w:val="1"/>
      <w:numFmt w:val="lowerRoman"/>
      <w:lvlText w:val="%9."/>
      <w:lvlJc w:val="right"/>
      <w:pPr>
        <w:ind w:left="6687" w:hanging="180"/>
      </w:pPr>
    </w:lvl>
  </w:abstractNum>
  <w:abstractNum w:abstractNumId="64" w15:restartNumberingAfterBreak="0">
    <w:nsid w:val="554155C4"/>
    <w:multiLevelType w:val="hybridMultilevel"/>
    <w:tmpl w:val="C96CD502"/>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5" w15:restartNumberingAfterBreak="0">
    <w:nsid w:val="567C10A8"/>
    <w:multiLevelType w:val="hybridMultilevel"/>
    <w:tmpl w:val="117ADD1A"/>
    <w:lvl w:ilvl="0" w:tplc="11CE85DC">
      <w:start w:val="1"/>
      <w:numFmt w:val="lowerLetter"/>
      <w:lvlText w:val="%1)"/>
      <w:lvlJc w:val="left"/>
      <w:pPr>
        <w:tabs>
          <w:tab w:val="num" w:pos="567"/>
        </w:tabs>
        <w:ind w:left="567" w:hanging="567"/>
      </w:pPr>
      <w:rPr>
        <w:rFonts w:hint="default"/>
      </w:rPr>
    </w:lvl>
    <w:lvl w:ilvl="1" w:tplc="10166CB0">
      <w:start w:val="1"/>
      <w:numFmt w:val="decimal"/>
      <w:lvlText w:val="(%2)"/>
      <w:lvlJc w:val="left"/>
      <w:pPr>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596B31DF"/>
    <w:multiLevelType w:val="hybridMultilevel"/>
    <w:tmpl w:val="DB9CA2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59AD0A38"/>
    <w:multiLevelType w:val="hybridMultilevel"/>
    <w:tmpl w:val="8D300F2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8" w15:restartNumberingAfterBreak="0">
    <w:nsid w:val="5B0A6042"/>
    <w:multiLevelType w:val="hybridMultilevel"/>
    <w:tmpl w:val="2F04FAC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9" w15:restartNumberingAfterBreak="0">
    <w:nsid w:val="5DF6655B"/>
    <w:multiLevelType w:val="hybridMultilevel"/>
    <w:tmpl w:val="D1B8F4E6"/>
    <w:lvl w:ilvl="0" w:tplc="82103404">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0" w15:restartNumberingAfterBreak="0">
    <w:nsid w:val="5FF7504D"/>
    <w:multiLevelType w:val="hybridMultilevel"/>
    <w:tmpl w:val="BD0872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60002942"/>
    <w:multiLevelType w:val="hybridMultilevel"/>
    <w:tmpl w:val="E8A49958"/>
    <w:lvl w:ilvl="0" w:tplc="428410AA">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1D03291"/>
    <w:multiLevelType w:val="hybridMultilevel"/>
    <w:tmpl w:val="B560C660"/>
    <w:lvl w:ilvl="0" w:tplc="AFD0706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629C45C7"/>
    <w:multiLevelType w:val="hybridMultilevel"/>
    <w:tmpl w:val="2DD82BEA"/>
    <w:lvl w:ilvl="0" w:tplc="F18E66EE">
      <w:start w:val="1"/>
      <w:numFmt w:val="lowerLetter"/>
      <w:lvlText w:val="(%1)"/>
      <w:lvlJc w:val="left"/>
      <w:pPr>
        <w:ind w:left="1287" w:hanging="360"/>
      </w:pPr>
      <w:rPr>
        <w:rFonts w:hint="default"/>
      </w:r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74" w15:restartNumberingAfterBreak="0">
    <w:nsid w:val="640C65C1"/>
    <w:multiLevelType w:val="hybridMultilevel"/>
    <w:tmpl w:val="DF6267A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D96EFD5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53B61CB"/>
    <w:multiLevelType w:val="hybridMultilevel"/>
    <w:tmpl w:val="E74E4CD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6" w15:restartNumberingAfterBreak="0">
    <w:nsid w:val="687520CE"/>
    <w:multiLevelType w:val="hybridMultilevel"/>
    <w:tmpl w:val="894475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7" w15:restartNumberingAfterBreak="0">
    <w:nsid w:val="6B514B88"/>
    <w:multiLevelType w:val="hybridMultilevel"/>
    <w:tmpl w:val="EC46F4E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8" w15:restartNumberingAfterBreak="0">
    <w:nsid w:val="6EF87763"/>
    <w:multiLevelType w:val="hybridMultilevel"/>
    <w:tmpl w:val="E3B426B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9" w15:restartNumberingAfterBreak="0">
    <w:nsid w:val="6F4F6DED"/>
    <w:multiLevelType w:val="hybridMultilevel"/>
    <w:tmpl w:val="BD866974"/>
    <w:lvl w:ilvl="0" w:tplc="F18E66EE">
      <w:start w:val="1"/>
      <w:numFmt w:val="lowerLetter"/>
      <w:lvlText w:val="(%1)"/>
      <w:lvlJc w:val="left"/>
      <w:pPr>
        <w:ind w:left="1287" w:hanging="360"/>
      </w:pPr>
      <w:rPr>
        <w:rFonts w:hint="default"/>
      </w:r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80" w15:restartNumberingAfterBreak="0">
    <w:nsid w:val="701C327D"/>
    <w:multiLevelType w:val="hybridMultilevel"/>
    <w:tmpl w:val="322C2E62"/>
    <w:lvl w:ilvl="0" w:tplc="6F708630">
      <w:numFmt w:val="bullet"/>
      <w:lvlText w:val=""/>
      <w:lvlJc w:val="left"/>
      <w:pPr>
        <w:tabs>
          <w:tab w:val="num" w:pos="927"/>
        </w:tabs>
        <w:ind w:left="927" w:hanging="567"/>
      </w:pPr>
      <w:rPr>
        <w:rFonts w:ascii="Symbol" w:eastAsia="Times New Roman" w:hAnsi="Symbol" w:cs="Times New Roman" w:hint="default"/>
      </w:rPr>
    </w:lvl>
    <w:lvl w:ilvl="1" w:tplc="DB04B2D8">
      <w:numFmt w:val="bullet"/>
      <w:lvlText w:val=""/>
      <w:lvlJc w:val="left"/>
      <w:pPr>
        <w:tabs>
          <w:tab w:val="num" w:pos="567"/>
        </w:tabs>
        <w:ind w:left="567" w:hanging="567"/>
      </w:pPr>
      <w:rPr>
        <w:rFonts w:ascii="Symbol" w:eastAsia="Times New Roman" w:hAnsi="Symbol"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0216A1A"/>
    <w:multiLevelType w:val="hybridMultilevel"/>
    <w:tmpl w:val="28A6CCD8"/>
    <w:lvl w:ilvl="0" w:tplc="9E965EEE">
      <w:start w:val="1"/>
      <w:numFmt w:val="lowerRoman"/>
      <w:lvlText w:val="%1)"/>
      <w:lvlJc w:val="left"/>
      <w:pPr>
        <w:ind w:left="1287" w:hanging="720"/>
      </w:pPr>
      <w:rPr>
        <w:rFonts w:hint="default"/>
      </w:rPr>
    </w:lvl>
    <w:lvl w:ilvl="1" w:tplc="08130019" w:tentative="1">
      <w:start w:val="1"/>
      <w:numFmt w:val="lowerLetter"/>
      <w:lvlText w:val="%2."/>
      <w:lvlJc w:val="left"/>
      <w:pPr>
        <w:ind w:left="1647" w:hanging="360"/>
      </w:pPr>
    </w:lvl>
    <w:lvl w:ilvl="2" w:tplc="0813001B" w:tentative="1">
      <w:start w:val="1"/>
      <w:numFmt w:val="lowerRoman"/>
      <w:lvlText w:val="%3."/>
      <w:lvlJc w:val="right"/>
      <w:pPr>
        <w:ind w:left="2367" w:hanging="180"/>
      </w:pPr>
    </w:lvl>
    <w:lvl w:ilvl="3" w:tplc="0813000F" w:tentative="1">
      <w:start w:val="1"/>
      <w:numFmt w:val="decimal"/>
      <w:lvlText w:val="%4."/>
      <w:lvlJc w:val="left"/>
      <w:pPr>
        <w:ind w:left="3087" w:hanging="360"/>
      </w:pPr>
    </w:lvl>
    <w:lvl w:ilvl="4" w:tplc="08130019" w:tentative="1">
      <w:start w:val="1"/>
      <w:numFmt w:val="lowerLetter"/>
      <w:lvlText w:val="%5."/>
      <w:lvlJc w:val="left"/>
      <w:pPr>
        <w:ind w:left="3807" w:hanging="360"/>
      </w:pPr>
    </w:lvl>
    <w:lvl w:ilvl="5" w:tplc="0813001B" w:tentative="1">
      <w:start w:val="1"/>
      <w:numFmt w:val="lowerRoman"/>
      <w:lvlText w:val="%6."/>
      <w:lvlJc w:val="right"/>
      <w:pPr>
        <w:ind w:left="4527" w:hanging="180"/>
      </w:pPr>
    </w:lvl>
    <w:lvl w:ilvl="6" w:tplc="0813000F" w:tentative="1">
      <w:start w:val="1"/>
      <w:numFmt w:val="decimal"/>
      <w:lvlText w:val="%7."/>
      <w:lvlJc w:val="left"/>
      <w:pPr>
        <w:ind w:left="5247" w:hanging="360"/>
      </w:pPr>
    </w:lvl>
    <w:lvl w:ilvl="7" w:tplc="08130019" w:tentative="1">
      <w:start w:val="1"/>
      <w:numFmt w:val="lowerLetter"/>
      <w:lvlText w:val="%8."/>
      <w:lvlJc w:val="left"/>
      <w:pPr>
        <w:ind w:left="5967" w:hanging="360"/>
      </w:pPr>
    </w:lvl>
    <w:lvl w:ilvl="8" w:tplc="0813001B" w:tentative="1">
      <w:start w:val="1"/>
      <w:numFmt w:val="lowerRoman"/>
      <w:lvlText w:val="%9."/>
      <w:lvlJc w:val="right"/>
      <w:pPr>
        <w:ind w:left="6687" w:hanging="180"/>
      </w:pPr>
    </w:lvl>
  </w:abstractNum>
  <w:abstractNum w:abstractNumId="82" w15:restartNumberingAfterBreak="0">
    <w:nsid w:val="712E416A"/>
    <w:multiLevelType w:val="hybridMultilevel"/>
    <w:tmpl w:val="A80EBDB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3" w15:restartNumberingAfterBreak="0">
    <w:nsid w:val="743C6287"/>
    <w:multiLevelType w:val="hybridMultilevel"/>
    <w:tmpl w:val="23DC29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74E37302"/>
    <w:multiLevelType w:val="hybridMultilevel"/>
    <w:tmpl w:val="13949D66"/>
    <w:lvl w:ilvl="0" w:tplc="5B1CCA1A">
      <w:start w:val="1"/>
      <w:numFmt w:val="lowerLetter"/>
      <w:lvlText w:val="(%1)"/>
      <w:lvlJc w:val="left"/>
      <w:pPr>
        <w:ind w:left="1287" w:hanging="360"/>
      </w:pPr>
      <w:rPr>
        <w:rFonts w:hint="default"/>
      </w:rPr>
    </w:lvl>
    <w:lvl w:ilvl="1" w:tplc="E85EE390">
      <w:start w:val="1"/>
      <w:numFmt w:val="lowerLetter"/>
      <w:lvlText w:val="%2)"/>
      <w:lvlJc w:val="left"/>
      <w:pPr>
        <w:ind w:left="2007" w:hanging="360"/>
      </w:pPr>
      <w:rPr>
        <w:rFonts w:hint="default"/>
      </w:r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85" w15:restartNumberingAfterBreak="0">
    <w:nsid w:val="75087D87"/>
    <w:multiLevelType w:val="hybridMultilevel"/>
    <w:tmpl w:val="E3106B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76B07F62"/>
    <w:multiLevelType w:val="hybridMultilevel"/>
    <w:tmpl w:val="6D04C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76BF4E1C"/>
    <w:multiLevelType w:val="hybridMultilevel"/>
    <w:tmpl w:val="89B8C1A8"/>
    <w:lvl w:ilvl="0" w:tplc="5B1CCA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5B1CCA1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8897F2F"/>
    <w:multiLevelType w:val="hybridMultilevel"/>
    <w:tmpl w:val="6A1AECEC"/>
    <w:name w:val="WW8Num122"/>
    <w:lvl w:ilvl="0" w:tplc="D108A0F2">
      <w:numFmt w:val="bullet"/>
      <w:lvlText w:val=""/>
      <w:lvlJc w:val="left"/>
      <w:pPr>
        <w:tabs>
          <w:tab w:val="num" w:pos="567"/>
        </w:tabs>
        <w:ind w:left="567" w:hanging="567"/>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DC40E56"/>
    <w:multiLevelType w:val="hybridMultilevel"/>
    <w:tmpl w:val="3C04CF3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0" w15:restartNumberingAfterBreak="0">
    <w:nsid w:val="7F675EA5"/>
    <w:multiLevelType w:val="hybridMultilevel"/>
    <w:tmpl w:val="429A6752"/>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56"/>
  </w:num>
  <w:num w:numId="3">
    <w:abstractNumId w:val="68"/>
  </w:num>
  <w:num w:numId="4">
    <w:abstractNumId w:val="48"/>
  </w:num>
  <w:num w:numId="5">
    <w:abstractNumId w:val="89"/>
  </w:num>
  <w:num w:numId="6">
    <w:abstractNumId w:val="16"/>
  </w:num>
  <w:num w:numId="7">
    <w:abstractNumId w:val="29"/>
  </w:num>
  <w:num w:numId="8">
    <w:abstractNumId w:val="23"/>
  </w:num>
  <w:num w:numId="9">
    <w:abstractNumId w:val="47"/>
  </w:num>
  <w:num w:numId="10">
    <w:abstractNumId w:val="75"/>
  </w:num>
  <w:num w:numId="11">
    <w:abstractNumId w:val="67"/>
  </w:num>
  <w:num w:numId="12">
    <w:abstractNumId w:val="21"/>
  </w:num>
  <w:num w:numId="13">
    <w:abstractNumId w:val="27"/>
  </w:num>
  <w:num w:numId="14">
    <w:abstractNumId w:val="4"/>
  </w:num>
  <w:num w:numId="15">
    <w:abstractNumId w:val="38"/>
  </w:num>
  <w:num w:numId="16">
    <w:abstractNumId w:val="78"/>
  </w:num>
  <w:num w:numId="17">
    <w:abstractNumId w:val="11"/>
  </w:num>
  <w:num w:numId="18">
    <w:abstractNumId w:val="82"/>
  </w:num>
  <w:num w:numId="19">
    <w:abstractNumId w:val="22"/>
  </w:num>
  <w:num w:numId="20">
    <w:abstractNumId w:val="14"/>
  </w:num>
  <w:num w:numId="21">
    <w:abstractNumId w:val="52"/>
  </w:num>
  <w:num w:numId="22">
    <w:abstractNumId w:val="36"/>
  </w:num>
  <w:num w:numId="23">
    <w:abstractNumId w:val="90"/>
  </w:num>
  <w:num w:numId="24">
    <w:abstractNumId w:val="69"/>
  </w:num>
  <w:num w:numId="25">
    <w:abstractNumId w:val="18"/>
  </w:num>
  <w:num w:numId="26">
    <w:abstractNumId w:val="10"/>
  </w:num>
  <w:num w:numId="27">
    <w:abstractNumId w:val="70"/>
  </w:num>
  <w:num w:numId="28">
    <w:abstractNumId w:val="64"/>
  </w:num>
  <w:num w:numId="29">
    <w:abstractNumId w:val="15"/>
  </w:num>
  <w:num w:numId="30">
    <w:abstractNumId w:val="41"/>
  </w:num>
  <w:num w:numId="31">
    <w:abstractNumId w:val="58"/>
  </w:num>
  <w:num w:numId="32">
    <w:abstractNumId w:val="63"/>
  </w:num>
  <w:num w:numId="33">
    <w:abstractNumId w:val="81"/>
  </w:num>
  <w:num w:numId="34">
    <w:abstractNumId w:val="12"/>
  </w:num>
  <w:num w:numId="35">
    <w:abstractNumId w:val="62"/>
  </w:num>
  <w:num w:numId="36">
    <w:abstractNumId w:val="42"/>
  </w:num>
  <w:num w:numId="37">
    <w:abstractNumId w:val="9"/>
  </w:num>
  <w:num w:numId="38">
    <w:abstractNumId w:val="40"/>
  </w:num>
  <w:num w:numId="39">
    <w:abstractNumId w:val="20"/>
  </w:num>
  <w:num w:numId="40">
    <w:abstractNumId w:val="37"/>
  </w:num>
  <w:num w:numId="41">
    <w:abstractNumId w:val="84"/>
  </w:num>
  <w:num w:numId="42">
    <w:abstractNumId w:val="74"/>
  </w:num>
  <w:num w:numId="43">
    <w:abstractNumId w:val="17"/>
  </w:num>
  <w:num w:numId="44">
    <w:abstractNumId w:val="50"/>
  </w:num>
  <w:num w:numId="45">
    <w:abstractNumId w:val="30"/>
  </w:num>
  <w:num w:numId="46">
    <w:abstractNumId w:val="87"/>
  </w:num>
  <w:num w:numId="47">
    <w:abstractNumId w:val="57"/>
  </w:num>
  <w:num w:numId="48">
    <w:abstractNumId w:val="88"/>
  </w:num>
  <w:num w:numId="49">
    <w:abstractNumId w:val="77"/>
  </w:num>
  <w:num w:numId="50">
    <w:abstractNumId w:val="43"/>
  </w:num>
  <w:num w:numId="51">
    <w:abstractNumId w:val="51"/>
  </w:num>
  <w:num w:numId="52">
    <w:abstractNumId w:val="31"/>
  </w:num>
  <w:num w:numId="53">
    <w:abstractNumId w:val="13"/>
  </w:num>
  <w:num w:numId="54">
    <w:abstractNumId w:val="59"/>
  </w:num>
  <w:num w:numId="55">
    <w:abstractNumId w:val="71"/>
  </w:num>
  <w:num w:numId="56">
    <w:abstractNumId w:val="2"/>
  </w:num>
  <w:num w:numId="57">
    <w:abstractNumId w:val="35"/>
  </w:num>
  <w:num w:numId="58">
    <w:abstractNumId w:val="53"/>
  </w:num>
  <w:num w:numId="59">
    <w:abstractNumId w:val="7"/>
  </w:num>
  <w:num w:numId="60">
    <w:abstractNumId w:val="39"/>
  </w:num>
  <w:num w:numId="61">
    <w:abstractNumId w:val="34"/>
  </w:num>
  <w:num w:numId="62">
    <w:abstractNumId w:val="8"/>
  </w:num>
  <w:num w:numId="63">
    <w:abstractNumId w:val="80"/>
  </w:num>
  <w:num w:numId="64">
    <w:abstractNumId w:val="66"/>
  </w:num>
  <w:num w:numId="65">
    <w:abstractNumId w:val="83"/>
  </w:num>
  <w:num w:numId="66">
    <w:abstractNumId w:val="28"/>
  </w:num>
  <w:num w:numId="67">
    <w:abstractNumId w:val="3"/>
  </w:num>
  <w:num w:numId="68">
    <w:abstractNumId w:val="85"/>
  </w:num>
  <w:num w:numId="69">
    <w:abstractNumId w:val="19"/>
  </w:num>
  <w:num w:numId="70">
    <w:abstractNumId w:val="73"/>
  </w:num>
  <w:num w:numId="71">
    <w:abstractNumId w:val="46"/>
  </w:num>
  <w:num w:numId="72">
    <w:abstractNumId w:val="79"/>
  </w:num>
  <w:num w:numId="73">
    <w:abstractNumId w:val="76"/>
  </w:num>
  <w:num w:numId="74">
    <w:abstractNumId w:val="33"/>
  </w:num>
  <w:num w:numId="75">
    <w:abstractNumId w:val="45"/>
  </w:num>
  <w:num w:numId="76">
    <w:abstractNumId w:val="26"/>
  </w:num>
  <w:num w:numId="77">
    <w:abstractNumId w:val="49"/>
  </w:num>
  <w:num w:numId="78">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2"/>
  </w:num>
  <w:num w:numId="80">
    <w:abstractNumId w:val="44"/>
  </w:num>
  <w:num w:numId="81">
    <w:abstractNumId w:val="88"/>
  </w:num>
  <w:num w:numId="82">
    <w:abstractNumId w:val="77"/>
  </w:num>
  <w:num w:numId="83">
    <w:abstractNumId w:val="43"/>
  </w:num>
  <w:num w:numId="84">
    <w:abstractNumId w:val="54"/>
  </w:num>
  <w:num w:numId="85">
    <w:abstractNumId w:val="32"/>
  </w:num>
  <w:num w:numId="86">
    <w:abstractNumId w:val="65"/>
  </w:num>
  <w:num w:numId="87">
    <w:abstractNumId w:val="24"/>
  </w:num>
  <w:num w:numId="88">
    <w:abstractNumId w:val="5"/>
  </w:num>
  <w:num w:numId="89">
    <w:abstractNumId w:val="25"/>
  </w:num>
  <w:num w:numId="90">
    <w:abstractNumId w:val="60"/>
  </w:num>
  <w:num w:numId="91">
    <w:abstractNumId w:val="86"/>
  </w:num>
  <w:num w:numId="92">
    <w:abstractNumId w:val="61"/>
  </w:num>
  <w:num w:numId="93">
    <w:abstractNumId w:val="1"/>
  </w:num>
  <w:num w:numId="94">
    <w:abstractNumId w:val="55"/>
  </w:num>
  <w:num w:numId="95">
    <w:abstractNumId w:val="88"/>
  </w:num>
  <w:num w:numId="96">
    <w:abstractNumId w:val="77"/>
  </w:num>
  <w:num w:numId="97">
    <w:abstractNumId w:val="43"/>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NotTrackMove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27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
  </w:docVars>
  <w:rsids>
    <w:rsidRoot w:val="00D636D3"/>
    <w:rsid w:val="00000FDB"/>
    <w:rsid w:val="00004A11"/>
    <w:rsid w:val="0000609D"/>
    <w:rsid w:val="00006934"/>
    <w:rsid w:val="00006D17"/>
    <w:rsid w:val="00006D23"/>
    <w:rsid w:val="000073D8"/>
    <w:rsid w:val="00007623"/>
    <w:rsid w:val="00007A35"/>
    <w:rsid w:val="00011768"/>
    <w:rsid w:val="00011CFB"/>
    <w:rsid w:val="00012583"/>
    <w:rsid w:val="00012839"/>
    <w:rsid w:val="00012B00"/>
    <w:rsid w:val="00012E56"/>
    <w:rsid w:val="00013382"/>
    <w:rsid w:val="00016FAE"/>
    <w:rsid w:val="0001712F"/>
    <w:rsid w:val="00021C9D"/>
    <w:rsid w:val="000232A4"/>
    <w:rsid w:val="00024B21"/>
    <w:rsid w:val="00025773"/>
    <w:rsid w:val="00026145"/>
    <w:rsid w:val="00026151"/>
    <w:rsid w:val="00026CAE"/>
    <w:rsid w:val="00030D31"/>
    <w:rsid w:val="00031407"/>
    <w:rsid w:val="00031EEB"/>
    <w:rsid w:val="00033657"/>
    <w:rsid w:val="000349B7"/>
    <w:rsid w:val="00040275"/>
    <w:rsid w:val="0004084E"/>
    <w:rsid w:val="00041069"/>
    <w:rsid w:val="00041548"/>
    <w:rsid w:val="00041A6A"/>
    <w:rsid w:val="00042D97"/>
    <w:rsid w:val="0004370A"/>
    <w:rsid w:val="00043DAC"/>
    <w:rsid w:val="00044C7A"/>
    <w:rsid w:val="00047B7D"/>
    <w:rsid w:val="00047DD9"/>
    <w:rsid w:val="00052A64"/>
    <w:rsid w:val="00054ACC"/>
    <w:rsid w:val="000553B1"/>
    <w:rsid w:val="000578CD"/>
    <w:rsid w:val="000600AB"/>
    <w:rsid w:val="00060E6A"/>
    <w:rsid w:val="00061340"/>
    <w:rsid w:val="00061637"/>
    <w:rsid w:val="00061B3C"/>
    <w:rsid w:val="0006469A"/>
    <w:rsid w:val="00064E70"/>
    <w:rsid w:val="00065BF9"/>
    <w:rsid w:val="00065E00"/>
    <w:rsid w:val="0006640A"/>
    <w:rsid w:val="00067507"/>
    <w:rsid w:val="000678FE"/>
    <w:rsid w:val="000704B1"/>
    <w:rsid w:val="00070511"/>
    <w:rsid w:val="00070A02"/>
    <w:rsid w:val="00071225"/>
    <w:rsid w:val="00071400"/>
    <w:rsid w:val="00071F2B"/>
    <w:rsid w:val="0007275E"/>
    <w:rsid w:val="00072E82"/>
    <w:rsid w:val="000735DB"/>
    <w:rsid w:val="00074F46"/>
    <w:rsid w:val="00075524"/>
    <w:rsid w:val="00076C33"/>
    <w:rsid w:val="00076DB6"/>
    <w:rsid w:val="000807C2"/>
    <w:rsid w:val="0008145E"/>
    <w:rsid w:val="00082AB3"/>
    <w:rsid w:val="0008392E"/>
    <w:rsid w:val="00083E1A"/>
    <w:rsid w:val="00084264"/>
    <w:rsid w:val="000846C4"/>
    <w:rsid w:val="00085C18"/>
    <w:rsid w:val="00086ACB"/>
    <w:rsid w:val="00086DEC"/>
    <w:rsid w:val="00087D37"/>
    <w:rsid w:val="00090FFE"/>
    <w:rsid w:val="0009274B"/>
    <w:rsid w:val="00092F0F"/>
    <w:rsid w:val="000932FE"/>
    <w:rsid w:val="00095697"/>
    <w:rsid w:val="0009678A"/>
    <w:rsid w:val="00096A8D"/>
    <w:rsid w:val="0009721F"/>
    <w:rsid w:val="00097F84"/>
    <w:rsid w:val="000A1200"/>
    <w:rsid w:val="000A2954"/>
    <w:rsid w:val="000A298A"/>
    <w:rsid w:val="000A2B05"/>
    <w:rsid w:val="000A3137"/>
    <w:rsid w:val="000A4621"/>
    <w:rsid w:val="000A4691"/>
    <w:rsid w:val="000A78E2"/>
    <w:rsid w:val="000A7DE0"/>
    <w:rsid w:val="000B083C"/>
    <w:rsid w:val="000B1044"/>
    <w:rsid w:val="000B2C4E"/>
    <w:rsid w:val="000B5375"/>
    <w:rsid w:val="000B57E4"/>
    <w:rsid w:val="000B5D57"/>
    <w:rsid w:val="000B64BF"/>
    <w:rsid w:val="000B74E3"/>
    <w:rsid w:val="000B754C"/>
    <w:rsid w:val="000C05D8"/>
    <w:rsid w:val="000C1EA0"/>
    <w:rsid w:val="000C22F7"/>
    <w:rsid w:val="000C4547"/>
    <w:rsid w:val="000C4DB3"/>
    <w:rsid w:val="000C4F63"/>
    <w:rsid w:val="000C5766"/>
    <w:rsid w:val="000C6CE1"/>
    <w:rsid w:val="000C7364"/>
    <w:rsid w:val="000C769A"/>
    <w:rsid w:val="000D00D2"/>
    <w:rsid w:val="000D069B"/>
    <w:rsid w:val="000D1FCC"/>
    <w:rsid w:val="000D2008"/>
    <w:rsid w:val="000D3D22"/>
    <w:rsid w:val="000D418A"/>
    <w:rsid w:val="000D5004"/>
    <w:rsid w:val="000D5960"/>
    <w:rsid w:val="000D5D57"/>
    <w:rsid w:val="000E00BD"/>
    <w:rsid w:val="000E0CCA"/>
    <w:rsid w:val="000E278C"/>
    <w:rsid w:val="000E3516"/>
    <w:rsid w:val="000E6271"/>
    <w:rsid w:val="000E7724"/>
    <w:rsid w:val="000F03AD"/>
    <w:rsid w:val="000F0687"/>
    <w:rsid w:val="000F2153"/>
    <w:rsid w:val="000F3883"/>
    <w:rsid w:val="000F737D"/>
    <w:rsid w:val="000F78EB"/>
    <w:rsid w:val="00100058"/>
    <w:rsid w:val="0010236A"/>
    <w:rsid w:val="001047D7"/>
    <w:rsid w:val="00104FEB"/>
    <w:rsid w:val="0010682A"/>
    <w:rsid w:val="00106E04"/>
    <w:rsid w:val="00112E25"/>
    <w:rsid w:val="001130B9"/>
    <w:rsid w:val="00117BCF"/>
    <w:rsid w:val="00120BD0"/>
    <w:rsid w:val="001215F1"/>
    <w:rsid w:val="00121710"/>
    <w:rsid w:val="0012353E"/>
    <w:rsid w:val="00123A32"/>
    <w:rsid w:val="00124259"/>
    <w:rsid w:val="00124858"/>
    <w:rsid w:val="00125960"/>
    <w:rsid w:val="0012665F"/>
    <w:rsid w:val="0012789F"/>
    <w:rsid w:val="001315BA"/>
    <w:rsid w:val="001317C5"/>
    <w:rsid w:val="001345D1"/>
    <w:rsid w:val="0013632E"/>
    <w:rsid w:val="0013658A"/>
    <w:rsid w:val="00136775"/>
    <w:rsid w:val="00136BEB"/>
    <w:rsid w:val="0013763F"/>
    <w:rsid w:val="00140329"/>
    <w:rsid w:val="0014041E"/>
    <w:rsid w:val="00140792"/>
    <w:rsid w:val="00141D19"/>
    <w:rsid w:val="00143232"/>
    <w:rsid w:val="001437FB"/>
    <w:rsid w:val="00146E91"/>
    <w:rsid w:val="0015192B"/>
    <w:rsid w:val="0015355C"/>
    <w:rsid w:val="00155AC0"/>
    <w:rsid w:val="00155E36"/>
    <w:rsid w:val="00156457"/>
    <w:rsid w:val="00160D24"/>
    <w:rsid w:val="001623D1"/>
    <w:rsid w:val="001628BD"/>
    <w:rsid w:val="00162A1F"/>
    <w:rsid w:val="001647AD"/>
    <w:rsid w:val="00164FCB"/>
    <w:rsid w:val="00166295"/>
    <w:rsid w:val="00166A82"/>
    <w:rsid w:val="00166BE0"/>
    <w:rsid w:val="0017046D"/>
    <w:rsid w:val="00172B3B"/>
    <w:rsid w:val="00173CFF"/>
    <w:rsid w:val="00174AF8"/>
    <w:rsid w:val="00174CFB"/>
    <w:rsid w:val="00175194"/>
    <w:rsid w:val="00175CCD"/>
    <w:rsid w:val="00177728"/>
    <w:rsid w:val="001800A7"/>
    <w:rsid w:val="00180905"/>
    <w:rsid w:val="00181425"/>
    <w:rsid w:val="00181801"/>
    <w:rsid w:val="001819CD"/>
    <w:rsid w:val="00181B16"/>
    <w:rsid w:val="0018292C"/>
    <w:rsid w:val="00182C9E"/>
    <w:rsid w:val="00182DEC"/>
    <w:rsid w:val="0018342B"/>
    <w:rsid w:val="00184650"/>
    <w:rsid w:val="00184840"/>
    <w:rsid w:val="00190D89"/>
    <w:rsid w:val="00191621"/>
    <w:rsid w:val="00191A05"/>
    <w:rsid w:val="00192BCF"/>
    <w:rsid w:val="00194342"/>
    <w:rsid w:val="001948DC"/>
    <w:rsid w:val="00194A27"/>
    <w:rsid w:val="001951CA"/>
    <w:rsid w:val="00195929"/>
    <w:rsid w:val="00195ADD"/>
    <w:rsid w:val="001A19E1"/>
    <w:rsid w:val="001A1E7F"/>
    <w:rsid w:val="001A20DE"/>
    <w:rsid w:val="001A3347"/>
    <w:rsid w:val="001A4260"/>
    <w:rsid w:val="001A4930"/>
    <w:rsid w:val="001A4BF7"/>
    <w:rsid w:val="001A5BE4"/>
    <w:rsid w:val="001A6BA1"/>
    <w:rsid w:val="001A6C28"/>
    <w:rsid w:val="001A6EC0"/>
    <w:rsid w:val="001A783D"/>
    <w:rsid w:val="001A7951"/>
    <w:rsid w:val="001A7F16"/>
    <w:rsid w:val="001B04D7"/>
    <w:rsid w:val="001B1A40"/>
    <w:rsid w:val="001B1E4A"/>
    <w:rsid w:val="001B2164"/>
    <w:rsid w:val="001B2C4C"/>
    <w:rsid w:val="001B4B8A"/>
    <w:rsid w:val="001B4BBC"/>
    <w:rsid w:val="001B713A"/>
    <w:rsid w:val="001C0AFF"/>
    <w:rsid w:val="001C1D0B"/>
    <w:rsid w:val="001C1E26"/>
    <w:rsid w:val="001C241D"/>
    <w:rsid w:val="001C39F8"/>
    <w:rsid w:val="001C4245"/>
    <w:rsid w:val="001C4494"/>
    <w:rsid w:val="001C4D94"/>
    <w:rsid w:val="001C51FB"/>
    <w:rsid w:val="001C7E9A"/>
    <w:rsid w:val="001D1AF5"/>
    <w:rsid w:val="001D2346"/>
    <w:rsid w:val="001D42DB"/>
    <w:rsid w:val="001D74B5"/>
    <w:rsid w:val="001D79BF"/>
    <w:rsid w:val="001E06A6"/>
    <w:rsid w:val="001E1541"/>
    <w:rsid w:val="001E28ED"/>
    <w:rsid w:val="001E4A09"/>
    <w:rsid w:val="001E4BB3"/>
    <w:rsid w:val="001E56CA"/>
    <w:rsid w:val="001E6623"/>
    <w:rsid w:val="001F082F"/>
    <w:rsid w:val="001F17F2"/>
    <w:rsid w:val="001F3959"/>
    <w:rsid w:val="001F3FDC"/>
    <w:rsid w:val="001F402F"/>
    <w:rsid w:val="001F4412"/>
    <w:rsid w:val="001F4EF8"/>
    <w:rsid w:val="001F546A"/>
    <w:rsid w:val="001F6FC1"/>
    <w:rsid w:val="001F7483"/>
    <w:rsid w:val="001F7567"/>
    <w:rsid w:val="001F7661"/>
    <w:rsid w:val="0020010F"/>
    <w:rsid w:val="00201A71"/>
    <w:rsid w:val="00204F61"/>
    <w:rsid w:val="002057AB"/>
    <w:rsid w:val="00206FFB"/>
    <w:rsid w:val="00207545"/>
    <w:rsid w:val="00207D57"/>
    <w:rsid w:val="00207FEC"/>
    <w:rsid w:val="002114B6"/>
    <w:rsid w:val="002117EE"/>
    <w:rsid w:val="0021255F"/>
    <w:rsid w:val="002127CD"/>
    <w:rsid w:val="00212BB9"/>
    <w:rsid w:val="002139B9"/>
    <w:rsid w:val="00213F66"/>
    <w:rsid w:val="00215591"/>
    <w:rsid w:val="0021738F"/>
    <w:rsid w:val="00220DB2"/>
    <w:rsid w:val="002222A7"/>
    <w:rsid w:val="00222648"/>
    <w:rsid w:val="002255A6"/>
    <w:rsid w:val="0022594F"/>
    <w:rsid w:val="002261A5"/>
    <w:rsid w:val="00227144"/>
    <w:rsid w:val="00230869"/>
    <w:rsid w:val="00231EDB"/>
    <w:rsid w:val="0023672E"/>
    <w:rsid w:val="00236A07"/>
    <w:rsid w:val="0024101F"/>
    <w:rsid w:val="002410C0"/>
    <w:rsid w:val="0024238C"/>
    <w:rsid w:val="00242500"/>
    <w:rsid w:val="0024254B"/>
    <w:rsid w:val="00242708"/>
    <w:rsid w:val="00242F24"/>
    <w:rsid w:val="00242F8E"/>
    <w:rsid w:val="002432BB"/>
    <w:rsid w:val="0024444E"/>
    <w:rsid w:val="00245E49"/>
    <w:rsid w:val="00246F81"/>
    <w:rsid w:val="002472A1"/>
    <w:rsid w:val="00247AEC"/>
    <w:rsid w:val="002526C8"/>
    <w:rsid w:val="002534A2"/>
    <w:rsid w:val="002534B9"/>
    <w:rsid w:val="00253551"/>
    <w:rsid w:val="00254F9F"/>
    <w:rsid w:val="0025621D"/>
    <w:rsid w:val="00257ACE"/>
    <w:rsid w:val="00257BDF"/>
    <w:rsid w:val="002620D2"/>
    <w:rsid w:val="00262B1F"/>
    <w:rsid w:val="00262ED2"/>
    <w:rsid w:val="002649B5"/>
    <w:rsid w:val="002656CE"/>
    <w:rsid w:val="0026623E"/>
    <w:rsid w:val="00271D3E"/>
    <w:rsid w:val="00271DD3"/>
    <w:rsid w:val="00272967"/>
    <w:rsid w:val="00272E6A"/>
    <w:rsid w:val="00274409"/>
    <w:rsid w:val="0027443A"/>
    <w:rsid w:val="00274D3F"/>
    <w:rsid w:val="0027661B"/>
    <w:rsid w:val="002777E9"/>
    <w:rsid w:val="0028014B"/>
    <w:rsid w:val="00280274"/>
    <w:rsid w:val="002803A1"/>
    <w:rsid w:val="00281265"/>
    <w:rsid w:val="0028159F"/>
    <w:rsid w:val="002828AC"/>
    <w:rsid w:val="00284511"/>
    <w:rsid w:val="00286CA7"/>
    <w:rsid w:val="0028700E"/>
    <w:rsid w:val="00290077"/>
    <w:rsid w:val="0029157E"/>
    <w:rsid w:val="002933A2"/>
    <w:rsid w:val="002935B5"/>
    <w:rsid w:val="002946B3"/>
    <w:rsid w:val="00297033"/>
    <w:rsid w:val="002A0E06"/>
    <w:rsid w:val="002A1FE1"/>
    <w:rsid w:val="002A53B5"/>
    <w:rsid w:val="002A647C"/>
    <w:rsid w:val="002B3118"/>
    <w:rsid w:val="002B3126"/>
    <w:rsid w:val="002B3C17"/>
    <w:rsid w:val="002B4BD7"/>
    <w:rsid w:val="002B50DC"/>
    <w:rsid w:val="002B5BCD"/>
    <w:rsid w:val="002B6DF9"/>
    <w:rsid w:val="002B79C1"/>
    <w:rsid w:val="002C0D91"/>
    <w:rsid w:val="002C16EB"/>
    <w:rsid w:val="002C358A"/>
    <w:rsid w:val="002C42AC"/>
    <w:rsid w:val="002C49A0"/>
    <w:rsid w:val="002C555B"/>
    <w:rsid w:val="002C7681"/>
    <w:rsid w:val="002D0030"/>
    <w:rsid w:val="002D154F"/>
    <w:rsid w:val="002D293D"/>
    <w:rsid w:val="002D2AD7"/>
    <w:rsid w:val="002D5344"/>
    <w:rsid w:val="002D6669"/>
    <w:rsid w:val="002E1A55"/>
    <w:rsid w:val="002E1CE2"/>
    <w:rsid w:val="002E37FE"/>
    <w:rsid w:val="002E3A5D"/>
    <w:rsid w:val="002E51D7"/>
    <w:rsid w:val="002E567C"/>
    <w:rsid w:val="002E6985"/>
    <w:rsid w:val="002E7193"/>
    <w:rsid w:val="002E7EA7"/>
    <w:rsid w:val="002F134F"/>
    <w:rsid w:val="002F1BB4"/>
    <w:rsid w:val="002F2A74"/>
    <w:rsid w:val="002F3799"/>
    <w:rsid w:val="002F3E4C"/>
    <w:rsid w:val="002F41E7"/>
    <w:rsid w:val="002F4437"/>
    <w:rsid w:val="002F67C3"/>
    <w:rsid w:val="002F6C6E"/>
    <w:rsid w:val="002F6E93"/>
    <w:rsid w:val="002F7270"/>
    <w:rsid w:val="002F7332"/>
    <w:rsid w:val="002F7897"/>
    <w:rsid w:val="00300315"/>
    <w:rsid w:val="00302231"/>
    <w:rsid w:val="003027BB"/>
    <w:rsid w:val="003028C0"/>
    <w:rsid w:val="0030335A"/>
    <w:rsid w:val="003034A9"/>
    <w:rsid w:val="00303A6A"/>
    <w:rsid w:val="00304490"/>
    <w:rsid w:val="0030627E"/>
    <w:rsid w:val="00306317"/>
    <w:rsid w:val="00310CE1"/>
    <w:rsid w:val="00311CFE"/>
    <w:rsid w:val="00312073"/>
    <w:rsid w:val="00312B43"/>
    <w:rsid w:val="0031370B"/>
    <w:rsid w:val="00314D25"/>
    <w:rsid w:val="00315EE6"/>
    <w:rsid w:val="00316673"/>
    <w:rsid w:val="00317D87"/>
    <w:rsid w:val="00320719"/>
    <w:rsid w:val="00320EC9"/>
    <w:rsid w:val="003216F0"/>
    <w:rsid w:val="00321BD7"/>
    <w:rsid w:val="00322465"/>
    <w:rsid w:val="0032291B"/>
    <w:rsid w:val="00322D82"/>
    <w:rsid w:val="00322F9D"/>
    <w:rsid w:val="003235F9"/>
    <w:rsid w:val="003245F7"/>
    <w:rsid w:val="003249C2"/>
    <w:rsid w:val="00325231"/>
    <w:rsid w:val="0033005A"/>
    <w:rsid w:val="003300D6"/>
    <w:rsid w:val="00330E58"/>
    <w:rsid w:val="003331FB"/>
    <w:rsid w:val="003343AE"/>
    <w:rsid w:val="0033498C"/>
    <w:rsid w:val="003352DB"/>
    <w:rsid w:val="0033639B"/>
    <w:rsid w:val="00341B4B"/>
    <w:rsid w:val="00341F64"/>
    <w:rsid w:val="00344225"/>
    <w:rsid w:val="00344E44"/>
    <w:rsid w:val="00345681"/>
    <w:rsid w:val="003477FB"/>
    <w:rsid w:val="00350293"/>
    <w:rsid w:val="00350B31"/>
    <w:rsid w:val="0035104F"/>
    <w:rsid w:val="00351281"/>
    <w:rsid w:val="00351FCF"/>
    <w:rsid w:val="003521F2"/>
    <w:rsid w:val="00352786"/>
    <w:rsid w:val="00354073"/>
    <w:rsid w:val="003542BF"/>
    <w:rsid w:val="00354A7D"/>
    <w:rsid w:val="00354BBA"/>
    <w:rsid w:val="00354D81"/>
    <w:rsid w:val="00357D57"/>
    <w:rsid w:val="00360E92"/>
    <w:rsid w:val="00362669"/>
    <w:rsid w:val="00364017"/>
    <w:rsid w:val="00364CEF"/>
    <w:rsid w:val="00365C4E"/>
    <w:rsid w:val="00367A10"/>
    <w:rsid w:val="003702B2"/>
    <w:rsid w:val="0037094B"/>
    <w:rsid w:val="00370C0C"/>
    <w:rsid w:val="00373B27"/>
    <w:rsid w:val="003746CE"/>
    <w:rsid w:val="003773A4"/>
    <w:rsid w:val="0038057B"/>
    <w:rsid w:val="0038092D"/>
    <w:rsid w:val="00380D24"/>
    <w:rsid w:val="00381022"/>
    <w:rsid w:val="0038103F"/>
    <w:rsid w:val="003819D1"/>
    <w:rsid w:val="00382BC3"/>
    <w:rsid w:val="0038315A"/>
    <w:rsid w:val="00384160"/>
    <w:rsid w:val="00386000"/>
    <w:rsid w:val="003870FA"/>
    <w:rsid w:val="00390214"/>
    <w:rsid w:val="003908A4"/>
    <w:rsid w:val="0039110A"/>
    <w:rsid w:val="0039121C"/>
    <w:rsid w:val="00392BA8"/>
    <w:rsid w:val="00392DB7"/>
    <w:rsid w:val="00393C5B"/>
    <w:rsid w:val="0039702F"/>
    <w:rsid w:val="003A085C"/>
    <w:rsid w:val="003A0F03"/>
    <w:rsid w:val="003A1A5C"/>
    <w:rsid w:val="003A31EE"/>
    <w:rsid w:val="003A3F22"/>
    <w:rsid w:val="003A46D4"/>
    <w:rsid w:val="003A491B"/>
    <w:rsid w:val="003A4A9F"/>
    <w:rsid w:val="003A4E81"/>
    <w:rsid w:val="003A535C"/>
    <w:rsid w:val="003A6539"/>
    <w:rsid w:val="003A661A"/>
    <w:rsid w:val="003B1309"/>
    <w:rsid w:val="003B3827"/>
    <w:rsid w:val="003B55DE"/>
    <w:rsid w:val="003B64C6"/>
    <w:rsid w:val="003B655F"/>
    <w:rsid w:val="003B6FC1"/>
    <w:rsid w:val="003B75A6"/>
    <w:rsid w:val="003C2725"/>
    <w:rsid w:val="003C2EE7"/>
    <w:rsid w:val="003C4CE3"/>
    <w:rsid w:val="003C6BF9"/>
    <w:rsid w:val="003C6FD5"/>
    <w:rsid w:val="003D0729"/>
    <w:rsid w:val="003D12EC"/>
    <w:rsid w:val="003D1584"/>
    <w:rsid w:val="003D1C28"/>
    <w:rsid w:val="003D226A"/>
    <w:rsid w:val="003D3EDA"/>
    <w:rsid w:val="003D557D"/>
    <w:rsid w:val="003D5C90"/>
    <w:rsid w:val="003D7436"/>
    <w:rsid w:val="003D77DB"/>
    <w:rsid w:val="003D7DF4"/>
    <w:rsid w:val="003E0502"/>
    <w:rsid w:val="003E08B3"/>
    <w:rsid w:val="003E1055"/>
    <w:rsid w:val="003E2371"/>
    <w:rsid w:val="003E264C"/>
    <w:rsid w:val="003E35B0"/>
    <w:rsid w:val="003E4754"/>
    <w:rsid w:val="003E48C1"/>
    <w:rsid w:val="003E6617"/>
    <w:rsid w:val="003E67AA"/>
    <w:rsid w:val="003E72BC"/>
    <w:rsid w:val="003E7507"/>
    <w:rsid w:val="003E7651"/>
    <w:rsid w:val="003E7DC7"/>
    <w:rsid w:val="003F17CC"/>
    <w:rsid w:val="003F223D"/>
    <w:rsid w:val="003F29F5"/>
    <w:rsid w:val="003F4A7B"/>
    <w:rsid w:val="003F4F44"/>
    <w:rsid w:val="003F6F32"/>
    <w:rsid w:val="003F73DC"/>
    <w:rsid w:val="0040210C"/>
    <w:rsid w:val="00402BB4"/>
    <w:rsid w:val="00402D31"/>
    <w:rsid w:val="00403021"/>
    <w:rsid w:val="00403BBE"/>
    <w:rsid w:val="00404295"/>
    <w:rsid w:val="0040438E"/>
    <w:rsid w:val="00404712"/>
    <w:rsid w:val="00406241"/>
    <w:rsid w:val="004078FA"/>
    <w:rsid w:val="00407B22"/>
    <w:rsid w:val="0041084A"/>
    <w:rsid w:val="004118B7"/>
    <w:rsid w:val="00412B83"/>
    <w:rsid w:val="00412D30"/>
    <w:rsid w:val="004133C0"/>
    <w:rsid w:val="00414C4B"/>
    <w:rsid w:val="00416718"/>
    <w:rsid w:val="00416B77"/>
    <w:rsid w:val="00420CF4"/>
    <w:rsid w:val="004214C3"/>
    <w:rsid w:val="004229C2"/>
    <w:rsid w:val="00422A8A"/>
    <w:rsid w:val="00422E10"/>
    <w:rsid w:val="00423548"/>
    <w:rsid w:val="004253EA"/>
    <w:rsid w:val="00426305"/>
    <w:rsid w:val="00426601"/>
    <w:rsid w:val="00426A3F"/>
    <w:rsid w:val="00426BEF"/>
    <w:rsid w:val="00427080"/>
    <w:rsid w:val="00431CC7"/>
    <w:rsid w:val="00433815"/>
    <w:rsid w:val="00433894"/>
    <w:rsid w:val="004344D0"/>
    <w:rsid w:val="00434CFB"/>
    <w:rsid w:val="004352DC"/>
    <w:rsid w:val="00435E95"/>
    <w:rsid w:val="00437164"/>
    <w:rsid w:val="004403C3"/>
    <w:rsid w:val="00441771"/>
    <w:rsid w:val="00443B82"/>
    <w:rsid w:val="00444E6B"/>
    <w:rsid w:val="004455B9"/>
    <w:rsid w:val="00450174"/>
    <w:rsid w:val="0045055E"/>
    <w:rsid w:val="0045096C"/>
    <w:rsid w:val="00450BAF"/>
    <w:rsid w:val="00450F36"/>
    <w:rsid w:val="00452581"/>
    <w:rsid w:val="004567D7"/>
    <w:rsid w:val="004569CD"/>
    <w:rsid w:val="00456BB3"/>
    <w:rsid w:val="00460B98"/>
    <w:rsid w:val="004620B7"/>
    <w:rsid w:val="004643D3"/>
    <w:rsid w:val="00464D26"/>
    <w:rsid w:val="00464FFE"/>
    <w:rsid w:val="004665D3"/>
    <w:rsid w:val="00466A48"/>
    <w:rsid w:val="004709DF"/>
    <w:rsid w:val="00470DD7"/>
    <w:rsid w:val="0047185E"/>
    <w:rsid w:val="00471B1E"/>
    <w:rsid w:val="00472F9F"/>
    <w:rsid w:val="00473BE1"/>
    <w:rsid w:val="00473F3A"/>
    <w:rsid w:val="00474835"/>
    <w:rsid w:val="004750F6"/>
    <w:rsid w:val="0047694F"/>
    <w:rsid w:val="00477D8C"/>
    <w:rsid w:val="00477FC0"/>
    <w:rsid w:val="00481D0C"/>
    <w:rsid w:val="00481E6A"/>
    <w:rsid w:val="00484786"/>
    <w:rsid w:val="004848EF"/>
    <w:rsid w:val="00484E47"/>
    <w:rsid w:val="0048558E"/>
    <w:rsid w:val="004874BF"/>
    <w:rsid w:val="00487B0A"/>
    <w:rsid w:val="004900A1"/>
    <w:rsid w:val="004900D8"/>
    <w:rsid w:val="004903F7"/>
    <w:rsid w:val="004913E7"/>
    <w:rsid w:val="00491AD4"/>
    <w:rsid w:val="00492DF8"/>
    <w:rsid w:val="00492E4D"/>
    <w:rsid w:val="00494FC5"/>
    <w:rsid w:val="00495117"/>
    <w:rsid w:val="0049515F"/>
    <w:rsid w:val="004962DF"/>
    <w:rsid w:val="00496D42"/>
    <w:rsid w:val="004975DE"/>
    <w:rsid w:val="004A073E"/>
    <w:rsid w:val="004A0BC1"/>
    <w:rsid w:val="004A1381"/>
    <w:rsid w:val="004A27EE"/>
    <w:rsid w:val="004A31FD"/>
    <w:rsid w:val="004A39FA"/>
    <w:rsid w:val="004A5E10"/>
    <w:rsid w:val="004A6BB1"/>
    <w:rsid w:val="004B1FC1"/>
    <w:rsid w:val="004B23DD"/>
    <w:rsid w:val="004B3C6F"/>
    <w:rsid w:val="004B4B9C"/>
    <w:rsid w:val="004B4F64"/>
    <w:rsid w:val="004B6D0A"/>
    <w:rsid w:val="004B7C7F"/>
    <w:rsid w:val="004C024A"/>
    <w:rsid w:val="004C0F10"/>
    <w:rsid w:val="004C184D"/>
    <w:rsid w:val="004C2482"/>
    <w:rsid w:val="004C280D"/>
    <w:rsid w:val="004C540F"/>
    <w:rsid w:val="004C58C7"/>
    <w:rsid w:val="004C58E2"/>
    <w:rsid w:val="004C5C73"/>
    <w:rsid w:val="004C6CCF"/>
    <w:rsid w:val="004D047A"/>
    <w:rsid w:val="004D17B6"/>
    <w:rsid w:val="004D1A2B"/>
    <w:rsid w:val="004D2E84"/>
    <w:rsid w:val="004D365D"/>
    <w:rsid w:val="004D4307"/>
    <w:rsid w:val="004E007D"/>
    <w:rsid w:val="004E00E7"/>
    <w:rsid w:val="004E0404"/>
    <w:rsid w:val="004E06DB"/>
    <w:rsid w:val="004E1B48"/>
    <w:rsid w:val="004E60FC"/>
    <w:rsid w:val="004E726B"/>
    <w:rsid w:val="004E7E94"/>
    <w:rsid w:val="004F0A3A"/>
    <w:rsid w:val="004F1014"/>
    <w:rsid w:val="004F20B7"/>
    <w:rsid w:val="004F26DE"/>
    <w:rsid w:val="004F479F"/>
    <w:rsid w:val="004F5F2B"/>
    <w:rsid w:val="004F6498"/>
    <w:rsid w:val="004F6790"/>
    <w:rsid w:val="004F6DFF"/>
    <w:rsid w:val="004F72ED"/>
    <w:rsid w:val="004F783B"/>
    <w:rsid w:val="00501F02"/>
    <w:rsid w:val="00502789"/>
    <w:rsid w:val="00502847"/>
    <w:rsid w:val="0050510D"/>
    <w:rsid w:val="00506ED3"/>
    <w:rsid w:val="00507BDE"/>
    <w:rsid w:val="00507D74"/>
    <w:rsid w:val="0051140D"/>
    <w:rsid w:val="0051156D"/>
    <w:rsid w:val="0051331D"/>
    <w:rsid w:val="00513E5C"/>
    <w:rsid w:val="00514D83"/>
    <w:rsid w:val="005151C4"/>
    <w:rsid w:val="00515690"/>
    <w:rsid w:val="0051577C"/>
    <w:rsid w:val="005174C1"/>
    <w:rsid w:val="005179E1"/>
    <w:rsid w:val="00517FA0"/>
    <w:rsid w:val="0052026B"/>
    <w:rsid w:val="005202ED"/>
    <w:rsid w:val="005224E5"/>
    <w:rsid w:val="00522B33"/>
    <w:rsid w:val="00523D08"/>
    <w:rsid w:val="0052471F"/>
    <w:rsid w:val="00524735"/>
    <w:rsid w:val="00524C38"/>
    <w:rsid w:val="00527442"/>
    <w:rsid w:val="00527977"/>
    <w:rsid w:val="00527CDA"/>
    <w:rsid w:val="00531975"/>
    <w:rsid w:val="00531DAF"/>
    <w:rsid w:val="00532640"/>
    <w:rsid w:val="00532AB1"/>
    <w:rsid w:val="00532AC7"/>
    <w:rsid w:val="00533706"/>
    <w:rsid w:val="00533E72"/>
    <w:rsid w:val="00533FD3"/>
    <w:rsid w:val="00535712"/>
    <w:rsid w:val="00537268"/>
    <w:rsid w:val="00540FF1"/>
    <w:rsid w:val="00541079"/>
    <w:rsid w:val="00541197"/>
    <w:rsid w:val="00543C35"/>
    <w:rsid w:val="0054597A"/>
    <w:rsid w:val="00545AC3"/>
    <w:rsid w:val="00546626"/>
    <w:rsid w:val="005474A2"/>
    <w:rsid w:val="00551130"/>
    <w:rsid w:val="00551BA3"/>
    <w:rsid w:val="00551C43"/>
    <w:rsid w:val="00551CC3"/>
    <w:rsid w:val="00552044"/>
    <w:rsid w:val="00552129"/>
    <w:rsid w:val="0055239F"/>
    <w:rsid w:val="00552BC3"/>
    <w:rsid w:val="00552DDD"/>
    <w:rsid w:val="0055368C"/>
    <w:rsid w:val="00554E37"/>
    <w:rsid w:val="005568DD"/>
    <w:rsid w:val="00556BAB"/>
    <w:rsid w:val="00556D87"/>
    <w:rsid w:val="00561B3D"/>
    <w:rsid w:val="00563121"/>
    <w:rsid w:val="005632AE"/>
    <w:rsid w:val="0056474C"/>
    <w:rsid w:val="00565D1B"/>
    <w:rsid w:val="005678D2"/>
    <w:rsid w:val="0057011C"/>
    <w:rsid w:val="0057464B"/>
    <w:rsid w:val="00574C39"/>
    <w:rsid w:val="00576365"/>
    <w:rsid w:val="005766AA"/>
    <w:rsid w:val="00576DAD"/>
    <w:rsid w:val="00577783"/>
    <w:rsid w:val="00580055"/>
    <w:rsid w:val="0058127B"/>
    <w:rsid w:val="0058162E"/>
    <w:rsid w:val="00581C77"/>
    <w:rsid w:val="005825E0"/>
    <w:rsid w:val="005827EB"/>
    <w:rsid w:val="00583FE1"/>
    <w:rsid w:val="0058526D"/>
    <w:rsid w:val="005852D3"/>
    <w:rsid w:val="00586202"/>
    <w:rsid w:val="005904AC"/>
    <w:rsid w:val="00590E84"/>
    <w:rsid w:val="00592BD1"/>
    <w:rsid w:val="00592DA5"/>
    <w:rsid w:val="00592E9E"/>
    <w:rsid w:val="005937CE"/>
    <w:rsid w:val="00593EBB"/>
    <w:rsid w:val="005947B8"/>
    <w:rsid w:val="00594E86"/>
    <w:rsid w:val="00595EB3"/>
    <w:rsid w:val="00595EDC"/>
    <w:rsid w:val="00596F5F"/>
    <w:rsid w:val="005973DC"/>
    <w:rsid w:val="00597525"/>
    <w:rsid w:val="005A0D27"/>
    <w:rsid w:val="005A1AAA"/>
    <w:rsid w:val="005A33DB"/>
    <w:rsid w:val="005A387F"/>
    <w:rsid w:val="005A5F6B"/>
    <w:rsid w:val="005A68E1"/>
    <w:rsid w:val="005A70D1"/>
    <w:rsid w:val="005A7760"/>
    <w:rsid w:val="005B1807"/>
    <w:rsid w:val="005B1AE1"/>
    <w:rsid w:val="005B297D"/>
    <w:rsid w:val="005B2995"/>
    <w:rsid w:val="005B34DF"/>
    <w:rsid w:val="005B4F5C"/>
    <w:rsid w:val="005B6E6A"/>
    <w:rsid w:val="005B733F"/>
    <w:rsid w:val="005B7609"/>
    <w:rsid w:val="005C04CB"/>
    <w:rsid w:val="005C0736"/>
    <w:rsid w:val="005C137C"/>
    <w:rsid w:val="005C246B"/>
    <w:rsid w:val="005C5B47"/>
    <w:rsid w:val="005C6D8F"/>
    <w:rsid w:val="005D01D8"/>
    <w:rsid w:val="005D1DFF"/>
    <w:rsid w:val="005D1F7C"/>
    <w:rsid w:val="005D2B7C"/>
    <w:rsid w:val="005D2F81"/>
    <w:rsid w:val="005D4F74"/>
    <w:rsid w:val="005D59F6"/>
    <w:rsid w:val="005D6A90"/>
    <w:rsid w:val="005E05B0"/>
    <w:rsid w:val="005E0AF9"/>
    <w:rsid w:val="005E0DFB"/>
    <w:rsid w:val="005E2F42"/>
    <w:rsid w:val="005E3372"/>
    <w:rsid w:val="005E51E0"/>
    <w:rsid w:val="005E5200"/>
    <w:rsid w:val="005E5A1C"/>
    <w:rsid w:val="005E72E4"/>
    <w:rsid w:val="005E7F1A"/>
    <w:rsid w:val="005F1DFD"/>
    <w:rsid w:val="005F3440"/>
    <w:rsid w:val="005F3C31"/>
    <w:rsid w:val="005F3EF3"/>
    <w:rsid w:val="005F40F7"/>
    <w:rsid w:val="005F5B15"/>
    <w:rsid w:val="005F6238"/>
    <w:rsid w:val="005F79C2"/>
    <w:rsid w:val="005F7A9B"/>
    <w:rsid w:val="005F7D87"/>
    <w:rsid w:val="0060093B"/>
    <w:rsid w:val="00601B50"/>
    <w:rsid w:val="006020D3"/>
    <w:rsid w:val="00602851"/>
    <w:rsid w:val="00602EA3"/>
    <w:rsid w:val="00604D04"/>
    <w:rsid w:val="006050E6"/>
    <w:rsid w:val="00605C72"/>
    <w:rsid w:val="00605E1F"/>
    <w:rsid w:val="00606714"/>
    <w:rsid w:val="00606EAC"/>
    <w:rsid w:val="00607CA5"/>
    <w:rsid w:val="00610BC6"/>
    <w:rsid w:val="006121CB"/>
    <w:rsid w:val="00612AA0"/>
    <w:rsid w:val="00613F40"/>
    <w:rsid w:val="0061451E"/>
    <w:rsid w:val="00614C7C"/>
    <w:rsid w:val="00615264"/>
    <w:rsid w:val="006176F9"/>
    <w:rsid w:val="00617AD4"/>
    <w:rsid w:val="00621B28"/>
    <w:rsid w:val="00622E1D"/>
    <w:rsid w:val="00623BED"/>
    <w:rsid w:val="00625ACF"/>
    <w:rsid w:val="0062666C"/>
    <w:rsid w:val="006267F4"/>
    <w:rsid w:val="00626E53"/>
    <w:rsid w:val="006277BE"/>
    <w:rsid w:val="00627F59"/>
    <w:rsid w:val="00630727"/>
    <w:rsid w:val="00633142"/>
    <w:rsid w:val="006345FF"/>
    <w:rsid w:val="00635D9F"/>
    <w:rsid w:val="00636CB1"/>
    <w:rsid w:val="006410BF"/>
    <w:rsid w:val="00642706"/>
    <w:rsid w:val="00643878"/>
    <w:rsid w:val="00643CD9"/>
    <w:rsid w:val="00643F08"/>
    <w:rsid w:val="00644640"/>
    <w:rsid w:val="00645D53"/>
    <w:rsid w:val="0064610F"/>
    <w:rsid w:val="006503F4"/>
    <w:rsid w:val="00650B4A"/>
    <w:rsid w:val="006525C0"/>
    <w:rsid w:val="006526DF"/>
    <w:rsid w:val="00652ECE"/>
    <w:rsid w:val="006544B4"/>
    <w:rsid w:val="00654740"/>
    <w:rsid w:val="00655E86"/>
    <w:rsid w:val="006563C8"/>
    <w:rsid w:val="006577B5"/>
    <w:rsid w:val="006577D1"/>
    <w:rsid w:val="00657D69"/>
    <w:rsid w:val="00657DA8"/>
    <w:rsid w:val="00661AAA"/>
    <w:rsid w:val="006624EB"/>
    <w:rsid w:val="00663803"/>
    <w:rsid w:val="0066490F"/>
    <w:rsid w:val="006651CB"/>
    <w:rsid w:val="006674BB"/>
    <w:rsid w:val="00667E09"/>
    <w:rsid w:val="006709D0"/>
    <w:rsid w:val="00671195"/>
    <w:rsid w:val="00672717"/>
    <w:rsid w:val="006730B1"/>
    <w:rsid w:val="00673ACD"/>
    <w:rsid w:val="00674366"/>
    <w:rsid w:val="00674604"/>
    <w:rsid w:val="00674B6D"/>
    <w:rsid w:val="0067529B"/>
    <w:rsid w:val="00676E4C"/>
    <w:rsid w:val="00676F35"/>
    <w:rsid w:val="006773F7"/>
    <w:rsid w:val="006779D1"/>
    <w:rsid w:val="00677B62"/>
    <w:rsid w:val="006807BA"/>
    <w:rsid w:val="00681E19"/>
    <w:rsid w:val="00682561"/>
    <w:rsid w:val="0068262E"/>
    <w:rsid w:val="00682A08"/>
    <w:rsid w:val="00684C42"/>
    <w:rsid w:val="00691075"/>
    <w:rsid w:val="00691438"/>
    <w:rsid w:val="00691DDD"/>
    <w:rsid w:val="00692986"/>
    <w:rsid w:val="00693A0C"/>
    <w:rsid w:val="00693AA8"/>
    <w:rsid w:val="00693DB7"/>
    <w:rsid w:val="006940AD"/>
    <w:rsid w:val="00694E21"/>
    <w:rsid w:val="006968F9"/>
    <w:rsid w:val="006A206F"/>
    <w:rsid w:val="006A58F0"/>
    <w:rsid w:val="006B0141"/>
    <w:rsid w:val="006B041D"/>
    <w:rsid w:val="006B0B74"/>
    <w:rsid w:val="006B1177"/>
    <w:rsid w:val="006B16AD"/>
    <w:rsid w:val="006B1924"/>
    <w:rsid w:val="006B4B17"/>
    <w:rsid w:val="006B4FC1"/>
    <w:rsid w:val="006B5BD2"/>
    <w:rsid w:val="006B69DB"/>
    <w:rsid w:val="006B6BF8"/>
    <w:rsid w:val="006B7B81"/>
    <w:rsid w:val="006B7D22"/>
    <w:rsid w:val="006B7FBB"/>
    <w:rsid w:val="006C0449"/>
    <w:rsid w:val="006C0AED"/>
    <w:rsid w:val="006C1CD2"/>
    <w:rsid w:val="006C210B"/>
    <w:rsid w:val="006C29E1"/>
    <w:rsid w:val="006C2C7F"/>
    <w:rsid w:val="006C591B"/>
    <w:rsid w:val="006C639E"/>
    <w:rsid w:val="006C6C7C"/>
    <w:rsid w:val="006D0685"/>
    <w:rsid w:val="006D12D1"/>
    <w:rsid w:val="006D2782"/>
    <w:rsid w:val="006D4B0E"/>
    <w:rsid w:val="006D4C73"/>
    <w:rsid w:val="006D51F8"/>
    <w:rsid w:val="006D53EC"/>
    <w:rsid w:val="006E064E"/>
    <w:rsid w:val="006E2544"/>
    <w:rsid w:val="006E2B24"/>
    <w:rsid w:val="006E2BFC"/>
    <w:rsid w:val="006E37E8"/>
    <w:rsid w:val="006E41D8"/>
    <w:rsid w:val="006E5B12"/>
    <w:rsid w:val="006E645F"/>
    <w:rsid w:val="006E65B5"/>
    <w:rsid w:val="006E68E7"/>
    <w:rsid w:val="006E6F06"/>
    <w:rsid w:val="006F0AF2"/>
    <w:rsid w:val="006F1747"/>
    <w:rsid w:val="006F2642"/>
    <w:rsid w:val="006F2AE6"/>
    <w:rsid w:val="006F33AF"/>
    <w:rsid w:val="006F49F7"/>
    <w:rsid w:val="006F50FE"/>
    <w:rsid w:val="006F5D91"/>
    <w:rsid w:val="006F6F75"/>
    <w:rsid w:val="006F754F"/>
    <w:rsid w:val="006F7759"/>
    <w:rsid w:val="006F7A67"/>
    <w:rsid w:val="006F7B48"/>
    <w:rsid w:val="007004B7"/>
    <w:rsid w:val="00701433"/>
    <w:rsid w:val="00701EDB"/>
    <w:rsid w:val="0070264F"/>
    <w:rsid w:val="00702A93"/>
    <w:rsid w:val="00704920"/>
    <w:rsid w:val="0070609F"/>
    <w:rsid w:val="007068A8"/>
    <w:rsid w:val="00707953"/>
    <w:rsid w:val="00707955"/>
    <w:rsid w:val="00710E8C"/>
    <w:rsid w:val="0071179C"/>
    <w:rsid w:val="00712246"/>
    <w:rsid w:val="00712B47"/>
    <w:rsid w:val="00712D22"/>
    <w:rsid w:val="00713A9B"/>
    <w:rsid w:val="007142E2"/>
    <w:rsid w:val="00716608"/>
    <w:rsid w:val="0071792B"/>
    <w:rsid w:val="00720ACF"/>
    <w:rsid w:val="00721D69"/>
    <w:rsid w:val="007227D7"/>
    <w:rsid w:val="00722FD9"/>
    <w:rsid w:val="00723317"/>
    <w:rsid w:val="00723A44"/>
    <w:rsid w:val="00724261"/>
    <w:rsid w:val="007261FD"/>
    <w:rsid w:val="007273D3"/>
    <w:rsid w:val="00731F04"/>
    <w:rsid w:val="00732773"/>
    <w:rsid w:val="00733330"/>
    <w:rsid w:val="00733FFB"/>
    <w:rsid w:val="007343AF"/>
    <w:rsid w:val="00734E56"/>
    <w:rsid w:val="007357CD"/>
    <w:rsid w:val="007365AB"/>
    <w:rsid w:val="007370C4"/>
    <w:rsid w:val="00737970"/>
    <w:rsid w:val="00740A12"/>
    <w:rsid w:val="00741EF3"/>
    <w:rsid w:val="0074367A"/>
    <w:rsid w:val="00743AA3"/>
    <w:rsid w:val="00744EC5"/>
    <w:rsid w:val="007452E7"/>
    <w:rsid w:val="00745C43"/>
    <w:rsid w:val="00745D81"/>
    <w:rsid w:val="00746DE4"/>
    <w:rsid w:val="007472DE"/>
    <w:rsid w:val="00750B8B"/>
    <w:rsid w:val="00750C2D"/>
    <w:rsid w:val="00751B5F"/>
    <w:rsid w:val="00752B0D"/>
    <w:rsid w:val="0075319E"/>
    <w:rsid w:val="007537D9"/>
    <w:rsid w:val="00754294"/>
    <w:rsid w:val="007556C1"/>
    <w:rsid w:val="00756D53"/>
    <w:rsid w:val="00757A1D"/>
    <w:rsid w:val="00760B3F"/>
    <w:rsid w:val="00761DB0"/>
    <w:rsid w:val="00761FE7"/>
    <w:rsid w:val="00762848"/>
    <w:rsid w:val="00763B4F"/>
    <w:rsid w:val="00766204"/>
    <w:rsid w:val="007678AE"/>
    <w:rsid w:val="00767FBA"/>
    <w:rsid w:val="00770C41"/>
    <w:rsid w:val="007714FA"/>
    <w:rsid w:val="007724C7"/>
    <w:rsid w:val="00772E50"/>
    <w:rsid w:val="00773006"/>
    <w:rsid w:val="007747D2"/>
    <w:rsid w:val="00774839"/>
    <w:rsid w:val="00775123"/>
    <w:rsid w:val="007763EC"/>
    <w:rsid w:val="007767F2"/>
    <w:rsid w:val="0078036A"/>
    <w:rsid w:val="007810F5"/>
    <w:rsid w:val="007818E9"/>
    <w:rsid w:val="00781A06"/>
    <w:rsid w:val="00782106"/>
    <w:rsid w:val="00782DB1"/>
    <w:rsid w:val="00782F1C"/>
    <w:rsid w:val="00783FC7"/>
    <w:rsid w:val="00787683"/>
    <w:rsid w:val="00787A56"/>
    <w:rsid w:val="00791157"/>
    <w:rsid w:val="00792000"/>
    <w:rsid w:val="00792146"/>
    <w:rsid w:val="00792606"/>
    <w:rsid w:val="007927B9"/>
    <w:rsid w:val="00793566"/>
    <w:rsid w:val="007959C3"/>
    <w:rsid w:val="00795F6E"/>
    <w:rsid w:val="00797065"/>
    <w:rsid w:val="007971BB"/>
    <w:rsid w:val="007A34D6"/>
    <w:rsid w:val="007A421E"/>
    <w:rsid w:val="007A464E"/>
    <w:rsid w:val="007A4C5F"/>
    <w:rsid w:val="007A4FE4"/>
    <w:rsid w:val="007A646B"/>
    <w:rsid w:val="007B00D5"/>
    <w:rsid w:val="007B03F1"/>
    <w:rsid w:val="007B1BAA"/>
    <w:rsid w:val="007B1E70"/>
    <w:rsid w:val="007B1F30"/>
    <w:rsid w:val="007B1F6E"/>
    <w:rsid w:val="007B22E8"/>
    <w:rsid w:val="007B2B9E"/>
    <w:rsid w:val="007B2C29"/>
    <w:rsid w:val="007B4017"/>
    <w:rsid w:val="007B4138"/>
    <w:rsid w:val="007B7640"/>
    <w:rsid w:val="007C025D"/>
    <w:rsid w:val="007C12D5"/>
    <w:rsid w:val="007C21B5"/>
    <w:rsid w:val="007C32AF"/>
    <w:rsid w:val="007C33F5"/>
    <w:rsid w:val="007C3B49"/>
    <w:rsid w:val="007C5502"/>
    <w:rsid w:val="007C5E95"/>
    <w:rsid w:val="007C7391"/>
    <w:rsid w:val="007C76BB"/>
    <w:rsid w:val="007D1975"/>
    <w:rsid w:val="007D248D"/>
    <w:rsid w:val="007D2A1D"/>
    <w:rsid w:val="007D5201"/>
    <w:rsid w:val="007D536C"/>
    <w:rsid w:val="007D67B8"/>
    <w:rsid w:val="007D68B6"/>
    <w:rsid w:val="007D6DA9"/>
    <w:rsid w:val="007E03B1"/>
    <w:rsid w:val="007E07F3"/>
    <w:rsid w:val="007E0DFF"/>
    <w:rsid w:val="007E1160"/>
    <w:rsid w:val="007E173B"/>
    <w:rsid w:val="007E1A6A"/>
    <w:rsid w:val="007E1B4D"/>
    <w:rsid w:val="007E2654"/>
    <w:rsid w:val="007E3E33"/>
    <w:rsid w:val="007E5CD7"/>
    <w:rsid w:val="007E7BBB"/>
    <w:rsid w:val="007F02A6"/>
    <w:rsid w:val="007F0F94"/>
    <w:rsid w:val="007F1900"/>
    <w:rsid w:val="007F1D5A"/>
    <w:rsid w:val="007F1EA2"/>
    <w:rsid w:val="007F2EEE"/>
    <w:rsid w:val="007F363E"/>
    <w:rsid w:val="007F4D83"/>
    <w:rsid w:val="007F78E3"/>
    <w:rsid w:val="007F7C7F"/>
    <w:rsid w:val="00801E9D"/>
    <w:rsid w:val="00803786"/>
    <w:rsid w:val="00803E34"/>
    <w:rsid w:val="008047C6"/>
    <w:rsid w:val="008054C4"/>
    <w:rsid w:val="00807378"/>
    <w:rsid w:val="00807ECF"/>
    <w:rsid w:val="00807F47"/>
    <w:rsid w:val="008105D1"/>
    <w:rsid w:val="00810C04"/>
    <w:rsid w:val="00810F3B"/>
    <w:rsid w:val="008116C6"/>
    <w:rsid w:val="008119D4"/>
    <w:rsid w:val="00811A58"/>
    <w:rsid w:val="00813267"/>
    <w:rsid w:val="00813296"/>
    <w:rsid w:val="00815906"/>
    <w:rsid w:val="0081626E"/>
    <w:rsid w:val="008163AE"/>
    <w:rsid w:val="008166EA"/>
    <w:rsid w:val="00816EAE"/>
    <w:rsid w:val="00817AC0"/>
    <w:rsid w:val="00820A03"/>
    <w:rsid w:val="008219B1"/>
    <w:rsid w:val="00821E92"/>
    <w:rsid w:val="0082388D"/>
    <w:rsid w:val="0082691B"/>
    <w:rsid w:val="00826F23"/>
    <w:rsid w:val="00831925"/>
    <w:rsid w:val="0083308F"/>
    <w:rsid w:val="008368F9"/>
    <w:rsid w:val="008408BE"/>
    <w:rsid w:val="00840B69"/>
    <w:rsid w:val="00841B39"/>
    <w:rsid w:val="00841C33"/>
    <w:rsid w:val="00842F47"/>
    <w:rsid w:val="0084433B"/>
    <w:rsid w:val="00846D56"/>
    <w:rsid w:val="00851B90"/>
    <w:rsid w:val="00852908"/>
    <w:rsid w:val="0085648A"/>
    <w:rsid w:val="00857CA9"/>
    <w:rsid w:val="00861094"/>
    <w:rsid w:val="00862362"/>
    <w:rsid w:val="00862460"/>
    <w:rsid w:val="0086511E"/>
    <w:rsid w:val="008653D7"/>
    <w:rsid w:val="00867508"/>
    <w:rsid w:val="00867787"/>
    <w:rsid w:val="00871D37"/>
    <w:rsid w:val="00871E50"/>
    <w:rsid w:val="00871F01"/>
    <w:rsid w:val="0087207D"/>
    <w:rsid w:val="0087433B"/>
    <w:rsid w:val="00875033"/>
    <w:rsid w:val="008765A5"/>
    <w:rsid w:val="00876FE8"/>
    <w:rsid w:val="00877F4C"/>
    <w:rsid w:val="00880B15"/>
    <w:rsid w:val="00880F6B"/>
    <w:rsid w:val="0088209B"/>
    <w:rsid w:val="0088212B"/>
    <w:rsid w:val="00882570"/>
    <w:rsid w:val="00882B6A"/>
    <w:rsid w:val="0088314C"/>
    <w:rsid w:val="00885AB5"/>
    <w:rsid w:val="008869AC"/>
    <w:rsid w:val="00886C92"/>
    <w:rsid w:val="00890F22"/>
    <w:rsid w:val="00896898"/>
    <w:rsid w:val="008A1BBC"/>
    <w:rsid w:val="008A22AF"/>
    <w:rsid w:val="008A36F7"/>
    <w:rsid w:val="008A7FFA"/>
    <w:rsid w:val="008B2C94"/>
    <w:rsid w:val="008B2D3B"/>
    <w:rsid w:val="008B2F32"/>
    <w:rsid w:val="008B47B8"/>
    <w:rsid w:val="008B58F5"/>
    <w:rsid w:val="008B60C4"/>
    <w:rsid w:val="008B65A2"/>
    <w:rsid w:val="008B6BB2"/>
    <w:rsid w:val="008B73E0"/>
    <w:rsid w:val="008C1DFC"/>
    <w:rsid w:val="008C2528"/>
    <w:rsid w:val="008C3646"/>
    <w:rsid w:val="008C3CD4"/>
    <w:rsid w:val="008C3ED2"/>
    <w:rsid w:val="008C5E37"/>
    <w:rsid w:val="008C622D"/>
    <w:rsid w:val="008C6B8C"/>
    <w:rsid w:val="008C7112"/>
    <w:rsid w:val="008D0FE4"/>
    <w:rsid w:val="008D1251"/>
    <w:rsid w:val="008D1C1F"/>
    <w:rsid w:val="008D3B97"/>
    <w:rsid w:val="008D4309"/>
    <w:rsid w:val="008D4751"/>
    <w:rsid w:val="008D55CD"/>
    <w:rsid w:val="008D5AF6"/>
    <w:rsid w:val="008D5B47"/>
    <w:rsid w:val="008D6F3F"/>
    <w:rsid w:val="008D7B9C"/>
    <w:rsid w:val="008E123B"/>
    <w:rsid w:val="008E2131"/>
    <w:rsid w:val="008E3DA2"/>
    <w:rsid w:val="008E4605"/>
    <w:rsid w:val="008E5338"/>
    <w:rsid w:val="008E71C6"/>
    <w:rsid w:val="008E721A"/>
    <w:rsid w:val="008F2AC0"/>
    <w:rsid w:val="008F324F"/>
    <w:rsid w:val="008F4A75"/>
    <w:rsid w:val="008F4E0A"/>
    <w:rsid w:val="008F4F85"/>
    <w:rsid w:val="008F6667"/>
    <w:rsid w:val="008F6ED4"/>
    <w:rsid w:val="00901568"/>
    <w:rsid w:val="00902216"/>
    <w:rsid w:val="00903BF8"/>
    <w:rsid w:val="0090582D"/>
    <w:rsid w:val="00906F5F"/>
    <w:rsid w:val="00907FCD"/>
    <w:rsid w:val="009105E7"/>
    <w:rsid w:val="009106AD"/>
    <w:rsid w:val="00910885"/>
    <w:rsid w:val="009114E7"/>
    <w:rsid w:val="0091279D"/>
    <w:rsid w:val="00913DAB"/>
    <w:rsid w:val="009145DF"/>
    <w:rsid w:val="00915606"/>
    <w:rsid w:val="00916090"/>
    <w:rsid w:val="00917676"/>
    <w:rsid w:val="009208C3"/>
    <w:rsid w:val="00921B15"/>
    <w:rsid w:val="00922FF6"/>
    <w:rsid w:val="0092313F"/>
    <w:rsid w:val="00923841"/>
    <w:rsid w:val="00924863"/>
    <w:rsid w:val="009309FA"/>
    <w:rsid w:val="009311FC"/>
    <w:rsid w:val="00932D8F"/>
    <w:rsid w:val="00932EC5"/>
    <w:rsid w:val="00934656"/>
    <w:rsid w:val="00934A50"/>
    <w:rsid w:val="009366DF"/>
    <w:rsid w:val="00937923"/>
    <w:rsid w:val="00937F4F"/>
    <w:rsid w:val="00940030"/>
    <w:rsid w:val="009402DE"/>
    <w:rsid w:val="009403A7"/>
    <w:rsid w:val="00941137"/>
    <w:rsid w:val="00941FA2"/>
    <w:rsid w:val="009430AA"/>
    <w:rsid w:val="0094485C"/>
    <w:rsid w:val="00954A3B"/>
    <w:rsid w:val="00955484"/>
    <w:rsid w:val="00956635"/>
    <w:rsid w:val="00960454"/>
    <w:rsid w:val="00960A21"/>
    <w:rsid w:val="00960DBF"/>
    <w:rsid w:val="00961587"/>
    <w:rsid w:val="00961FBF"/>
    <w:rsid w:val="0096263E"/>
    <w:rsid w:val="00963271"/>
    <w:rsid w:val="00963753"/>
    <w:rsid w:val="0096435A"/>
    <w:rsid w:val="00964E80"/>
    <w:rsid w:val="00965105"/>
    <w:rsid w:val="009653CC"/>
    <w:rsid w:val="009655F0"/>
    <w:rsid w:val="00966CAE"/>
    <w:rsid w:val="0096760A"/>
    <w:rsid w:val="00967CBB"/>
    <w:rsid w:val="009704A7"/>
    <w:rsid w:val="009732C7"/>
    <w:rsid w:val="009741F4"/>
    <w:rsid w:val="009749CE"/>
    <w:rsid w:val="00974DC0"/>
    <w:rsid w:val="00976D78"/>
    <w:rsid w:val="009772BA"/>
    <w:rsid w:val="00977391"/>
    <w:rsid w:val="00981074"/>
    <w:rsid w:val="009814CD"/>
    <w:rsid w:val="00982345"/>
    <w:rsid w:val="009837ED"/>
    <w:rsid w:val="00983814"/>
    <w:rsid w:val="009840FC"/>
    <w:rsid w:val="0098466A"/>
    <w:rsid w:val="00993342"/>
    <w:rsid w:val="009934A2"/>
    <w:rsid w:val="00994ED0"/>
    <w:rsid w:val="00995372"/>
    <w:rsid w:val="00995D3F"/>
    <w:rsid w:val="00996440"/>
    <w:rsid w:val="00996D1B"/>
    <w:rsid w:val="00996F24"/>
    <w:rsid w:val="009A10C1"/>
    <w:rsid w:val="009A13CF"/>
    <w:rsid w:val="009A1B80"/>
    <w:rsid w:val="009A2D14"/>
    <w:rsid w:val="009A2EFA"/>
    <w:rsid w:val="009A2EFC"/>
    <w:rsid w:val="009A4207"/>
    <w:rsid w:val="009A54B2"/>
    <w:rsid w:val="009A5FAB"/>
    <w:rsid w:val="009A6EC0"/>
    <w:rsid w:val="009A73BA"/>
    <w:rsid w:val="009B0777"/>
    <w:rsid w:val="009B10FF"/>
    <w:rsid w:val="009B1172"/>
    <w:rsid w:val="009B2049"/>
    <w:rsid w:val="009B26E0"/>
    <w:rsid w:val="009B2BC8"/>
    <w:rsid w:val="009B2BE6"/>
    <w:rsid w:val="009B3442"/>
    <w:rsid w:val="009B36F9"/>
    <w:rsid w:val="009B4378"/>
    <w:rsid w:val="009B537C"/>
    <w:rsid w:val="009B6639"/>
    <w:rsid w:val="009C0407"/>
    <w:rsid w:val="009C1B88"/>
    <w:rsid w:val="009C22EA"/>
    <w:rsid w:val="009C3001"/>
    <w:rsid w:val="009C44EB"/>
    <w:rsid w:val="009C5349"/>
    <w:rsid w:val="009C6486"/>
    <w:rsid w:val="009C6A20"/>
    <w:rsid w:val="009C7988"/>
    <w:rsid w:val="009D0FE1"/>
    <w:rsid w:val="009D1266"/>
    <w:rsid w:val="009D2CEE"/>
    <w:rsid w:val="009D32A0"/>
    <w:rsid w:val="009D44AE"/>
    <w:rsid w:val="009D4D0F"/>
    <w:rsid w:val="009E0B52"/>
    <w:rsid w:val="009E0CAD"/>
    <w:rsid w:val="009E1F2C"/>
    <w:rsid w:val="009E2AFC"/>
    <w:rsid w:val="009E3D62"/>
    <w:rsid w:val="009E507D"/>
    <w:rsid w:val="009E55B7"/>
    <w:rsid w:val="009E7D5F"/>
    <w:rsid w:val="009F1478"/>
    <w:rsid w:val="009F2C4D"/>
    <w:rsid w:val="009F31F6"/>
    <w:rsid w:val="009F3A22"/>
    <w:rsid w:val="009F417E"/>
    <w:rsid w:val="009F477F"/>
    <w:rsid w:val="009F4811"/>
    <w:rsid w:val="009F4D0F"/>
    <w:rsid w:val="009F6123"/>
    <w:rsid w:val="009F613C"/>
    <w:rsid w:val="00A01A8D"/>
    <w:rsid w:val="00A02535"/>
    <w:rsid w:val="00A0265F"/>
    <w:rsid w:val="00A037AB"/>
    <w:rsid w:val="00A041F9"/>
    <w:rsid w:val="00A06276"/>
    <w:rsid w:val="00A06368"/>
    <w:rsid w:val="00A07266"/>
    <w:rsid w:val="00A076CD"/>
    <w:rsid w:val="00A07B2E"/>
    <w:rsid w:val="00A07C8F"/>
    <w:rsid w:val="00A102C0"/>
    <w:rsid w:val="00A10B44"/>
    <w:rsid w:val="00A11B3B"/>
    <w:rsid w:val="00A11ED8"/>
    <w:rsid w:val="00A124EA"/>
    <w:rsid w:val="00A13F98"/>
    <w:rsid w:val="00A14431"/>
    <w:rsid w:val="00A144CA"/>
    <w:rsid w:val="00A14B60"/>
    <w:rsid w:val="00A15324"/>
    <w:rsid w:val="00A2120E"/>
    <w:rsid w:val="00A22A01"/>
    <w:rsid w:val="00A23F6D"/>
    <w:rsid w:val="00A24B81"/>
    <w:rsid w:val="00A27A70"/>
    <w:rsid w:val="00A3012A"/>
    <w:rsid w:val="00A30B9A"/>
    <w:rsid w:val="00A32D07"/>
    <w:rsid w:val="00A346DF"/>
    <w:rsid w:val="00A3581B"/>
    <w:rsid w:val="00A368BD"/>
    <w:rsid w:val="00A372B7"/>
    <w:rsid w:val="00A40788"/>
    <w:rsid w:val="00A4104B"/>
    <w:rsid w:val="00A419F8"/>
    <w:rsid w:val="00A42257"/>
    <w:rsid w:val="00A42680"/>
    <w:rsid w:val="00A44733"/>
    <w:rsid w:val="00A447A7"/>
    <w:rsid w:val="00A44D30"/>
    <w:rsid w:val="00A454D5"/>
    <w:rsid w:val="00A4566A"/>
    <w:rsid w:val="00A4586C"/>
    <w:rsid w:val="00A460D5"/>
    <w:rsid w:val="00A468AA"/>
    <w:rsid w:val="00A46BF9"/>
    <w:rsid w:val="00A475DD"/>
    <w:rsid w:val="00A47B1D"/>
    <w:rsid w:val="00A501F9"/>
    <w:rsid w:val="00A50CCA"/>
    <w:rsid w:val="00A5370A"/>
    <w:rsid w:val="00A550FC"/>
    <w:rsid w:val="00A55412"/>
    <w:rsid w:val="00A557D7"/>
    <w:rsid w:val="00A56D34"/>
    <w:rsid w:val="00A60048"/>
    <w:rsid w:val="00A62DFF"/>
    <w:rsid w:val="00A6419D"/>
    <w:rsid w:val="00A64976"/>
    <w:rsid w:val="00A65613"/>
    <w:rsid w:val="00A65F13"/>
    <w:rsid w:val="00A703CD"/>
    <w:rsid w:val="00A719D7"/>
    <w:rsid w:val="00A71F8C"/>
    <w:rsid w:val="00A73BB8"/>
    <w:rsid w:val="00A80796"/>
    <w:rsid w:val="00A821BA"/>
    <w:rsid w:val="00A82971"/>
    <w:rsid w:val="00A8372A"/>
    <w:rsid w:val="00A8528A"/>
    <w:rsid w:val="00A8566E"/>
    <w:rsid w:val="00A85C28"/>
    <w:rsid w:val="00A85F00"/>
    <w:rsid w:val="00A905B9"/>
    <w:rsid w:val="00A9086C"/>
    <w:rsid w:val="00A9095E"/>
    <w:rsid w:val="00A90A26"/>
    <w:rsid w:val="00A90AC8"/>
    <w:rsid w:val="00A9170E"/>
    <w:rsid w:val="00A9274B"/>
    <w:rsid w:val="00A9441D"/>
    <w:rsid w:val="00A94FA8"/>
    <w:rsid w:val="00A95964"/>
    <w:rsid w:val="00A9600F"/>
    <w:rsid w:val="00AA03EF"/>
    <w:rsid w:val="00AA048D"/>
    <w:rsid w:val="00AA1177"/>
    <w:rsid w:val="00AA3DE3"/>
    <w:rsid w:val="00AA4E96"/>
    <w:rsid w:val="00AA4EAB"/>
    <w:rsid w:val="00AA4F87"/>
    <w:rsid w:val="00AA5817"/>
    <w:rsid w:val="00AA721A"/>
    <w:rsid w:val="00AB074B"/>
    <w:rsid w:val="00AB0A6D"/>
    <w:rsid w:val="00AB17C7"/>
    <w:rsid w:val="00AB19A6"/>
    <w:rsid w:val="00AB1B8F"/>
    <w:rsid w:val="00AB1FEB"/>
    <w:rsid w:val="00AB2AE0"/>
    <w:rsid w:val="00AB2C1B"/>
    <w:rsid w:val="00AB5384"/>
    <w:rsid w:val="00AB62B9"/>
    <w:rsid w:val="00AB6A46"/>
    <w:rsid w:val="00AB7803"/>
    <w:rsid w:val="00AC347F"/>
    <w:rsid w:val="00AC443D"/>
    <w:rsid w:val="00AC75DD"/>
    <w:rsid w:val="00AD0825"/>
    <w:rsid w:val="00AD27E5"/>
    <w:rsid w:val="00AD31C5"/>
    <w:rsid w:val="00AD3937"/>
    <w:rsid w:val="00AD3B36"/>
    <w:rsid w:val="00AD481E"/>
    <w:rsid w:val="00AD5BA9"/>
    <w:rsid w:val="00AE0A20"/>
    <w:rsid w:val="00AE2EB4"/>
    <w:rsid w:val="00AE3208"/>
    <w:rsid w:val="00AE361C"/>
    <w:rsid w:val="00AF010B"/>
    <w:rsid w:val="00AF047C"/>
    <w:rsid w:val="00AF0D84"/>
    <w:rsid w:val="00AF0EDF"/>
    <w:rsid w:val="00AF1A5B"/>
    <w:rsid w:val="00AF3C64"/>
    <w:rsid w:val="00AF3DDB"/>
    <w:rsid w:val="00AF4C10"/>
    <w:rsid w:val="00AF5259"/>
    <w:rsid w:val="00AF557B"/>
    <w:rsid w:val="00AF761E"/>
    <w:rsid w:val="00AF7D36"/>
    <w:rsid w:val="00B008C3"/>
    <w:rsid w:val="00B00A51"/>
    <w:rsid w:val="00B018C7"/>
    <w:rsid w:val="00B025B5"/>
    <w:rsid w:val="00B02F73"/>
    <w:rsid w:val="00B037E6"/>
    <w:rsid w:val="00B0385E"/>
    <w:rsid w:val="00B04EB0"/>
    <w:rsid w:val="00B04F9A"/>
    <w:rsid w:val="00B05B4F"/>
    <w:rsid w:val="00B05DBA"/>
    <w:rsid w:val="00B06B83"/>
    <w:rsid w:val="00B07B81"/>
    <w:rsid w:val="00B102FF"/>
    <w:rsid w:val="00B106D2"/>
    <w:rsid w:val="00B10CDD"/>
    <w:rsid w:val="00B11BB4"/>
    <w:rsid w:val="00B11D88"/>
    <w:rsid w:val="00B12154"/>
    <w:rsid w:val="00B12B13"/>
    <w:rsid w:val="00B1388D"/>
    <w:rsid w:val="00B1406C"/>
    <w:rsid w:val="00B158E2"/>
    <w:rsid w:val="00B16225"/>
    <w:rsid w:val="00B16DD2"/>
    <w:rsid w:val="00B1745E"/>
    <w:rsid w:val="00B17A6D"/>
    <w:rsid w:val="00B20F84"/>
    <w:rsid w:val="00B21A69"/>
    <w:rsid w:val="00B22557"/>
    <w:rsid w:val="00B2304B"/>
    <w:rsid w:val="00B2305B"/>
    <w:rsid w:val="00B241ED"/>
    <w:rsid w:val="00B24825"/>
    <w:rsid w:val="00B24FA9"/>
    <w:rsid w:val="00B25D31"/>
    <w:rsid w:val="00B27403"/>
    <w:rsid w:val="00B276F2"/>
    <w:rsid w:val="00B27CF1"/>
    <w:rsid w:val="00B3023E"/>
    <w:rsid w:val="00B30818"/>
    <w:rsid w:val="00B31005"/>
    <w:rsid w:val="00B31175"/>
    <w:rsid w:val="00B31302"/>
    <w:rsid w:val="00B3165C"/>
    <w:rsid w:val="00B31DED"/>
    <w:rsid w:val="00B3305A"/>
    <w:rsid w:val="00B33D73"/>
    <w:rsid w:val="00B34EFC"/>
    <w:rsid w:val="00B356CA"/>
    <w:rsid w:val="00B35D3C"/>
    <w:rsid w:val="00B36925"/>
    <w:rsid w:val="00B37037"/>
    <w:rsid w:val="00B37C5A"/>
    <w:rsid w:val="00B405DF"/>
    <w:rsid w:val="00B4080E"/>
    <w:rsid w:val="00B40AF4"/>
    <w:rsid w:val="00B411BD"/>
    <w:rsid w:val="00B41A4C"/>
    <w:rsid w:val="00B43B29"/>
    <w:rsid w:val="00B44482"/>
    <w:rsid w:val="00B46CF5"/>
    <w:rsid w:val="00B47727"/>
    <w:rsid w:val="00B479B2"/>
    <w:rsid w:val="00B5035D"/>
    <w:rsid w:val="00B51993"/>
    <w:rsid w:val="00B528C5"/>
    <w:rsid w:val="00B5333E"/>
    <w:rsid w:val="00B53A85"/>
    <w:rsid w:val="00B55093"/>
    <w:rsid w:val="00B55AAF"/>
    <w:rsid w:val="00B55CB5"/>
    <w:rsid w:val="00B55CD8"/>
    <w:rsid w:val="00B56EFF"/>
    <w:rsid w:val="00B62B48"/>
    <w:rsid w:val="00B62CE9"/>
    <w:rsid w:val="00B6313E"/>
    <w:rsid w:val="00B64848"/>
    <w:rsid w:val="00B651DC"/>
    <w:rsid w:val="00B65A9F"/>
    <w:rsid w:val="00B67814"/>
    <w:rsid w:val="00B67E24"/>
    <w:rsid w:val="00B7033F"/>
    <w:rsid w:val="00B70CFD"/>
    <w:rsid w:val="00B71E09"/>
    <w:rsid w:val="00B741A5"/>
    <w:rsid w:val="00B741D0"/>
    <w:rsid w:val="00B74B62"/>
    <w:rsid w:val="00B75680"/>
    <w:rsid w:val="00B75A29"/>
    <w:rsid w:val="00B81C32"/>
    <w:rsid w:val="00B8205E"/>
    <w:rsid w:val="00B823B0"/>
    <w:rsid w:val="00B828A4"/>
    <w:rsid w:val="00B83C7C"/>
    <w:rsid w:val="00B8467A"/>
    <w:rsid w:val="00B91B45"/>
    <w:rsid w:val="00B929B3"/>
    <w:rsid w:val="00B93C76"/>
    <w:rsid w:val="00B94E6F"/>
    <w:rsid w:val="00B96446"/>
    <w:rsid w:val="00B97ED3"/>
    <w:rsid w:val="00B97EF4"/>
    <w:rsid w:val="00BA0261"/>
    <w:rsid w:val="00BA1E10"/>
    <w:rsid w:val="00BA285B"/>
    <w:rsid w:val="00BA32B8"/>
    <w:rsid w:val="00BA3EB3"/>
    <w:rsid w:val="00BA4848"/>
    <w:rsid w:val="00BA4C99"/>
    <w:rsid w:val="00BA5230"/>
    <w:rsid w:val="00BA6E74"/>
    <w:rsid w:val="00BA727E"/>
    <w:rsid w:val="00BB29C4"/>
    <w:rsid w:val="00BB4E9F"/>
    <w:rsid w:val="00BC0CB3"/>
    <w:rsid w:val="00BC1328"/>
    <w:rsid w:val="00BC2A48"/>
    <w:rsid w:val="00BC304C"/>
    <w:rsid w:val="00BC32C4"/>
    <w:rsid w:val="00BC3A33"/>
    <w:rsid w:val="00BC447C"/>
    <w:rsid w:val="00BC5A94"/>
    <w:rsid w:val="00BC6661"/>
    <w:rsid w:val="00BC6B2B"/>
    <w:rsid w:val="00BC6FAF"/>
    <w:rsid w:val="00BC7D2E"/>
    <w:rsid w:val="00BD317C"/>
    <w:rsid w:val="00BD3858"/>
    <w:rsid w:val="00BD5C8B"/>
    <w:rsid w:val="00BD6A4B"/>
    <w:rsid w:val="00BD6E16"/>
    <w:rsid w:val="00BD73A0"/>
    <w:rsid w:val="00BD7E9F"/>
    <w:rsid w:val="00BE0C5E"/>
    <w:rsid w:val="00BE0CC2"/>
    <w:rsid w:val="00BE15C0"/>
    <w:rsid w:val="00BE1EAF"/>
    <w:rsid w:val="00BE32E7"/>
    <w:rsid w:val="00BE4236"/>
    <w:rsid w:val="00BE543A"/>
    <w:rsid w:val="00BE5A30"/>
    <w:rsid w:val="00BE5CB7"/>
    <w:rsid w:val="00BE68BF"/>
    <w:rsid w:val="00BE727C"/>
    <w:rsid w:val="00BE7947"/>
    <w:rsid w:val="00BE7AD9"/>
    <w:rsid w:val="00BF0ABE"/>
    <w:rsid w:val="00BF2F38"/>
    <w:rsid w:val="00BF4270"/>
    <w:rsid w:val="00BF5F9E"/>
    <w:rsid w:val="00BF6593"/>
    <w:rsid w:val="00BF69B4"/>
    <w:rsid w:val="00BF6AD1"/>
    <w:rsid w:val="00C013E7"/>
    <w:rsid w:val="00C0183A"/>
    <w:rsid w:val="00C0187A"/>
    <w:rsid w:val="00C03138"/>
    <w:rsid w:val="00C03DF8"/>
    <w:rsid w:val="00C05E92"/>
    <w:rsid w:val="00C069F8"/>
    <w:rsid w:val="00C07405"/>
    <w:rsid w:val="00C10EF3"/>
    <w:rsid w:val="00C111EC"/>
    <w:rsid w:val="00C14D5C"/>
    <w:rsid w:val="00C1580B"/>
    <w:rsid w:val="00C15E6B"/>
    <w:rsid w:val="00C1615E"/>
    <w:rsid w:val="00C168B3"/>
    <w:rsid w:val="00C17770"/>
    <w:rsid w:val="00C20A2E"/>
    <w:rsid w:val="00C22F78"/>
    <w:rsid w:val="00C23F25"/>
    <w:rsid w:val="00C25909"/>
    <w:rsid w:val="00C308D6"/>
    <w:rsid w:val="00C309EC"/>
    <w:rsid w:val="00C31188"/>
    <w:rsid w:val="00C315C6"/>
    <w:rsid w:val="00C31EEB"/>
    <w:rsid w:val="00C32A78"/>
    <w:rsid w:val="00C33193"/>
    <w:rsid w:val="00C334C2"/>
    <w:rsid w:val="00C3366D"/>
    <w:rsid w:val="00C34276"/>
    <w:rsid w:val="00C36426"/>
    <w:rsid w:val="00C37106"/>
    <w:rsid w:val="00C3763B"/>
    <w:rsid w:val="00C376C7"/>
    <w:rsid w:val="00C37A68"/>
    <w:rsid w:val="00C40822"/>
    <w:rsid w:val="00C41B52"/>
    <w:rsid w:val="00C42748"/>
    <w:rsid w:val="00C43BE7"/>
    <w:rsid w:val="00C43EA1"/>
    <w:rsid w:val="00C45728"/>
    <w:rsid w:val="00C46AD1"/>
    <w:rsid w:val="00C476BE"/>
    <w:rsid w:val="00C53D29"/>
    <w:rsid w:val="00C5415B"/>
    <w:rsid w:val="00C55375"/>
    <w:rsid w:val="00C554A0"/>
    <w:rsid w:val="00C561F4"/>
    <w:rsid w:val="00C617C4"/>
    <w:rsid w:val="00C61A07"/>
    <w:rsid w:val="00C627E2"/>
    <w:rsid w:val="00C629EC"/>
    <w:rsid w:val="00C62D22"/>
    <w:rsid w:val="00C63356"/>
    <w:rsid w:val="00C64646"/>
    <w:rsid w:val="00C64654"/>
    <w:rsid w:val="00C6470A"/>
    <w:rsid w:val="00C66028"/>
    <w:rsid w:val="00C66B9A"/>
    <w:rsid w:val="00C66DD2"/>
    <w:rsid w:val="00C67C9C"/>
    <w:rsid w:val="00C71703"/>
    <w:rsid w:val="00C726C6"/>
    <w:rsid w:val="00C733C1"/>
    <w:rsid w:val="00C73D96"/>
    <w:rsid w:val="00C74CE1"/>
    <w:rsid w:val="00C75247"/>
    <w:rsid w:val="00C7608B"/>
    <w:rsid w:val="00C76811"/>
    <w:rsid w:val="00C76A05"/>
    <w:rsid w:val="00C76DAC"/>
    <w:rsid w:val="00C80687"/>
    <w:rsid w:val="00C8081F"/>
    <w:rsid w:val="00C80EC8"/>
    <w:rsid w:val="00C80F09"/>
    <w:rsid w:val="00C8100F"/>
    <w:rsid w:val="00C811BE"/>
    <w:rsid w:val="00C820C1"/>
    <w:rsid w:val="00C83011"/>
    <w:rsid w:val="00C83F4A"/>
    <w:rsid w:val="00C844E6"/>
    <w:rsid w:val="00C84761"/>
    <w:rsid w:val="00C84AFD"/>
    <w:rsid w:val="00C8587A"/>
    <w:rsid w:val="00C85D78"/>
    <w:rsid w:val="00C8622C"/>
    <w:rsid w:val="00C86D09"/>
    <w:rsid w:val="00C87860"/>
    <w:rsid w:val="00C904E5"/>
    <w:rsid w:val="00C91C46"/>
    <w:rsid w:val="00C935DB"/>
    <w:rsid w:val="00C93D4F"/>
    <w:rsid w:val="00C959BD"/>
    <w:rsid w:val="00C9667B"/>
    <w:rsid w:val="00C97050"/>
    <w:rsid w:val="00C97AC4"/>
    <w:rsid w:val="00CA0D67"/>
    <w:rsid w:val="00CA0E4D"/>
    <w:rsid w:val="00CA3481"/>
    <w:rsid w:val="00CA3E6D"/>
    <w:rsid w:val="00CA5C0B"/>
    <w:rsid w:val="00CA5F87"/>
    <w:rsid w:val="00CA5F94"/>
    <w:rsid w:val="00CA6839"/>
    <w:rsid w:val="00CA6BBD"/>
    <w:rsid w:val="00CA6D38"/>
    <w:rsid w:val="00CA7ACF"/>
    <w:rsid w:val="00CB035B"/>
    <w:rsid w:val="00CB0622"/>
    <w:rsid w:val="00CB11E6"/>
    <w:rsid w:val="00CB22F6"/>
    <w:rsid w:val="00CB23AC"/>
    <w:rsid w:val="00CB281B"/>
    <w:rsid w:val="00CB37C7"/>
    <w:rsid w:val="00CB3C82"/>
    <w:rsid w:val="00CB4460"/>
    <w:rsid w:val="00CB4AD3"/>
    <w:rsid w:val="00CB58CB"/>
    <w:rsid w:val="00CB751C"/>
    <w:rsid w:val="00CC01E0"/>
    <w:rsid w:val="00CC1B81"/>
    <w:rsid w:val="00CC238C"/>
    <w:rsid w:val="00CC3CAF"/>
    <w:rsid w:val="00CC3EE6"/>
    <w:rsid w:val="00CC4650"/>
    <w:rsid w:val="00CC4BA9"/>
    <w:rsid w:val="00CC57AB"/>
    <w:rsid w:val="00CD1528"/>
    <w:rsid w:val="00CD1ACD"/>
    <w:rsid w:val="00CD3A7A"/>
    <w:rsid w:val="00CD3EFB"/>
    <w:rsid w:val="00CD459B"/>
    <w:rsid w:val="00CD4660"/>
    <w:rsid w:val="00CD4E89"/>
    <w:rsid w:val="00CD59CC"/>
    <w:rsid w:val="00CD5B36"/>
    <w:rsid w:val="00CD66A2"/>
    <w:rsid w:val="00CD79FC"/>
    <w:rsid w:val="00CD7A2D"/>
    <w:rsid w:val="00CE03DC"/>
    <w:rsid w:val="00CE0F2D"/>
    <w:rsid w:val="00CE16AC"/>
    <w:rsid w:val="00CE1844"/>
    <w:rsid w:val="00CE1BE5"/>
    <w:rsid w:val="00CE2720"/>
    <w:rsid w:val="00CE2B1D"/>
    <w:rsid w:val="00CE3821"/>
    <w:rsid w:val="00CE3D3D"/>
    <w:rsid w:val="00CE667A"/>
    <w:rsid w:val="00CE6A21"/>
    <w:rsid w:val="00CE6BD3"/>
    <w:rsid w:val="00CF063D"/>
    <w:rsid w:val="00CF0845"/>
    <w:rsid w:val="00CF0B79"/>
    <w:rsid w:val="00CF0BD4"/>
    <w:rsid w:val="00CF1905"/>
    <w:rsid w:val="00CF4500"/>
    <w:rsid w:val="00CF4A10"/>
    <w:rsid w:val="00CF70B8"/>
    <w:rsid w:val="00CF722F"/>
    <w:rsid w:val="00CF7771"/>
    <w:rsid w:val="00D0102F"/>
    <w:rsid w:val="00D016BB"/>
    <w:rsid w:val="00D0431F"/>
    <w:rsid w:val="00D0448A"/>
    <w:rsid w:val="00D0463F"/>
    <w:rsid w:val="00D04996"/>
    <w:rsid w:val="00D04BD9"/>
    <w:rsid w:val="00D04DCD"/>
    <w:rsid w:val="00D0654C"/>
    <w:rsid w:val="00D06E2B"/>
    <w:rsid w:val="00D0770C"/>
    <w:rsid w:val="00D103A3"/>
    <w:rsid w:val="00D11B12"/>
    <w:rsid w:val="00D13FB1"/>
    <w:rsid w:val="00D1443C"/>
    <w:rsid w:val="00D166C6"/>
    <w:rsid w:val="00D1691C"/>
    <w:rsid w:val="00D16B3B"/>
    <w:rsid w:val="00D1751C"/>
    <w:rsid w:val="00D1779C"/>
    <w:rsid w:val="00D2037A"/>
    <w:rsid w:val="00D20D2B"/>
    <w:rsid w:val="00D20DFB"/>
    <w:rsid w:val="00D212C0"/>
    <w:rsid w:val="00D217F5"/>
    <w:rsid w:val="00D21A1C"/>
    <w:rsid w:val="00D21F19"/>
    <w:rsid w:val="00D2210B"/>
    <w:rsid w:val="00D24C4A"/>
    <w:rsid w:val="00D24C4F"/>
    <w:rsid w:val="00D252C5"/>
    <w:rsid w:val="00D252E1"/>
    <w:rsid w:val="00D253E3"/>
    <w:rsid w:val="00D25E89"/>
    <w:rsid w:val="00D269B2"/>
    <w:rsid w:val="00D27419"/>
    <w:rsid w:val="00D3039C"/>
    <w:rsid w:val="00D3157C"/>
    <w:rsid w:val="00D34526"/>
    <w:rsid w:val="00D34782"/>
    <w:rsid w:val="00D347D8"/>
    <w:rsid w:val="00D34B19"/>
    <w:rsid w:val="00D35A67"/>
    <w:rsid w:val="00D35CC6"/>
    <w:rsid w:val="00D40512"/>
    <w:rsid w:val="00D40715"/>
    <w:rsid w:val="00D40D7F"/>
    <w:rsid w:val="00D4121E"/>
    <w:rsid w:val="00D41D5C"/>
    <w:rsid w:val="00D43039"/>
    <w:rsid w:val="00D44F8C"/>
    <w:rsid w:val="00D460E9"/>
    <w:rsid w:val="00D46A7C"/>
    <w:rsid w:val="00D4752E"/>
    <w:rsid w:val="00D47BF5"/>
    <w:rsid w:val="00D53AFD"/>
    <w:rsid w:val="00D54508"/>
    <w:rsid w:val="00D54667"/>
    <w:rsid w:val="00D568C2"/>
    <w:rsid w:val="00D56AC8"/>
    <w:rsid w:val="00D573F8"/>
    <w:rsid w:val="00D5779D"/>
    <w:rsid w:val="00D60390"/>
    <w:rsid w:val="00D61190"/>
    <w:rsid w:val="00D6123A"/>
    <w:rsid w:val="00D635F8"/>
    <w:rsid w:val="00D636D3"/>
    <w:rsid w:val="00D63BEB"/>
    <w:rsid w:val="00D63D93"/>
    <w:rsid w:val="00D65725"/>
    <w:rsid w:val="00D65E44"/>
    <w:rsid w:val="00D678A1"/>
    <w:rsid w:val="00D67E06"/>
    <w:rsid w:val="00D70365"/>
    <w:rsid w:val="00D72BF0"/>
    <w:rsid w:val="00D72DEE"/>
    <w:rsid w:val="00D73201"/>
    <w:rsid w:val="00D74A3F"/>
    <w:rsid w:val="00D74BF0"/>
    <w:rsid w:val="00D7578C"/>
    <w:rsid w:val="00D75805"/>
    <w:rsid w:val="00D76848"/>
    <w:rsid w:val="00D76934"/>
    <w:rsid w:val="00D81296"/>
    <w:rsid w:val="00D81BA4"/>
    <w:rsid w:val="00D8214E"/>
    <w:rsid w:val="00D82B23"/>
    <w:rsid w:val="00D82B77"/>
    <w:rsid w:val="00D8444A"/>
    <w:rsid w:val="00D8450B"/>
    <w:rsid w:val="00D85B55"/>
    <w:rsid w:val="00D864B3"/>
    <w:rsid w:val="00D86BF1"/>
    <w:rsid w:val="00D919BE"/>
    <w:rsid w:val="00D91C87"/>
    <w:rsid w:val="00D91F49"/>
    <w:rsid w:val="00D92BC7"/>
    <w:rsid w:val="00D937B8"/>
    <w:rsid w:val="00D93AB8"/>
    <w:rsid w:val="00D948E1"/>
    <w:rsid w:val="00D95C13"/>
    <w:rsid w:val="00D96490"/>
    <w:rsid w:val="00DA0744"/>
    <w:rsid w:val="00DA0BFC"/>
    <w:rsid w:val="00DA0EFA"/>
    <w:rsid w:val="00DA3021"/>
    <w:rsid w:val="00DA4401"/>
    <w:rsid w:val="00DA5966"/>
    <w:rsid w:val="00DA669F"/>
    <w:rsid w:val="00DA7984"/>
    <w:rsid w:val="00DB012F"/>
    <w:rsid w:val="00DB2CF8"/>
    <w:rsid w:val="00DB6E13"/>
    <w:rsid w:val="00DB72A4"/>
    <w:rsid w:val="00DC1F5E"/>
    <w:rsid w:val="00DC2773"/>
    <w:rsid w:val="00DC3E8F"/>
    <w:rsid w:val="00DC49F0"/>
    <w:rsid w:val="00DC4FE8"/>
    <w:rsid w:val="00DC5217"/>
    <w:rsid w:val="00DC630F"/>
    <w:rsid w:val="00DC68A2"/>
    <w:rsid w:val="00DC68B7"/>
    <w:rsid w:val="00DC6A03"/>
    <w:rsid w:val="00DC7059"/>
    <w:rsid w:val="00DD3B68"/>
    <w:rsid w:val="00DD53D7"/>
    <w:rsid w:val="00DD6012"/>
    <w:rsid w:val="00DD74F6"/>
    <w:rsid w:val="00DD7D54"/>
    <w:rsid w:val="00DD7E63"/>
    <w:rsid w:val="00DD7F1E"/>
    <w:rsid w:val="00DE1ED6"/>
    <w:rsid w:val="00DE249C"/>
    <w:rsid w:val="00DE3996"/>
    <w:rsid w:val="00DE471B"/>
    <w:rsid w:val="00DE4AAD"/>
    <w:rsid w:val="00DF1D2F"/>
    <w:rsid w:val="00DF2CBA"/>
    <w:rsid w:val="00DF2DD2"/>
    <w:rsid w:val="00DF3034"/>
    <w:rsid w:val="00DF38A9"/>
    <w:rsid w:val="00DF461A"/>
    <w:rsid w:val="00DF6553"/>
    <w:rsid w:val="00DF78AE"/>
    <w:rsid w:val="00E0090D"/>
    <w:rsid w:val="00E01FE5"/>
    <w:rsid w:val="00E02C09"/>
    <w:rsid w:val="00E0315B"/>
    <w:rsid w:val="00E03B75"/>
    <w:rsid w:val="00E03E1C"/>
    <w:rsid w:val="00E04499"/>
    <w:rsid w:val="00E068F0"/>
    <w:rsid w:val="00E06F24"/>
    <w:rsid w:val="00E10501"/>
    <w:rsid w:val="00E10B68"/>
    <w:rsid w:val="00E10FEA"/>
    <w:rsid w:val="00E126FA"/>
    <w:rsid w:val="00E1463F"/>
    <w:rsid w:val="00E147A7"/>
    <w:rsid w:val="00E14B2D"/>
    <w:rsid w:val="00E14F21"/>
    <w:rsid w:val="00E15442"/>
    <w:rsid w:val="00E1549E"/>
    <w:rsid w:val="00E170FB"/>
    <w:rsid w:val="00E218E2"/>
    <w:rsid w:val="00E21C94"/>
    <w:rsid w:val="00E22984"/>
    <w:rsid w:val="00E22B65"/>
    <w:rsid w:val="00E23A5B"/>
    <w:rsid w:val="00E24E7B"/>
    <w:rsid w:val="00E254AF"/>
    <w:rsid w:val="00E254D8"/>
    <w:rsid w:val="00E2550B"/>
    <w:rsid w:val="00E26558"/>
    <w:rsid w:val="00E30BC7"/>
    <w:rsid w:val="00E30F3F"/>
    <w:rsid w:val="00E31246"/>
    <w:rsid w:val="00E324CC"/>
    <w:rsid w:val="00E32BCC"/>
    <w:rsid w:val="00E33BFC"/>
    <w:rsid w:val="00E3465E"/>
    <w:rsid w:val="00E34CF1"/>
    <w:rsid w:val="00E350D8"/>
    <w:rsid w:val="00E35FF4"/>
    <w:rsid w:val="00E3640E"/>
    <w:rsid w:val="00E36EEB"/>
    <w:rsid w:val="00E37BD4"/>
    <w:rsid w:val="00E37DE0"/>
    <w:rsid w:val="00E404E6"/>
    <w:rsid w:val="00E41272"/>
    <w:rsid w:val="00E41AC3"/>
    <w:rsid w:val="00E41D44"/>
    <w:rsid w:val="00E4373B"/>
    <w:rsid w:val="00E43962"/>
    <w:rsid w:val="00E44069"/>
    <w:rsid w:val="00E4439C"/>
    <w:rsid w:val="00E44EED"/>
    <w:rsid w:val="00E5284D"/>
    <w:rsid w:val="00E53657"/>
    <w:rsid w:val="00E54402"/>
    <w:rsid w:val="00E57E27"/>
    <w:rsid w:val="00E57FAD"/>
    <w:rsid w:val="00E62114"/>
    <w:rsid w:val="00E62344"/>
    <w:rsid w:val="00E62FA7"/>
    <w:rsid w:val="00E64559"/>
    <w:rsid w:val="00E64C60"/>
    <w:rsid w:val="00E65E8D"/>
    <w:rsid w:val="00E666A1"/>
    <w:rsid w:val="00E6793D"/>
    <w:rsid w:val="00E712C0"/>
    <w:rsid w:val="00E71807"/>
    <w:rsid w:val="00E73551"/>
    <w:rsid w:val="00E74157"/>
    <w:rsid w:val="00E748CB"/>
    <w:rsid w:val="00E74A4C"/>
    <w:rsid w:val="00E761DE"/>
    <w:rsid w:val="00E76A3E"/>
    <w:rsid w:val="00E807F2"/>
    <w:rsid w:val="00E80B8E"/>
    <w:rsid w:val="00E80DEC"/>
    <w:rsid w:val="00E80EE8"/>
    <w:rsid w:val="00E81642"/>
    <w:rsid w:val="00E820BA"/>
    <w:rsid w:val="00E8223D"/>
    <w:rsid w:val="00E8289C"/>
    <w:rsid w:val="00E83098"/>
    <w:rsid w:val="00E8451D"/>
    <w:rsid w:val="00E845D7"/>
    <w:rsid w:val="00E84A63"/>
    <w:rsid w:val="00E86259"/>
    <w:rsid w:val="00E90730"/>
    <w:rsid w:val="00E91756"/>
    <w:rsid w:val="00E9179D"/>
    <w:rsid w:val="00E9322C"/>
    <w:rsid w:val="00E93A0B"/>
    <w:rsid w:val="00E943D9"/>
    <w:rsid w:val="00E947E4"/>
    <w:rsid w:val="00E9526A"/>
    <w:rsid w:val="00E95505"/>
    <w:rsid w:val="00E96739"/>
    <w:rsid w:val="00E96BEF"/>
    <w:rsid w:val="00E96D04"/>
    <w:rsid w:val="00E96E5D"/>
    <w:rsid w:val="00EA291E"/>
    <w:rsid w:val="00EA3951"/>
    <w:rsid w:val="00EA39BA"/>
    <w:rsid w:val="00EA5F87"/>
    <w:rsid w:val="00EA6615"/>
    <w:rsid w:val="00EA6BA6"/>
    <w:rsid w:val="00EA7C82"/>
    <w:rsid w:val="00EA7FC1"/>
    <w:rsid w:val="00EB1838"/>
    <w:rsid w:val="00EB1BCB"/>
    <w:rsid w:val="00EB1EEA"/>
    <w:rsid w:val="00EB3354"/>
    <w:rsid w:val="00EB34FF"/>
    <w:rsid w:val="00EB792C"/>
    <w:rsid w:val="00EC0B1C"/>
    <w:rsid w:val="00EC0EF6"/>
    <w:rsid w:val="00EC1552"/>
    <w:rsid w:val="00EC34B6"/>
    <w:rsid w:val="00EC42F1"/>
    <w:rsid w:val="00EC45D0"/>
    <w:rsid w:val="00EC629C"/>
    <w:rsid w:val="00EC69D4"/>
    <w:rsid w:val="00EC794C"/>
    <w:rsid w:val="00EC79E3"/>
    <w:rsid w:val="00ED061F"/>
    <w:rsid w:val="00ED21B8"/>
    <w:rsid w:val="00ED3A6E"/>
    <w:rsid w:val="00ED6149"/>
    <w:rsid w:val="00ED6A1B"/>
    <w:rsid w:val="00ED6D0B"/>
    <w:rsid w:val="00ED6F63"/>
    <w:rsid w:val="00ED7C65"/>
    <w:rsid w:val="00EE3FA8"/>
    <w:rsid w:val="00EE5EB7"/>
    <w:rsid w:val="00EE6717"/>
    <w:rsid w:val="00EE698F"/>
    <w:rsid w:val="00EE6A19"/>
    <w:rsid w:val="00EF2D65"/>
    <w:rsid w:val="00EF62A2"/>
    <w:rsid w:val="00EF696E"/>
    <w:rsid w:val="00F0161C"/>
    <w:rsid w:val="00F01736"/>
    <w:rsid w:val="00F03541"/>
    <w:rsid w:val="00F03AFD"/>
    <w:rsid w:val="00F04914"/>
    <w:rsid w:val="00F050C8"/>
    <w:rsid w:val="00F070F7"/>
    <w:rsid w:val="00F07E76"/>
    <w:rsid w:val="00F103E4"/>
    <w:rsid w:val="00F10D9A"/>
    <w:rsid w:val="00F129B7"/>
    <w:rsid w:val="00F1323C"/>
    <w:rsid w:val="00F150A7"/>
    <w:rsid w:val="00F15ADA"/>
    <w:rsid w:val="00F163F5"/>
    <w:rsid w:val="00F176E9"/>
    <w:rsid w:val="00F20F3F"/>
    <w:rsid w:val="00F21465"/>
    <w:rsid w:val="00F214A6"/>
    <w:rsid w:val="00F22F4F"/>
    <w:rsid w:val="00F23418"/>
    <w:rsid w:val="00F23D71"/>
    <w:rsid w:val="00F243D3"/>
    <w:rsid w:val="00F2445E"/>
    <w:rsid w:val="00F24F56"/>
    <w:rsid w:val="00F25666"/>
    <w:rsid w:val="00F26303"/>
    <w:rsid w:val="00F2631A"/>
    <w:rsid w:val="00F27B2C"/>
    <w:rsid w:val="00F30BF3"/>
    <w:rsid w:val="00F30D68"/>
    <w:rsid w:val="00F318C3"/>
    <w:rsid w:val="00F34C3E"/>
    <w:rsid w:val="00F3594F"/>
    <w:rsid w:val="00F36BA8"/>
    <w:rsid w:val="00F36C99"/>
    <w:rsid w:val="00F37633"/>
    <w:rsid w:val="00F43211"/>
    <w:rsid w:val="00F43FA5"/>
    <w:rsid w:val="00F45A6B"/>
    <w:rsid w:val="00F464B3"/>
    <w:rsid w:val="00F46558"/>
    <w:rsid w:val="00F46A8E"/>
    <w:rsid w:val="00F476A8"/>
    <w:rsid w:val="00F505C4"/>
    <w:rsid w:val="00F51111"/>
    <w:rsid w:val="00F51B73"/>
    <w:rsid w:val="00F5311F"/>
    <w:rsid w:val="00F54001"/>
    <w:rsid w:val="00F54082"/>
    <w:rsid w:val="00F54626"/>
    <w:rsid w:val="00F552EC"/>
    <w:rsid w:val="00F55EED"/>
    <w:rsid w:val="00F55EF1"/>
    <w:rsid w:val="00F620F0"/>
    <w:rsid w:val="00F624C6"/>
    <w:rsid w:val="00F62AC4"/>
    <w:rsid w:val="00F62B8F"/>
    <w:rsid w:val="00F63D55"/>
    <w:rsid w:val="00F63D85"/>
    <w:rsid w:val="00F6449F"/>
    <w:rsid w:val="00F65040"/>
    <w:rsid w:val="00F65FD9"/>
    <w:rsid w:val="00F663D8"/>
    <w:rsid w:val="00F66BFA"/>
    <w:rsid w:val="00F671BD"/>
    <w:rsid w:val="00F6721C"/>
    <w:rsid w:val="00F678BA"/>
    <w:rsid w:val="00F70576"/>
    <w:rsid w:val="00F7103B"/>
    <w:rsid w:val="00F71CC3"/>
    <w:rsid w:val="00F72600"/>
    <w:rsid w:val="00F73642"/>
    <w:rsid w:val="00F75546"/>
    <w:rsid w:val="00F75829"/>
    <w:rsid w:val="00F75F5F"/>
    <w:rsid w:val="00F8112C"/>
    <w:rsid w:val="00F81ACA"/>
    <w:rsid w:val="00F81E38"/>
    <w:rsid w:val="00F82EDC"/>
    <w:rsid w:val="00F83567"/>
    <w:rsid w:val="00F839FB"/>
    <w:rsid w:val="00F83AB1"/>
    <w:rsid w:val="00F84676"/>
    <w:rsid w:val="00F84C97"/>
    <w:rsid w:val="00F85422"/>
    <w:rsid w:val="00F8654E"/>
    <w:rsid w:val="00F86FC4"/>
    <w:rsid w:val="00F90502"/>
    <w:rsid w:val="00F90B00"/>
    <w:rsid w:val="00F90B3F"/>
    <w:rsid w:val="00F91776"/>
    <w:rsid w:val="00F91E22"/>
    <w:rsid w:val="00F92AFB"/>
    <w:rsid w:val="00F9510F"/>
    <w:rsid w:val="00F95CA6"/>
    <w:rsid w:val="00F96CDC"/>
    <w:rsid w:val="00F96F4D"/>
    <w:rsid w:val="00FA04B7"/>
    <w:rsid w:val="00FA2515"/>
    <w:rsid w:val="00FA2E1D"/>
    <w:rsid w:val="00FA4AC7"/>
    <w:rsid w:val="00FA50BB"/>
    <w:rsid w:val="00FA6F6E"/>
    <w:rsid w:val="00FB010F"/>
    <w:rsid w:val="00FB1039"/>
    <w:rsid w:val="00FB1A27"/>
    <w:rsid w:val="00FB2B39"/>
    <w:rsid w:val="00FB3299"/>
    <w:rsid w:val="00FB550A"/>
    <w:rsid w:val="00FB58F7"/>
    <w:rsid w:val="00FC01BB"/>
    <w:rsid w:val="00FC0A27"/>
    <w:rsid w:val="00FC12B7"/>
    <w:rsid w:val="00FC18E5"/>
    <w:rsid w:val="00FC2768"/>
    <w:rsid w:val="00FC3CC5"/>
    <w:rsid w:val="00FC5DFA"/>
    <w:rsid w:val="00FC7774"/>
    <w:rsid w:val="00FC7FE0"/>
    <w:rsid w:val="00FD1119"/>
    <w:rsid w:val="00FD1358"/>
    <w:rsid w:val="00FD1C93"/>
    <w:rsid w:val="00FD2031"/>
    <w:rsid w:val="00FD264D"/>
    <w:rsid w:val="00FD30C7"/>
    <w:rsid w:val="00FD3C9E"/>
    <w:rsid w:val="00FD3D0D"/>
    <w:rsid w:val="00FD3DC3"/>
    <w:rsid w:val="00FD459B"/>
    <w:rsid w:val="00FD5AA2"/>
    <w:rsid w:val="00FD7DC5"/>
    <w:rsid w:val="00FE1DF4"/>
    <w:rsid w:val="00FE259E"/>
    <w:rsid w:val="00FE33ED"/>
    <w:rsid w:val="00FE3858"/>
    <w:rsid w:val="00FE38AF"/>
    <w:rsid w:val="00FE4A93"/>
    <w:rsid w:val="00FE5D16"/>
    <w:rsid w:val="00FE5EFF"/>
    <w:rsid w:val="00FE7587"/>
    <w:rsid w:val="00FF1373"/>
    <w:rsid w:val="00FF1E6B"/>
    <w:rsid w:val="00FF1FD4"/>
    <w:rsid w:val="00FF23A1"/>
    <w:rsid w:val="00FF27B7"/>
    <w:rsid w:val="00FF3ECE"/>
    <w:rsid w:val="00FF557C"/>
    <w:rsid w:val="00FF67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73"/>
    <o:shapelayout v:ext="edit">
      <o:idmap v:ext="edit" data="1"/>
    </o:shapelayout>
  </w:shapeDefaults>
  <w:decimalSymbol w:val=","/>
  <w:listSeparator w:val=";"/>
  <w14:docId w14:val="2CDDD725"/>
  <w15:docId w15:val="{50D0BECC-F03B-4EDB-BA3E-3F4420C53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03541"/>
    <w:rPr>
      <w:sz w:val="24"/>
      <w:szCs w:val="24"/>
      <w:lang w:eastAsia="en-US"/>
    </w:rPr>
  </w:style>
  <w:style w:type="paragraph" w:styleId="Heading1">
    <w:name w:val="heading 1"/>
    <w:basedOn w:val="Normal"/>
    <w:next w:val="Normal"/>
    <w:link w:val="Heading1Char"/>
    <w:uiPriority w:val="99"/>
    <w:qFormat/>
    <w:rsid w:val="00BB4E9F"/>
    <w:pPr>
      <w:keepNext/>
      <w:numPr>
        <w:numId w:val="31"/>
      </w:numPr>
      <w:tabs>
        <w:tab w:val="left" w:pos="567"/>
      </w:tabs>
      <w:outlineLvl w:val="0"/>
    </w:pPr>
    <w:rPr>
      <w:rFonts w:ascii="Arial" w:hAnsi="Arial"/>
      <w:b/>
      <w:bCs/>
      <w:lang w:val="en-AU" w:eastAsia="en-GB"/>
    </w:rPr>
  </w:style>
  <w:style w:type="paragraph" w:styleId="Heading2">
    <w:name w:val="heading 2"/>
    <w:basedOn w:val="Normal"/>
    <w:next w:val="Normal"/>
    <w:link w:val="Heading2Char"/>
    <w:uiPriority w:val="99"/>
    <w:qFormat/>
    <w:rsid w:val="006B1924"/>
    <w:pPr>
      <w:keepNext/>
      <w:numPr>
        <w:ilvl w:val="1"/>
        <w:numId w:val="31"/>
      </w:numPr>
      <w:tabs>
        <w:tab w:val="left" w:pos="567"/>
      </w:tabs>
      <w:outlineLvl w:val="1"/>
    </w:pPr>
    <w:rPr>
      <w:rFonts w:ascii="Arial" w:hAnsi="Arial"/>
      <w:b/>
      <w:bCs/>
      <w:iCs/>
    </w:rPr>
  </w:style>
  <w:style w:type="paragraph" w:styleId="Heading3">
    <w:name w:val="heading 3"/>
    <w:basedOn w:val="Normal"/>
    <w:next w:val="Normal"/>
    <w:link w:val="Heading3Char"/>
    <w:uiPriority w:val="99"/>
    <w:qFormat/>
    <w:rsid w:val="006B1924"/>
    <w:pPr>
      <w:keepNext/>
      <w:numPr>
        <w:ilvl w:val="2"/>
        <w:numId w:val="31"/>
      </w:numPr>
      <w:tabs>
        <w:tab w:val="left" w:pos="709"/>
      </w:tabs>
      <w:outlineLvl w:val="2"/>
    </w:pPr>
    <w:rPr>
      <w:rFonts w:ascii="Arial" w:hAnsi="Arial"/>
      <w:b/>
      <w:bCs/>
    </w:rPr>
  </w:style>
  <w:style w:type="paragraph" w:styleId="Heading4">
    <w:name w:val="heading 4"/>
    <w:basedOn w:val="Normal"/>
    <w:next w:val="Normal"/>
    <w:link w:val="Heading4Char"/>
    <w:unhideWhenUsed/>
    <w:qFormat/>
    <w:locked/>
    <w:rsid w:val="006B1924"/>
    <w:pPr>
      <w:keepNext/>
      <w:numPr>
        <w:ilvl w:val="3"/>
        <w:numId w:val="3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locked/>
    <w:rsid w:val="006B1924"/>
    <w:pPr>
      <w:numPr>
        <w:ilvl w:val="4"/>
        <w:numId w:val="3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locked/>
    <w:rsid w:val="006B1924"/>
    <w:pPr>
      <w:numPr>
        <w:ilvl w:val="5"/>
        <w:numId w:val="3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locked/>
    <w:rsid w:val="006B1924"/>
    <w:pPr>
      <w:numPr>
        <w:ilvl w:val="6"/>
        <w:numId w:val="31"/>
      </w:numPr>
      <w:spacing w:before="240" w:after="60"/>
      <w:outlineLvl w:val="6"/>
    </w:pPr>
    <w:rPr>
      <w:rFonts w:ascii="Calibri" w:hAnsi="Calibri"/>
    </w:rPr>
  </w:style>
  <w:style w:type="paragraph" w:styleId="Heading8">
    <w:name w:val="heading 8"/>
    <w:basedOn w:val="Normal"/>
    <w:next w:val="Normal"/>
    <w:link w:val="Heading8Char"/>
    <w:unhideWhenUsed/>
    <w:qFormat/>
    <w:locked/>
    <w:rsid w:val="006B1924"/>
    <w:pPr>
      <w:numPr>
        <w:ilvl w:val="7"/>
        <w:numId w:val="31"/>
      </w:numPr>
      <w:spacing w:before="240" w:after="60"/>
      <w:outlineLvl w:val="7"/>
    </w:pPr>
    <w:rPr>
      <w:rFonts w:ascii="Calibri" w:hAnsi="Calibri"/>
      <w:i/>
      <w:iCs/>
    </w:rPr>
  </w:style>
  <w:style w:type="paragraph" w:styleId="Heading9">
    <w:name w:val="heading 9"/>
    <w:basedOn w:val="Normal"/>
    <w:next w:val="Normal"/>
    <w:link w:val="Heading9Char"/>
    <w:unhideWhenUsed/>
    <w:qFormat/>
    <w:locked/>
    <w:rsid w:val="006B1924"/>
    <w:pPr>
      <w:numPr>
        <w:ilvl w:val="8"/>
        <w:numId w:val="3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77728"/>
    <w:rPr>
      <w:rFonts w:ascii="Arial" w:hAnsi="Arial"/>
      <w:b/>
      <w:bCs/>
      <w:sz w:val="24"/>
      <w:szCs w:val="24"/>
      <w:lang w:val="en-AU"/>
    </w:rPr>
  </w:style>
  <w:style w:type="character" w:customStyle="1" w:styleId="Heading2Char">
    <w:name w:val="Heading 2 Char"/>
    <w:link w:val="Heading2"/>
    <w:uiPriority w:val="99"/>
    <w:locked/>
    <w:rsid w:val="00177728"/>
    <w:rPr>
      <w:rFonts w:ascii="Arial" w:hAnsi="Arial"/>
      <w:b/>
      <w:bCs/>
      <w:iCs/>
      <w:sz w:val="24"/>
      <w:szCs w:val="24"/>
      <w:lang w:eastAsia="en-US"/>
    </w:rPr>
  </w:style>
  <w:style w:type="character" w:customStyle="1" w:styleId="Heading3Char">
    <w:name w:val="Heading 3 Char"/>
    <w:link w:val="Heading3"/>
    <w:uiPriority w:val="99"/>
    <w:locked/>
    <w:rsid w:val="000C1EA0"/>
    <w:rPr>
      <w:rFonts w:ascii="Arial" w:hAnsi="Arial"/>
      <w:b/>
      <w:bCs/>
      <w:sz w:val="24"/>
      <w:szCs w:val="24"/>
      <w:lang w:eastAsia="en-US"/>
    </w:rPr>
  </w:style>
  <w:style w:type="paragraph" w:styleId="BodyText2">
    <w:name w:val="Body Text 2"/>
    <w:basedOn w:val="Normal"/>
    <w:link w:val="BodyText2Char"/>
    <w:uiPriority w:val="99"/>
    <w:semiHidden/>
    <w:rsid w:val="00F03541"/>
    <w:pPr>
      <w:jc w:val="both"/>
    </w:pPr>
    <w:rPr>
      <w:lang w:eastAsia="x-none"/>
    </w:rPr>
  </w:style>
  <w:style w:type="character" w:customStyle="1" w:styleId="BodyText2Char">
    <w:name w:val="Body Text 2 Char"/>
    <w:link w:val="BodyText2"/>
    <w:uiPriority w:val="99"/>
    <w:semiHidden/>
    <w:locked/>
    <w:rsid w:val="00D04996"/>
    <w:rPr>
      <w:rFonts w:cs="Times New Roman"/>
      <w:sz w:val="24"/>
      <w:szCs w:val="24"/>
      <w:lang w:val="en-GB"/>
    </w:rPr>
  </w:style>
  <w:style w:type="paragraph" w:styleId="BodyTextIndent">
    <w:name w:val="Body Text Indent"/>
    <w:basedOn w:val="Normal"/>
    <w:link w:val="BodyTextIndentChar"/>
    <w:uiPriority w:val="99"/>
    <w:semiHidden/>
    <w:rsid w:val="00F03541"/>
    <w:pPr>
      <w:ind w:left="720" w:hanging="720"/>
    </w:pPr>
    <w:rPr>
      <w:iCs/>
      <w:szCs w:val="20"/>
      <w:lang w:eastAsia="en-GB"/>
    </w:rPr>
  </w:style>
  <w:style w:type="character" w:customStyle="1" w:styleId="BodyTextIndentChar">
    <w:name w:val="Body Text Indent Char"/>
    <w:link w:val="BodyTextIndent"/>
    <w:uiPriority w:val="99"/>
    <w:semiHidden/>
    <w:locked/>
    <w:rsid w:val="00F03541"/>
    <w:rPr>
      <w:rFonts w:cs="Times New Roman"/>
      <w:iCs/>
      <w:sz w:val="24"/>
      <w:lang w:val="en-GB" w:eastAsia="en-GB"/>
    </w:rPr>
  </w:style>
  <w:style w:type="paragraph" w:styleId="BodyText">
    <w:name w:val="Body Text"/>
    <w:basedOn w:val="Normal"/>
    <w:link w:val="BodyTextChar"/>
    <w:rsid w:val="006B1924"/>
    <w:rPr>
      <w:i/>
      <w:iCs/>
      <w:lang w:val="it-IT" w:eastAsia="en-GB"/>
    </w:rPr>
  </w:style>
  <w:style w:type="character" w:customStyle="1" w:styleId="BodyTextChar">
    <w:name w:val="Body Text Char"/>
    <w:link w:val="BodyText"/>
    <w:locked/>
    <w:rsid w:val="00F03541"/>
    <w:rPr>
      <w:i/>
      <w:iCs/>
      <w:sz w:val="24"/>
      <w:szCs w:val="24"/>
      <w:lang w:val="it-IT"/>
    </w:rPr>
  </w:style>
  <w:style w:type="paragraph" w:styleId="BodyText3">
    <w:name w:val="Body Text 3"/>
    <w:basedOn w:val="Normal"/>
    <w:link w:val="BodyText3Char"/>
    <w:uiPriority w:val="99"/>
    <w:semiHidden/>
    <w:rsid w:val="00F03541"/>
    <w:pPr>
      <w:spacing w:after="120"/>
      <w:jc w:val="both"/>
    </w:pPr>
    <w:rPr>
      <w:i/>
      <w:iCs/>
      <w:lang w:val="en-AU" w:eastAsia="en-GB"/>
    </w:rPr>
  </w:style>
  <w:style w:type="character" w:customStyle="1" w:styleId="BodyText3Char">
    <w:name w:val="Body Text 3 Char"/>
    <w:link w:val="BodyText3"/>
    <w:uiPriority w:val="99"/>
    <w:semiHidden/>
    <w:locked/>
    <w:rsid w:val="0071179C"/>
    <w:rPr>
      <w:rFonts w:cs="Times New Roman"/>
      <w:i/>
      <w:iCs/>
      <w:sz w:val="24"/>
      <w:szCs w:val="24"/>
      <w:lang w:val="en-AU" w:eastAsia="en-GB"/>
    </w:rPr>
  </w:style>
  <w:style w:type="paragraph" w:styleId="Header">
    <w:name w:val="header"/>
    <w:basedOn w:val="Normal"/>
    <w:link w:val="HeaderChar"/>
    <w:uiPriority w:val="99"/>
    <w:rsid w:val="00F03541"/>
    <w:pPr>
      <w:tabs>
        <w:tab w:val="center" w:pos="4153"/>
        <w:tab w:val="right" w:pos="8306"/>
      </w:tabs>
    </w:pPr>
    <w:rPr>
      <w:lang w:eastAsia="x-none"/>
    </w:rPr>
  </w:style>
  <w:style w:type="character" w:customStyle="1" w:styleId="HeaderChar">
    <w:name w:val="Header Char"/>
    <w:link w:val="Header"/>
    <w:uiPriority w:val="99"/>
    <w:semiHidden/>
    <w:locked/>
    <w:rsid w:val="00D04996"/>
    <w:rPr>
      <w:rFonts w:cs="Times New Roman"/>
      <w:sz w:val="24"/>
      <w:szCs w:val="24"/>
      <w:lang w:val="en-GB"/>
    </w:rPr>
  </w:style>
  <w:style w:type="character" w:styleId="PageNumber">
    <w:name w:val="page number"/>
    <w:uiPriority w:val="99"/>
    <w:semiHidden/>
    <w:rsid w:val="00F03541"/>
    <w:rPr>
      <w:rFonts w:cs="Times New Roman"/>
    </w:rPr>
  </w:style>
  <w:style w:type="paragraph" w:styleId="Footer">
    <w:name w:val="footer"/>
    <w:basedOn w:val="Normal"/>
    <w:link w:val="FooterChar"/>
    <w:uiPriority w:val="99"/>
    <w:rsid w:val="00F03541"/>
    <w:pPr>
      <w:tabs>
        <w:tab w:val="center" w:pos="4320"/>
        <w:tab w:val="right" w:pos="8640"/>
      </w:tabs>
    </w:pPr>
    <w:rPr>
      <w:szCs w:val="20"/>
      <w:lang w:val="en-AU" w:eastAsia="en-GB"/>
    </w:rPr>
  </w:style>
  <w:style w:type="character" w:customStyle="1" w:styleId="FooterChar">
    <w:name w:val="Footer Char"/>
    <w:link w:val="Footer"/>
    <w:uiPriority w:val="99"/>
    <w:locked/>
    <w:rsid w:val="00F03541"/>
    <w:rPr>
      <w:rFonts w:cs="Times New Roman"/>
      <w:sz w:val="24"/>
      <w:lang w:val="en-AU" w:eastAsia="en-GB"/>
    </w:rPr>
  </w:style>
  <w:style w:type="paragraph" w:customStyle="1" w:styleId="Ballontekst1">
    <w:name w:val="Ballontekst1"/>
    <w:basedOn w:val="Normal"/>
    <w:uiPriority w:val="99"/>
    <w:semiHidden/>
    <w:rsid w:val="00F03541"/>
    <w:rPr>
      <w:rFonts w:ascii="Tahoma" w:hAnsi="Tahoma" w:cs="Tahoma"/>
      <w:sz w:val="16"/>
      <w:szCs w:val="16"/>
    </w:rPr>
  </w:style>
  <w:style w:type="paragraph" w:styleId="BalloonText">
    <w:name w:val="Balloon Text"/>
    <w:basedOn w:val="Normal"/>
    <w:link w:val="BalloonTextChar"/>
    <w:uiPriority w:val="99"/>
    <w:semiHidden/>
    <w:rsid w:val="00F03541"/>
    <w:rPr>
      <w:rFonts w:ascii="Tahoma" w:hAnsi="Tahoma"/>
      <w:sz w:val="16"/>
      <w:szCs w:val="16"/>
    </w:rPr>
  </w:style>
  <w:style w:type="character" w:customStyle="1" w:styleId="BalloonTextChar">
    <w:name w:val="Balloon Text Char"/>
    <w:link w:val="BalloonText"/>
    <w:uiPriority w:val="99"/>
    <w:semiHidden/>
    <w:locked/>
    <w:rsid w:val="00F03541"/>
    <w:rPr>
      <w:rFonts w:ascii="Tahoma" w:hAnsi="Tahoma" w:cs="Tahoma"/>
      <w:sz w:val="16"/>
      <w:szCs w:val="16"/>
      <w:lang w:val="en-GB" w:eastAsia="en-US"/>
    </w:rPr>
  </w:style>
  <w:style w:type="paragraph" w:styleId="PlainText">
    <w:name w:val="Plain Text"/>
    <w:basedOn w:val="Normal"/>
    <w:link w:val="PlainTextChar"/>
    <w:uiPriority w:val="99"/>
    <w:rsid w:val="00F03541"/>
    <w:rPr>
      <w:rFonts w:ascii="Consolas" w:hAnsi="Consolas"/>
      <w:sz w:val="21"/>
      <w:szCs w:val="21"/>
      <w:lang w:val="nl-BE"/>
    </w:rPr>
  </w:style>
  <w:style w:type="character" w:customStyle="1" w:styleId="PlainTextChar">
    <w:name w:val="Plain Text Char"/>
    <w:link w:val="PlainText"/>
    <w:uiPriority w:val="99"/>
    <w:locked/>
    <w:rsid w:val="00F03541"/>
    <w:rPr>
      <w:rFonts w:ascii="Consolas" w:hAnsi="Consolas" w:cs="Times New Roman"/>
      <w:sz w:val="21"/>
      <w:szCs w:val="21"/>
      <w:lang w:val="nl-BE" w:eastAsia="en-US"/>
    </w:rPr>
  </w:style>
  <w:style w:type="character" w:styleId="CommentReference">
    <w:name w:val="annotation reference"/>
    <w:uiPriority w:val="99"/>
    <w:semiHidden/>
    <w:rsid w:val="00F03541"/>
    <w:rPr>
      <w:rFonts w:cs="Times New Roman"/>
      <w:sz w:val="18"/>
    </w:rPr>
  </w:style>
  <w:style w:type="paragraph" w:styleId="CommentText">
    <w:name w:val="annotation text"/>
    <w:basedOn w:val="Normal"/>
    <w:link w:val="CommentTextChar"/>
    <w:uiPriority w:val="99"/>
    <w:semiHidden/>
    <w:rsid w:val="00F03541"/>
  </w:style>
  <w:style w:type="character" w:customStyle="1" w:styleId="CommentTextChar">
    <w:name w:val="Comment Text Char"/>
    <w:link w:val="CommentText"/>
    <w:uiPriority w:val="99"/>
    <w:semiHidden/>
    <w:locked/>
    <w:rsid w:val="00F03541"/>
    <w:rPr>
      <w:rFonts w:cs="Times New Roman"/>
      <w:sz w:val="24"/>
      <w:szCs w:val="24"/>
      <w:lang w:val="en-GB" w:eastAsia="en-US"/>
    </w:rPr>
  </w:style>
  <w:style w:type="paragraph" w:styleId="CommentSubject">
    <w:name w:val="annotation subject"/>
    <w:basedOn w:val="CommentText"/>
    <w:next w:val="CommentText"/>
    <w:link w:val="CommentSubjectChar"/>
    <w:uiPriority w:val="99"/>
    <w:semiHidden/>
    <w:rsid w:val="002B5BCD"/>
    <w:rPr>
      <w:b/>
      <w:bCs/>
      <w:lang w:eastAsia="x-none"/>
    </w:rPr>
  </w:style>
  <w:style w:type="character" w:customStyle="1" w:styleId="CommentSubjectChar">
    <w:name w:val="Comment Subject Char"/>
    <w:link w:val="CommentSubject"/>
    <w:uiPriority w:val="99"/>
    <w:semiHidden/>
    <w:locked/>
    <w:rsid w:val="00F03541"/>
    <w:rPr>
      <w:b/>
      <w:bCs/>
      <w:sz w:val="24"/>
      <w:szCs w:val="24"/>
      <w:lang w:val="en-GB"/>
    </w:rPr>
  </w:style>
  <w:style w:type="paragraph" w:styleId="ListParagraph">
    <w:name w:val="List Paragraph"/>
    <w:basedOn w:val="Normal"/>
    <w:uiPriority w:val="99"/>
    <w:qFormat/>
    <w:rsid w:val="00F03541"/>
    <w:pPr>
      <w:ind w:left="708"/>
    </w:pPr>
  </w:style>
  <w:style w:type="character" w:styleId="Hyperlink">
    <w:name w:val="Hyperlink"/>
    <w:uiPriority w:val="99"/>
    <w:rsid w:val="008D6F3F"/>
    <w:rPr>
      <w:rFonts w:cs="Times New Roman"/>
      <w:color w:val="0000FF"/>
      <w:u w:val="single"/>
      <w:effect w:val="none"/>
    </w:rPr>
  </w:style>
  <w:style w:type="paragraph" w:styleId="TOC1">
    <w:name w:val="toc 1"/>
    <w:basedOn w:val="Normal"/>
    <w:next w:val="Normal"/>
    <w:autoRedefine/>
    <w:uiPriority w:val="39"/>
    <w:rsid w:val="00E350D8"/>
    <w:pPr>
      <w:tabs>
        <w:tab w:val="left" w:pos="567"/>
        <w:tab w:val="right" w:leader="dot" w:pos="9072"/>
      </w:tabs>
      <w:ind w:left="567" w:hanging="567"/>
    </w:pPr>
    <w:rPr>
      <w:rFonts w:ascii="Arial" w:hAnsi="Arial"/>
      <w:b/>
    </w:rPr>
  </w:style>
  <w:style w:type="paragraph" w:styleId="TOC2">
    <w:name w:val="toc 2"/>
    <w:basedOn w:val="Normal"/>
    <w:next w:val="Normal"/>
    <w:autoRedefine/>
    <w:uiPriority w:val="39"/>
    <w:rsid w:val="00E350D8"/>
    <w:pPr>
      <w:tabs>
        <w:tab w:val="left" w:pos="1134"/>
        <w:tab w:val="right" w:leader="dot" w:pos="9072"/>
      </w:tabs>
      <w:ind w:left="1134" w:hanging="567"/>
    </w:pPr>
    <w:rPr>
      <w:rFonts w:ascii="Arial" w:hAnsi="Arial"/>
    </w:rPr>
  </w:style>
  <w:style w:type="paragraph" w:styleId="TOC3">
    <w:name w:val="toc 3"/>
    <w:basedOn w:val="Normal"/>
    <w:next w:val="Normal"/>
    <w:autoRedefine/>
    <w:uiPriority w:val="39"/>
    <w:rsid w:val="00E350D8"/>
    <w:pPr>
      <w:tabs>
        <w:tab w:val="left" w:pos="1985"/>
        <w:tab w:val="right" w:leader="dot" w:pos="9072"/>
      </w:tabs>
      <w:ind w:left="1985" w:hanging="851"/>
    </w:pPr>
    <w:rPr>
      <w:rFonts w:ascii="Arial" w:hAnsi="Arial"/>
    </w:rPr>
  </w:style>
  <w:style w:type="paragraph" w:styleId="FootnoteText">
    <w:name w:val="footnote text"/>
    <w:aliases w:val="Fußnotentext RAXEN,footnotes,Footnote Text Char,Footnote Text Char2 Char,Footnote Text Char Char1 Char,Footnote Text Char2 Char Char Char,Footnote Text Char1 Char Char Char Char,EUMC_Lábjegyzetszöveg,single space,Fußnotentextf Cha"/>
    <w:basedOn w:val="Normal"/>
    <w:link w:val="FootnoteTextChar1"/>
    <w:uiPriority w:val="99"/>
    <w:semiHidden/>
    <w:rsid w:val="00F03541"/>
    <w:rPr>
      <w:sz w:val="20"/>
      <w:szCs w:val="20"/>
    </w:rPr>
  </w:style>
  <w:style w:type="character" w:customStyle="1" w:styleId="FootnoteTextChar1">
    <w:name w:val="Footnote Text Char1"/>
    <w:aliases w:val="Fußnotentext RAXEN Char,footnotes Char,Footnote Text Char Char,Footnote Text Char2 Char Char,Footnote Text Char Char1 Char Char,Footnote Text Char2 Char Char Char Char,Footnote Text Char1 Char Char Char Char Char,single space Char"/>
    <w:link w:val="FootnoteText"/>
    <w:uiPriority w:val="99"/>
    <w:semiHidden/>
    <w:locked/>
    <w:rsid w:val="00F03541"/>
    <w:rPr>
      <w:rFonts w:cs="Times New Roman"/>
      <w:lang w:val="en-GB" w:eastAsia="en-US"/>
    </w:rPr>
  </w:style>
  <w:style w:type="character" w:styleId="FootnoteReference">
    <w:name w:val="footnote reference"/>
    <w:aliases w:val="Footnote Refernece,Footnote Reference Superscript"/>
    <w:uiPriority w:val="99"/>
    <w:semiHidden/>
    <w:rsid w:val="00F03541"/>
    <w:rPr>
      <w:rFonts w:cs="Times New Roman"/>
      <w:vertAlign w:val="superscript"/>
    </w:rPr>
  </w:style>
  <w:style w:type="paragraph" w:styleId="NoSpacing">
    <w:name w:val="No Spacing"/>
    <w:uiPriority w:val="1"/>
    <w:qFormat/>
    <w:rsid w:val="00F03541"/>
    <w:rPr>
      <w:sz w:val="24"/>
      <w:szCs w:val="24"/>
      <w:lang w:eastAsia="en-US"/>
    </w:rPr>
  </w:style>
  <w:style w:type="paragraph" w:customStyle="1" w:styleId="a">
    <w:name w:val="Списък на абзаци"/>
    <w:basedOn w:val="Normal"/>
    <w:uiPriority w:val="99"/>
    <w:rsid w:val="00380D24"/>
    <w:pPr>
      <w:suppressAutoHyphens/>
      <w:spacing w:after="200" w:line="276" w:lineRule="auto"/>
      <w:ind w:left="720"/>
    </w:pPr>
    <w:rPr>
      <w:rFonts w:ascii="Calibri" w:hAnsi="Calibri" w:cs="Calibri"/>
      <w:lang w:val="bg-BG" w:eastAsia="ar-SA"/>
    </w:rPr>
  </w:style>
  <w:style w:type="character" w:customStyle="1" w:styleId="Heading4Char">
    <w:name w:val="Heading 4 Char"/>
    <w:link w:val="Heading4"/>
    <w:rsid w:val="005A1AAA"/>
    <w:rPr>
      <w:rFonts w:ascii="Calibri" w:hAnsi="Calibri"/>
      <w:b/>
      <w:bCs/>
      <w:sz w:val="28"/>
      <w:szCs w:val="28"/>
      <w:lang w:eastAsia="en-US"/>
    </w:rPr>
  </w:style>
  <w:style w:type="character" w:customStyle="1" w:styleId="Heading5Char">
    <w:name w:val="Heading 5 Char"/>
    <w:link w:val="Heading5"/>
    <w:rsid w:val="005A1AAA"/>
    <w:rPr>
      <w:rFonts w:ascii="Calibri" w:hAnsi="Calibri"/>
      <w:b/>
      <w:bCs/>
      <w:i/>
      <w:iCs/>
      <w:sz w:val="26"/>
      <w:szCs w:val="26"/>
      <w:lang w:eastAsia="en-US"/>
    </w:rPr>
  </w:style>
  <w:style w:type="character" w:customStyle="1" w:styleId="Heading6Char">
    <w:name w:val="Heading 6 Char"/>
    <w:link w:val="Heading6"/>
    <w:rsid w:val="005A1AAA"/>
    <w:rPr>
      <w:rFonts w:ascii="Calibri" w:hAnsi="Calibri"/>
      <w:b/>
      <w:bCs/>
      <w:sz w:val="22"/>
      <w:szCs w:val="22"/>
      <w:lang w:eastAsia="en-US"/>
    </w:rPr>
  </w:style>
  <w:style w:type="character" w:customStyle="1" w:styleId="Heading7Char">
    <w:name w:val="Heading 7 Char"/>
    <w:link w:val="Heading7"/>
    <w:rsid w:val="005A1AAA"/>
    <w:rPr>
      <w:rFonts w:ascii="Calibri" w:hAnsi="Calibri"/>
      <w:sz w:val="24"/>
      <w:szCs w:val="24"/>
      <w:lang w:eastAsia="en-US"/>
    </w:rPr>
  </w:style>
  <w:style w:type="character" w:customStyle="1" w:styleId="Heading8Char">
    <w:name w:val="Heading 8 Char"/>
    <w:link w:val="Heading8"/>
    <w:rsid w:val="005A1AAA"/>
    <w:rPr>
      <w:rFonts w:ascii="Calibri" w:hAnsi="Calibri"/>
      <w:i/>
      <w:iCs/>
      <w:sz w:val="24"/>
      <w:szCs w:val="24"/>
      <w:lang w:eastAsia="en-US"/>
    </w:rPr>
  </w:style>
  <w:style w:type="character" w:customStyle="1" w:styleId="Heading9Char">
    <w:name w:val="Heading 9 Char"/>
    <w:link w:val="Heading9"/>
    <w:rsid w:val="005A1AAA"/>
    <w:rPr>
      <w:rFonts w:ascii="Cambria" w:hAnsi="Cambria"/>
      <w:sz w:val="22"/>
      <w:szCs w:val="22"/>
      <w:lang w:eastAsia="en-US"/>
    </w:rPr>
  </w:style>
  <w:style w:type="table" w:styleId="TableGrid">
    <w:name w:val="Table Grid"/>
    <w:basedOn w:val="TableNormal"/>
    <w:locked/>
    <w:rsid w:val="00602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locked/>
    <w:rsid w:val="00CB0622"/>
    <w:rPr>
      <w:i/>
      <w:iCs/>
    </w:rPr>
  </w:style>
  <w:style w:type="paragraph" w:customStyle="1" w:styleId="Default">
    <w:name w:val="Default"/>
    <w:rsid w:val="00E404E6"/>
    <w:pPr>
      <w:widowControl w:val="0"/>
      <w:autoSpaceDE w:val="0"/>
      <w:autoSpaceDN w:val="0"/>
      <w:adjustRightInd w:val="0"/>
    </w:pPr>
    <w:rPr>
      <w:color w:val="000000"/>
      <w:sz w:val="24"/>
      <w:szCs w:val="24"/>
      <w:lang w:val="el-GR" w:eastAsia="el-GR"/>
    </w:rPr>
  </w:style>
  <w:style w:type="paragraph" w:customStyle="1" w:styleId="FRABodyText">
    <w:name w:val="(FRA) Body Text"/>
    <w:basedOn w:val="Normal"/>
    <w:rsid w:val="00E404E6"/>
    <w:pPr>
      <w:spacing w:after="240"/>
      <w:ind w:left="720" w:hanging="360"/>
      <w:jc w:val="both"/>
    </w:pPr>
    <w:rPr>
      <w:rFonts w:eastAsia="Calibri"/>
      <w:sz w:val="22"/>
      <w:szCs w:val="22"/>
      <w:lang w:bidi="en-US"/>
    </w:rPr>
  </w:style>
  <w:style w:type="paragraph" w:styleId="NormalWeb">
    <w:name w:val="Normal (Web)"/>
    <w:basedOn w:val="Normal"/>
    <w:semiHidden/>
    <w:rsid w:val="001F17F2"/>
    <w:pPr>
      <w:spacing w:before="100" w:beforeAutospacing="1" w:after="100" w:afterAutospacing="1"/>
    </w:pPr>
    <w:rPr>
      <w:lang w:val="de-DE" w:eastAsia="de-DE"/>
    </w:rPr>
  </w:style>
  <w:style w:type="paragraph" w:styleId="ListBullet">
    <w:name w:val="List Bullet"/>
    <w:basedOn w:val="Normal"/>
    <w:autoRedefine/>
    <w:semiHidden/>
    <w:rsid w:val="00DE249C"/>
    <w:pPr>
      <w:spacing w:line="20" w:lineRule="atLeast"/>
      <w:jc w:val="both"/>
    </w:pPr>
    <w:rPr>
      <w:rFonts w:ascii="Book Antiqua" w:hAnsi="Book Antiqua"/>
      <w:szCs w:val="20"/>
    </w:rPr>
  </w:style>
  <w:style w:type="paragraph" w:customStyle="1" w:styleId="23SatznachNovao">
    <w:name w:val="23_Satz_(nach_Novao)"/>
    <w:basedOn w:val="Normal"/>
    <w:next w:val="Normal"/>
    <w:rsid w:val="005E0DFB"/>
    <w:pPr>
      <w:spacing w:before="80" w:line="220" w:lineRule="exact"/>
      <w:jc w:val="both"/>
    </w:pPr>
    <w:rPr>
      <w:color w:val="000000"/>
      <w:sz w:val="20"/>
      <w:szCs w:val="20"/>
      <w:lang w:val="de-DE" w:eastAsia="de-DE"/>
    </w:rPr>
  </w:style>
  <w:style w:type="paragraph" w:styleId="HTMLPreformatted">
    <w:name w:val="HTML Preformatted"/>
    <w:basedOn w:val="Normal"/>
    <w:link w:val="HTMLPreformattedChar"/>
    <w:semiHidden/>
    <w:rsid w:val="0037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sz w:val="20"/>
      <w:szCs w:val="20"/>
      <w:lang w:val="x-none" w:eastAsia="de-DE"/>
    </w:rPr>
  </w:style>
  <w:style w:type="character" w:customStyle="1" w:styleId="HTMLPreformattedChar">
    <w:name w:val="HTML Preformatted Char"/>
    <w:link w:val="HTMLPreformatted"/>
    <w:semiHidden/>
    <w:rsid w:val="00370C0C"/>
    <w:rPr>
      <w:rFonts w:ascii="Arial Unicode MS" w:eastAsia="Arial Unicode MS" w:hAnsi="Arial Unicode MS" w:cs="Arial Unicode MS"/>
      <w:color w:val="000000"/>
      <w:lang w:eastAsia="de-DE"/>
    </w:rPr>
  </w:style>
  <w:style w:type="paragraph" w:customStyle="1" w:styleId="erltext">
    <w:name w:val="erltext"/>
    <w:basedOn w:val="Normal"/>
    <w:rsid w:val="00D166C6"/>
    <w:pPr>
      <w:snapToGrid w:val="0"/>
      <w:spacing w:before="80" w:line="220" w:lineRule="atLeast"/>
    </w:pPr>
    <w:rPr>
      <w:color w:val="000000"/>
      <w:sz w:val="20"/>
      <w:szCs w:val="20"/>
      <w:lang w:val="de-AT" w:eastAsia="de-AT"/>
    </w:rPr>
  </w:style>
  <w:style w:type="paragraph" w:customStyle="1" w:styleId="ListParagraph1">
    <w:name w:val="List Paragraph1"/>
    <w:basedOn w:val="Normal"/>
    <w:qFormat/>
    <w:rsid w:val="00302231"/>
    <w:pPr>
      <w:spacing w:after="200" w:line="276" w:lineRule="auto"/>
      <w:ind w:left="720"/>
      <w:contextualSpacing/>
    </w:pPr>
    <w:rPr>
      <w:rFonts w:ascii="Calibri" w:eastAsia="Calibri" w:hAnsi="Calibri"/>
      <w:sz w:val="22"/>
      <w:szCs w:val="22"/>
      <w:lang w:val="fr-BE"/>
    </w:rPr>
  </w:style>
  <w:style w:type="paragraph" w:customStyle="1" w:styleId="abs">
    <w:name w:val="abs"/>
    <w:basedOn w:val="Normal"/>
    <w:rsid w:val="008A7FFA"/>
    <w:pPr>
      <w:snapToGrid w:val="0"/>
      <w:spacing w:before="80" w:line="288" w:lineRule="auto"/>
      <w:ind w:firstLine="397"/>
    </w:pPr>
    <w:rPr>
      <w:color w:val="000000"/>
      <w:sz w:val="20"/>
      <w:szCs w:val="20"/>
      <w:lang w:val="de-AT" w:eastAsia="de-AT"/>
    </w:rPr>
  </w:style>
  <w:style w:type="character" w:customStyle="1" w:styleId="highlighted">
    <w:name w:val="highlighted"/>
    <w:rsid w:val="008A7FFA"/>
    <w:rPr>
      <w:color w:val="001142"/>
      <w:shd w:val="clear" w:color="auto" w:fill="D1DDFF"/>
    </w:rPr>
  </w:style>
  <w:style w:type="character" w:customStyle="1" w:styleId="fett">
    <w:name w:val="fett"/>
    <w:rsid w:val="008A7FFA"/>
    <w:rPr>
      <w:b/>
      <w:bCs/>
    </w:rPr>
  </w:style>
  <w:style w:type="paragraph" w:styleId="TOCHeading">
    <w:name w:val="TOC Heading"/>
    <w:basedOn w:val="Heading1"/>
    <w:next w:val="Normal"/>
    <w:uiPriority w:val="39"/>
    <w:semiHidden/>
    <w:unhideWhenUsed/>
    <w:qFormat/>
    <w:rsid w:val="00426601"/>
    <w:pPr>
      <w:keepLines/>
      <w:numPr>
        <w:numId w:val="0"/>
      </w:numPr>
      <w:spacing w:before="480" w:line="276" w:lineRule="auto"/>
      <w:outlineLvl w:val="9"/>
    </w:pPr>
    <w:rPr>
      <w:rFonts w:ascii="Cambria" w:hAnsi="Cambria"/>
      <w:color w:val="365F91"/>
      <w:sz w:val="28"/>
      <w:lang w:val="nl-NL" w:eastAsia="en-US"/>
    </w:rPr>
  </w:style>
  <w:style w:type="character" w:customStyle="1" w:styleId="CommentSubjectChar1">
    <w:name w:val="Comment Subject Char1"/>
    <w:uiPriority w:val="99"/>
    <w:semiHidden/>
    <w:rsid w:val="002B5BCD"/>
    <w:rPr>
      <w:rFonts w:cs="Times New Roman"/>
      <w:b/>
      <w:bCs/>
      <w:sz w:val="24"/>
      <w:szCs w:val="24"/>
      <w:lang w:val="en-GB" w:eastAsia="en-US"/>
    </w:rPr>
  </w:style>
  <w:style w:type="paragraph" w:customStyle="1" w:styleId="MediumGrid21">
    <w:name w:val="Medium Grid 21"/>
    <w:uiPriority w:val="99"/>
    <w:qFormat/>
    <w:rsid w:val="002B5BCD"/>
    <w:rPr>
      <w:sz w:val="24"/>
      <w:szCs w:val="24"/>
      <w:lang w:eastAsia="en-US"/>
    </w:rPr>
  </w:style>
  <w:style w:type="character" w:customStyle="1" w:styleId="ft">
    <w:name w:val="ft"/>
    <w:uiPriority w:val="99"/>
    <w:rsid w:val="002B5BCD"/>
  </w:style>
  <w:style w:type="paragraph" w:customStyle="1" w:styleId="Szvegtrzs32">
    <w:name w:val="Szövegtörzs 32"/>
    <w:basedOn w:val="Normal"/>
    <w:uiPriority w:val="99"/>
    <w:rsid w:val="00345681"/>
    <w:pPr>
      <w:suppressAutoHyphens/>
      <w:spacing w:after="120"/>
      <w:jc w:val="both"/>
    </w:pPr>
    <w:rPr>
      <w:i/>
      <w:iCs/>
      <w:lang w:val="en-AU" w:eastAsia="ar-SA"/>
    </w:rPr>
  </w:style>
  <w:style w:type="paragraph" w:customStyle="1" w:styleId="Szvegtrzs22">
    <w:name w:val="Szövegtörzs 22"/>
    <w:basedOn w:val="Normal"/>
    <w:uiPriority w:val="99"/>
    <w:rsid w:val="00466A48"/>
    <w:pPr>
      <w:suppressAutoHyphens/>
      <w:jc w:val="both"/>
    </w:pPr>
    <w:rPr>
      <w:iCs/>
      <w:lang w:eastAsia="ar-SA"/>
    </w:rPr>
  </w:style>
  <w:style w:type="paragraph" w:customStyle="1" w:styleId="f3fsz3fveg">
    <w:name w:val="fõ3fszö3fveg"/>
    <w:basedOn w:val="Normal"/>
    <w:rsid w:val="00D0654C"/>
    <w:pPr>
      <w:widowControl w:val="0"/>
      <w:autoSpaceDN w:val="0"/>
      <w:adjustRightInd w:val="0"/>
      <w:ind w:firstLine="709"/>
    </w:pPr>
    <w:rPr>
      <w:sz w:val="20"/>
      <w:szCs w:val="20"/>
      <w:lang w:val="hu-HU" w:eastAsia="hu-HU"/>
    </w:rPr>
  </w:style>
  <w:style w:type="character" w:styleId="FollowedHyperlink">
    <w:name w:val="FollowedHyperlink"/>
    <w:uiPriority w:val="99"/>
    <w:semiHidden/>
    <w:unhideWhenUsed/>
    <w:rsid w:val="006B1924"/>
    <w:rPr>
      <w:color w:val="800080"/>
      <w:u w:val="single"/>
    </w:rPr>
  </w:style>
  <w:style w:type="character" w:customStyle="1" w:styleId="Lbjegyzet-karakterek">
    <w:name w:val="Lábjegyzet-karakterek"/>
    <w:rsid w:val="00CA5F94"/>
    <w:rPr>
      <w:rFonts w:cs="Times New Roman"/>
      <w:vertAlign w:val="superscript"/>
    </w:rPr>
  </w:style>
  <w:style w:type="paragraph" w:customStyle="1" w:styleId="Szvegtrzs21">
    <w:name w:val="Szövegtörzs 21"/>
    <w:basedOn w:val="Normal"/>
    <w:rsid w:val="0000609D"/>
    <w:pPr>
      <w:suppressAutoHyphens/>
      <w:jc w:val="both"/>
    </w:pPr>
    <w:rPr>
      <w:iCs/>
      <w:lang w:eastAsia="ar-SA"/>
    </w:rPr>
  </w:style>
  <w:style w:type="paragraph" w:customStyle="1" w:styleId="Szvegtrzs31">
    <w:name w:val="Szövegtörzs 31"/>
    <w:basedOn w:val="Normal"/>
    <w:rsid w:val="007F2EEE"/>
    <w:pPr>
      <w:suppressAutoHyphens/>
      <w:spacing w:after="120"/>
      <w:jc w:val="both"/>
    </w:pPr>
    <w:rPr>
      <w:i/>
      <w:iCs/>
      <w:lang w:val="en-AU" w:eastAsia="ar-SA"/>
    </w:rPr>
  </w:style>
  <w:style w:type="paragraph" w:customStyle="1" w:styleId="Fszveg">
    <w:name w:val="Főszöveg"/>
    <w:basedOn w:val="Szvegtrzs31"/>
    <w:rsid w:val="007F2EEE"/>
    <w:pPr>
      <w:autoSpaceDE w:val="0"/>
      <w:spacing w:after="0" w:line="360" w:lineRule="auto"/>
    </w:pPr>
    <w:rPr>
      <w:i w:val="0"/>
      <w:iCs w:val="0"/>
      <w:sz w:val="28"/>
      <w:szCs w:val="28"/>
      <w:lang w:val="hu-HU"/>
    </w:rPr>
  </w:style>
  <w:style w:type="paragraph" w:customStyle="1" w:styleId="Csakszveg1">
    <w:name w:val="Csak szöveg1"/>
    <w:basedOn w:val="Normal"/>
    <w:rsid w:val="00BA285B"/>
    <w:pPr>
      <w:suppressAutoHyphens/>
    </w:pPr>
    <w:rPr>
      <w:rFonts w:ascii="Consolas" w:eastAsia="Calibri" w:hAnsi="Consolas"/>
      <w:sz w:val="21"/>
      <w:szCs w:val="21"/>
      <w:lang w:val="nl-BE" w:eastAsia="ar-SA"/>
    </w:rPr>
  </w:style>
  <w:style w:type="paragraph" w:customStyle="1" w:styleId="Megjegyzstrgya1">
    <w:name w:val="Megjegyzés tárgya1"/>
    <w:basedOn w:val="Normal"/>
    <w:next w:val="Normal"/>
    <w:rsid w:val="006E5B12"/>
    <w:pPr>
      <w:suppressAutoHyphens/>
    </w:pPr>
    <w:rPr>
      <w:b/>
      <w:bCs/>
      <w:sz w:val="20"/>
      <w:szCs w:val="20"/>
      <w:lang w:eastAsia="ar-SA"/>
    </w:rPr>
  </w:style>
  <w:style w:type="character" w:customStyle="1" w:styleId="Lbjegyzet-hivatkozs2">
    <w:name w:val="Lábjegyzet-hivatkozás2"/>
    <w:rsid w:val="006E5B12"/>
    <w:rPr>
      <w:vertAlign w:val="superscript"/>
    </w:rPr>
  </w:style>
  <w:style w:type="paragraph" w:styleId="Quote">
    <w:name w:val="Quote"/>
    <w:basedOn w:val="Normal"/>
    <w:next w:val="Normal"/>
    <w:link w:val="QuoteChar"/>
    <w:uiPriority w:val="29"/>
    <w:qFormat/>
    <w:rsid w:val="002803A1"/>
    <w:pPr>
      <w:ind w:left="567"/>
    </w:pPr>
    <w:rPr>
      <w:rFonts w:ascii="Arial" w:hAnsi="Arial"/>
      <w:i/>
      <w:iCs/>
      <w:color w:val="000000"/>
    </w:rPr>
  </w:style>
  <w:style w:type="character" w:customStyle="1" w:styleId="QuoteChar">
    <w:name w:val="Quote Char"/>
    <w:link w:val="Quote"/>
    <w:uiPriority w:val="29"/>
    <w:rsid w:val="002803A1"/>
    <w:rPr>
      <w:rFonts w:ascii="Arial" w:hAnsi="Arial" w:cs="Arial"/>
      <w:i/>
      <w:iCs/>
      <w:color w:val="000000"/>
      <w:sz w:val="24"/>
      <w:szCs w:val="24"/>
      <w:lang w:val="en-GB" w:eastAsia="en-US"/>
    </w:rPr>
  </w:style>
  <w:style w:type="paragraph" w:customStyle="1" w:styleId="Szneslista1jellszn1">
    <w:name w:val="Színes lista – 1. jelölőszín1"/>
    <w:basedOn w:val="Normal"/>
    <w:uiPriority w:val="99"/>
    <w:qFormat/>
    <w:rsid w:val="006B1924"/>
    <w:pPr>
      <w:ind w:left="708"/>
    </w:pPr>
  </w:style>
  <w:style w:type="paragraph" w:customStyle="1" w:styleId="Szakasz">
    <w:name w:val="Szakasz"/>
    <w:basedOn w:val="Normal"/>
    <w:next w:val="Normal"/>
    <w:rsid w:val="006B1924"/>
    <w:pPr>
      <w:keepNext/>
      <w:suppressAutoHyphens/>
      <w:autoSpaceDE w:val="0"/>
      <w:spacing w:before="480" w:after="480" w:line="360" w:lineRule="auto"/>
      <w:jc w:val="center"/>
    </w:pPr>
    <w:rPr>
      <w:b/>
      <w:bCs/>
      <w:sz w:val="28"/>
      <w:szCs w:val="28"/>
      <w:lang w:val="hu-HU" w:eastAsia="ar-SA"/>
    </w:rPr>
  </w:style>
  <w:style w:type="paragraph" w:customStyle="1" w:styleId="Sznesrnykols1jellszn1">
    <w:name w:val="Színes árnyékolás – 1. jelölőszín1"/>
    <w:hidden/>
    <w:uiPriority w:val="71"/>
    <w:rsid w:val="006B1924"/>
    <w:rPr>
      <w:sz w:val="24"/>
      <w:szCs w:val="24"/>
      <w:lang w:eastAsia="en-US"/>
    </w:rPr>
  </w:style>
  <w:style w:type="paragraph" w:styleId="Revision">
    <w:name w:val="Revision"/>
    <w:hidden/>
    <w:uiPriority w:val="99"/>
    <w:semiHidden/>
    <w:rsid w:val="00BB4E9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9147">
      <w:bodyDiv w:val="1"/>
      <w:marLeft w:val="0"/>
      <w:marRight w:val="0"/>
      <w:marTop w:val="0"/>
      <w:marBottom w:val="0"/>
      <w:divBdr>
        <w:top w:val="none" w:sz="0" w:space="0" w:color="auto"/>
        <w:left w:val="none" w:sz="0" w:space="0" w:color="auto"/>
        <w:bottom w:val="none" w:sz="0" w:space="0" w:color="auto"/>
        <w:right w:val="none" w:sz="0" w:space="0" w:color="auto"/>
      </w:divBdr>
    </w:div>
    <w:div w:id="24142112">
      <w:bodyDiv w:val="1"/>
      <w:marLeft w:val="0"/>
      <w:marRight w:val="0"/>
      <w:marTop w:val="0"/>
      <w:marBottom w:val="0"/>
      <w:divBdr>
        <w:top w:val="none" w:sz="0" w:space="0" w:color="auto"/>
        <w:left w:val="none" w:sz="0" w:space="0" w:color="auto"/>
        <w:bottom w:val="none" w:sz="0" w:space="0" w:color="auto"/>
        <w:right w:val="none" w:sz="0" w:space="0" w:color="auto"/>
      </w:divBdr>
    </w:div>
    <w:div w:id="85611520">
      <w:bodyDiv w:val="1"/>
      <w:marLeft w:val="0"/>
      <w:marRight w:val="0"/>
      <w:marTop w:val="0"/>
      <w:marBottom w:val="0"/>
      <w:divBdr>
        <w:top w:val="none" w:sz="0" w:space="0" w:color="auto"/>
        <w:left w:val="none" w:sz="0" w:space="0" w:color="auto"/>
        <w:bottom w:val="none" w:sz="0" w:space="0" w:color="auto"/>
        <w:right w:val="none" w:sz="0" w:space="0" w:color="auto"/>
      </w:divBdr>
    </w:div>
    <w:div w:id="124813188">
      <w:bodyDiv w:val="1"/>
      <w:marLeft w:val="0"/>
      <w:marRight w:val="0"/>
      <w:marTop w:val="0"/>
      <w:marBottom w:val="0"/>
      <w:divBdr>
        <w:top w:val="none" w:sz="0" w:space="0" w:color="auto"/>
        <w:left w:val="none" w:sz="0" w:space="0" w:color="auto"/>
        <w:bottom w:val="none" w:sz="0" w:space="0" w:color="auto"/>
        <w:right w:val="none" w:sz="0" w:space="0" w:color="auto"/>
      </w:divBdr>
    </w:div>
    <w:div w:id="133329454">
      <w:bodyDiv w:val="1"/>
      <w:marLeft w:val="0"/>
      <w:marRight w:val="0"/>
      <w:marTop w:val="0"/>
      <w:marBottom w:val="0"/>
      <w:divBdr>
        <w:top w:val="none" w:sz="0" w:space="0" w:color="auto"/>
        <w:left w:val="none" w:sz="0" w:space="0" w:color="auto"/>
        <w:bottom w:val="none" w:sz="0" w:space="0" w:color="auto"/>
        <w:right w:val="none" w:sz="0" w:space="0" w:color="auto"/>
      </w:divBdr>
    </w:div>
    <w:div w:id="135420124">
      <w:bodyDiv w:val="1"/>
      <w:marLeft w:val="0"/>
      <w:marRight w:val="0"/>
      <w:marTop w:val="0"/>
      <w:marBottom w:val="0"/>
      <w:divBdr>
        <w:top w:val="none" w:sz="0" w:space="0" w:color="auto"/>
        <w:left w:val="none" w:sz="0" w:space="0" w:color="auto"/>
        <w:bottom w:val="none" w:sz="0" w:space="0" w:color="auto"/>
        <w:right w:val="none" w:sz="0" w:space="0" w:color="auto"/>
      </w:divBdr>
    </w:div>
    <w:div w:id="195197695">
      <w:bodyDiv w:val="1"/>
      <w:marLeft w:val="0"/>
      <w:marRight w:val="0"/>
      <w:marTop w:val="0"/>
      <w:marBottom w:val="0"/>
      <w:divBdr>
        <w:top w:val="none" w:sz="0" w:space="0" w:color="auto"/>
        <w:left w:val="none" w:sz="0" w:space="0" w:color="auto"/>
        <w:bottom w:val="none" w:sz="0" w:space="0" w:color="auto"/>
        <w:right w:val="none" w:sz="0" w:space="0" w:color="auto"/>
      </w:divBdr>
    </w:div>
    <w:div w:id="198516255">
      <w:bodyDiv w:val="1"/>
      <w:marLeft w:val="0"/>
      <w:marRight w:val="0"/>
      <w:marTop w:val="0"/>
      <w:marBottom w:val="0"/>
      <w:divBdr>
        <w:top w:val="none" w:sz="0" w:space="0" w:color="auto"/>
        <w:left w:val="none" w:sz="0" w:space="0" w:color="auto"/>
        <w:bottom w:val="none" w:sz="0" w:space="0" w:color="auto"/>
        <w:right w:val="none" w:sz="0" w:space="0" w:color="auto"/>
      </w:divBdr>
    </w:div>
    <w:div w:id="250092946">
      <w:bodyDiv w:val="1"/>
      <w:marLeft w:val="0"/>
      <w:marRight w:val="0"/>
      <w:marTop w:val="0"/>
      <w:marBottom w:val="0"/>
      <w:divBdr>
        <w:top w:val="none" w:sz="0" w:space="0" w:color="auto"/>
        <w:left w:val="none" w:sz="0" w:space="0" w:color="auto"/>
        <w:bottom w:val="none" w:sz="0" w:space="0" w:color="auto"/>
        <w:right w:val="none" w:sz="0" w:space="0" w:color="auto"/>
      </w:divBdr>
    </w:div>
    <w:div w:id="312950463">
      <w:bodyDiv w:val="1"/>
      <w:marLeft w:val="0"/>
      <w:marRight w:val="0"/>
      <w:marTop w:val="0"/>
      <w:marBottom w:val="0"/>
      <w:divBdr>
        <w:top w:val="none" w:sz="0" w:space="0" w:color="auto"/>
        <w:left w:val="none" w:sz="0" w:space="0" w:color="auto"/>
        <w:bottom w:val="none" w:sz="0" w:space="0" w:color="auto"/>
        <w:right w:val="none" w:sz="0" w:space="0" w:color="auto"/>
      </w:divBdr>
    </w:div>
    <w:div w:id="415594502">
      <w:bodyDiv w:val="1"/>
      <w:marLeft w:val="0"/>
      <w:marRight w:val="0"/>
      <w:marTop w:val="0"/>
      <w:marBottom w:val="0"/>
      <w:divBdr>
        <w:top w:val="none" w:sz="0" w:space="0" w:color="auto"/>
        <w:left w:val="none" w:sz="0" w:space="0" w:color="auto"/>
        <w:bottom w:val="none" w:sz="0" w:space="0" w:color="auto"/>
        <w:right w:val="none" w:sz="0" w:space="0" w:color="auto"/>
      </w:divBdr>
    </w:div>
    <w:div w:id="431239633">
      <w:bodyDiv w:val="1"/>
      <w:marLeft w:val="0"/>
      <w:marRight w:val="0"/>
      <w:marTop w:val="0"/>
      <w:marBottom w:val="0"/>
      <w:divBdr>
        <w:top w:val="none" w:sz="0" w:space="0" w:color="auto"/>
        <w:left w:val="none" w:sz="0" w:space="0" w:color="auto"/>
        <w:bottom w:val="none" w:sz="0" w:space="0" w:color="auto"/>
        <w:right w:val="none" w:sz="0" w:space="0" w:color="auto"/>
      </w:divBdr>
    </w:div>
    <w:div w:id="442186964">
      <w:bodyDiv w:val="1"/>
      <w:marLeft w:val="0"/>
      <w:marRight w:val="0"/>
      <w:marTop w:val="0"/>
      <w:marBottom w:val="0"/>
      <w:divBdr>
        <w:top w:val="none" w:sz="0" w:space="0" w:color="auto"/>
        <w:left w:val="none" w:sz="0" w:space="0" w:color="auto"/>
        <w:bottom w:val="none" w:sz="0" w:space="0" w:color="auto"/>
        <w:right w:val="none" w:sz="0" w:space="0" w:color="auto"/>
      </w:divBdr>
    </w:div>
    <w:div w:id="446318118">
      <w:bodyDiv w:val="1"/>
      <w:marLeft w:val="0"/>
      <w:marRight w:val="0"/>
      <w:marTop w:val="0"/>
      <w:marBottom w:val="0"/>
      <w:divBdr>
        <w:top w:val="none" w:sz="0" w:space="0" w:color="auto"/>
        <w:left w:val="none" w:sz="0" w:space="0" w:color="auto"/>
        <w:bottom w:val="none" w:sz="0" w:space="0" w:color="auto"/>
        <w:right w:val="none" w:sz="0" w:space="0" w:color="auto"/>
      </w:divBdr>
    </w:div>
    <w:div w:id="452947539">
      <w:bodyDiv w:val="1"/>
      <w:marLeft w:val="0"/>
      <w:marRight w:val="0"/>
      <w:marTop w:val="0"/>
      <w:marBottom w:val="0"/>
      <w:divBdr>
        <w:top w:val="none" w:sz="0" w:space="0" w:color="auto"/>
        <w:left w:val="none" w:sz="0" w:space="0" w:color="auto"/>
        <w:bottom w:val="none" w:sz="0" w:space="0" w:color="auto"/>
        <w:right w:val="none" w:sz="0" w:space="0" w:color="auto"/>
      </w:divBdr>
    </w:div>
    <w:div w:id="493305217">
      <w:bodyDiv w:val="1"/>
      <w:marLeft w:val="0"/>
      <w:marRight w:val="0"/>
      <w:marTop w:val="0"/>
      <w:marBottom w:val="0"/>
      <w:divBdr>
        <w:top w:val="none" w:sz="0" w:space="0" w:color="auto"/>
        <w:left w:val="none" w:sz="0" w:space="0" w:color="auto"/>
        <w:bottom w:val="none" w:sz="0" w:space="0" w:color="auto"/>
        <w:right w:val="none" w:sz="0" w:space="0" w:color="auto"/>
      </w:divBdr>
    </w:div>
    <w:div w:id="506284187">
      <w:bodyDiv w:val="1"/>
      <w:marLeft w:val="0"/>
      <w:marRight w:val="0"/>
      <w:marTop w:val="0"/>
      <w:marBottom w:val="0"/>
      <w:divBdr>
        <w:top w:val="none" w:sz="0" w:space="0" w:color="auto"/>
        <w:left w:val="none" w:sz="0" w:space="0" w:color="auto"/>
        <w:bottom w:val="none" w:sz="0" w:space="0" w:color="auto"/>
        <w:right w:val="none" w:sz="0" w:space="0" w:color="auto"/>
      </w:divBdr>
      <w:divsChild>
        <w:div w:id="1833839146">
          <w:marLeft w:val="0"/>
          <w:marRight w:val="0"/>
          <w:marTop w:val="0"/>
          <w:marBottom w:val="0"/>
          <w:divBdr>
            <w:top w:val="none" w:sz="0" w:space="0" w:color="auto"/>
            <w:left w:val="none" w:sz="0" w:space="0" w:color="auto"/>
            <w:bottom w:val="none" w:sz="0" w:space="0" w:color="auto"/>
            <w:right w:val="none" w:sz="0" w:space="0" w:color="auto"/>
          </w:divBdr>
          <w:divsChild>
            <w:div w:id="182354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17553">
      <w:bodyDiv w:val="1"/>
      <w:marLeft w:val="0"/>
      <w:marRight w:val="0"/>
      <w:marTop w:val="0"/>
      <w:marBottom w:val="0"/>
      <w:divBdr>
        <w:top w:val="none" w:sz="0" w:space="0" w:color="auto"/>
        <w:left w:val="none" w:sz="0" w:space="0" w:color="auto"/>
        <w:bottom w:val="none" w:sz="0" w:space="0" w:color="auto"/>
        <w:right w:val="none" w:sz="0" w:space="0" w:color="auto"/>
      </w:divBdr>
    </w:div>
    <w:div w:id="574627382">
      <w:bodyDiv w:val="1"/>
      <w:marLeft w:val="0"/>
      <w:marRight w:val="0"/>
      <w:marTop w:val="0"/>
      <w:marBottom w:val="0"/>
      <w:divBdr>
        <w:top w:val="none" w:sz="0" w:space="0" w:color="auto"/>
        <w:left w:val="none" w:sz="0" w:space="0" w:color="auto"/>
        <w:bottom w:val="none" w:sz="0" w:space="0" w:color="auto"/>
        <w:right w:val="none" w:sz="0" w:space="0" w:color="auto"/>
      </w:divBdr>
    </w:div>
    <w:div w:id="718938831">
      <w:bodyDiv w:val="1"/>
      <w:marLeft w:val="0"/>
      <w:marRight w:val="0"/>
      <w:marTop w:val="0"/>
      <w:marBottom w:val="0"/>
      <w:divBdr>
        <w:top w:val="none" w:sz="0" w:space="0" w:color="auto"/>
        <w:left w:val="none" w:sz="0" w:space="0" w:color="auto"/>
        <w:bottom w:val="none" w:sz="0" w:space="0" w:color="auto"/>
        <w:right w:val="none" w:sz="0" w:space="0" w:color="auto"/>
      </w:divBdr>
    </w:div>
    <w:div w:id="826290838">
      <w:bodyDiv w:val="1"/>
      <w:marLeft w:val="0"/>
      <w:marRight w:val="0"/>
      <w:marTop w:val="0"/>
      <w:marBottom w:val="0"/>
      <w:divBdr>
        <w:top w:val="none" w:sz="0" w:space="0" w:color="auto"/>
        <w:left w:val="none" w:sz="0" w:space="0" w:color="auto"/>
        <w:bottom w:val="none" w:sz="0" w:space="0" w:color="auto"/>
        <w:right w:val="none" w:sz="0" w:space="0" w:color="auto"/>
      </w:divBdr>
    </w:div>
    <w:div w:id="844517477">
      <w:bodyDiv w:val="1"/>
      <w:marLeft w:val="0"/>
      <w:marRight w:val="0"/>
      <w:marTop w:val="0"/>
      <w:marBottom w:val="0"/>
      <w:divBdr>
        <w:top w:val="none" w:sz="0" w:space="0" w:color="auto"/>
        <w:left w:val="none" w:sz="0" w:space="0" w:color="auto"/>
        <w:bottom w:val="none" w:sz="0" w:space="0" w:color="auto"/>
        <w:right w:val="none" w:sz="0" w:space="0" w:color="auto"/>
      </w:divBdr>
    </w:div>
    <w:div w:id="879367813">
      <w:bodyDiv w:val="1"/>
      <w:marLeft w:val="0"/>
      <w:marRight w:val="0"/>
      <w:marTop w:val="0"/>
      <w:marBottom w:val="0"/>
      <w:divBdr>
        <w:top w:val="none" w:sz="0" w:space="0" w:color="auto"/>
        <w:left w:val="none" w:sz="0" w:space="0" w:color="auto"/>
        <w:bottom w:val="none" w:sz="0" w:space="0" w:color="auto"/>
        <w:right w:val="none" w:sz="0" w:space="0" w:color="auto"/>
      </w:divBdr>
    </w:div>
    <w:div w:id="925765915">
      <w:bodyDiv w:val="1"/>
      <w:marLeft w:val="0"/>
      <w:marRight w:val="0"/>
      <w:marTop w:val="0"/>
      <w:marBottom w:val="0"/>
      <w:divBdr>
        <w:top w:val="none" w:sz="0" w:space="0" w:color="auto"/>
        <w:left w:val="none" w:sz="0" w:space="0" w:color="auto"/>
        <w:bottom w:val="none" w:sz="0" w:space="0" w:color="auto"/>
        <w:right w:val="none" w:sz="0" w:space="0" w:color="auto"/>
      </w:divBdr>
    </w:div>
    <w:div w:id="1000618535">
      <w:bodyDiv w:val="1"/>
      <w:marLeft w:val="0"/>
      <w:marRight w:val="0"/>
      <w:marTop w:val="0"/>
      <w:marBottom w:val="0"/>
      <w:divBdr>
        <w:top w:val="none" w:sz="0" w:space="0" w:color="auto"/>
        <w:left w:val="none" w:sz="0" w:space="0" w:color="auto"/>
        <w:bottom w:val="none" w:sz="0" w:space="0" w:color="auto"/>
        <w:right w:val="none" w:sz="0" w:space="0" w:color="auto"/>
      </w:divBdr>
    </w:div>
    <w:div w:id="1009217840">
      <w:bodyDiv w:val="1"/>
      <w:marLeft w:val="0"/>
      <w:marRight w:val="0"/>
      <w:marTop w:val="0"/>
      <w:marBottom w:val="0"/>
      <w:divBdr>
        <w:top w:val="none" w:sz="0" w:space="0" w:color="auto"/>
        <w:left w:val="none" w:sz="0" w:space="0" w:color="auto"/>
        <w:bottom w:val="none" w:sz="0" w:space="0" w:color="auto"/>
        <w:right w:val="none" w:sz="0" w:space="0" w:color="auto"/>
      </w:divBdr>
      <w:divsChild>
        <w:div w:id="1100292166">
          <w:marLeft w:val="0"/>
          <w:marRight w:val="0"/>
          <w:marTop w:val="0"/>
          <w:marBottom w:val="0"/>
          <w:divBdr>
            <w:top w:val="none" w:sz="0" w:space="0" w:color="auto"/>
            <w:left w:val="none" w:sz="0" w:space="0" w:color="auto"/>
            <w:bottom w:val="none" w:sz="0" w:space="0" w:color="auto"/>
            <w:right w:val="none" w:sz="0" w:space="0" w:color="auto"/>
          </w:divBdr>
        </w:div>
      </w:divsChild>
    </w:div>
    <w:div w:id="1044064193">
      <w:bodyDiv w:val="1"/>
      <w:marLeft w:val="0"/>
      <w:marRight w:val="0"/>
      <w:marTop w:val="0"/>
      <w:marBottom w:val="0"/>
      <w:divBdr>
        <w:top w:val="none" w:sz="0" w:space="0" w:color="auto"/>
        <w:left w:val="none" w:sz="0" w:space="0" w:color="auto"/>
        <w:bottom w:val="none" w:sz="0" w:space="0" w:color="auto"/>
        <w:right w:val="none" w:sz="0" w:space="0" w:color="auto"/>
      </w:divBdr>
    </w:div>
    <w:div w:id="1128431528">
      <w:bodyDiv w:val="1"/>
      <w:marLeft w:val="0"/>
      <w:marRight w:val="0"/>
      <w:marTop w:val="0"/>
      <w:marBottom w:val="0"/>
      <w:divBdr>
        <w:top w:val="none" w:sz="0" w:space="0" w:color="auto"/>
        <w:left w:val="none" w:sz="0" w:space="0" w:color="auto"/>
        <w:bottom w:val="none" w:sz="0" w:space="0" w:color="auto"/>
        <w:right w:val="none" w:sz="0" w:space="0" w:color="auto"/>
      </w:divBdr>
    </w:div>
    <w:div w:id="1132210842">
      <w:bodyDiv w:val="1"/>
      <w:marLeft w:val="0"/>
      <w:marRight w:val="0"/>
      <w:marTop w:val="0"/>
      <w:marBottom w:val="0"/>
      <w:divBdr>
        <w:top w:val="none" w:sz="0" w:space="0" w:color="auto"/>
        <w:left w:val="none" w:sz="0" w:space="0" w:color="auto"/>
        <w:bottom w:val="none" w:sz="0" w:space="0" w:color="auto"/>
        <w:right w:val="none" w:sz="0" w:space="0" w:color="auto"/>
      </w:divBdr>
    </w:div>
    <w:div w:id="1151482347">
      <w:bodyDiv w:val="1"/>
      <w:marLeft w:val="0"/>
      <w:marRight w:val="0"/>
      <w:marTop w:val="0"/>
      <w:marBottom w:val="0"/>
      <w:divBdr>
        <w:top w:val="none" w:sz="0" w:space="0" w:color="auto"/>
        <w:left w:val="none" w:sz="0" w:space="0" w:color="auto"/>
        <w:bottom w:val="none" w:sz="0" w:space="0" w:color="auto"/>
        <w:right w:val="none" w:sz="0" w:space="0" w:color="auto"/>
      </w:divBdr>
    </w:div>
    <w:div w:id="1172178430">
      <w:bodyDiv w:val="1"/>
      <w:marLeft w:val="0"/>
      <w:marRight w:val="0"/>
      <w:marTop w:val="0"/>
      <w:marBottom w:val="0"/>
      <w:divBdr>
        <w:top w:val="none" w:sz="0" w:space="0" w:color="auto"/>
        <w:left w:val="none" w:sz="0" w:space="0" w:color="auto"/>
        <w:bottom w:val="none" w:sz="0" w:space="0" w:color="auto"/>
        <w:right w:val="none" w:sz="0" w:space="0" w:color="auto"/>
      </w:divBdr>
    </w:div>
    <w:div w:id="1183084223">
      <w:bodyDiv w:val="1"/>
      <w:marLeft w:val="0"/>
      <w:marRight w:val="0"/>
      <w:marTop w:val="0"/>
      <w:marBottom w:val="0"/>
      <w:divBdr>
        <w:top w:val="none" w:sz="0" w:space="0" w:color="auto"/>
        <w:left w:val="none" w:sz="0" w:space="0" w:color="auto"/>
        <w:bottom w:val="none" w:sz="0" w:space="0" w:color="auto"/>
        <w:right w:val="none" w:sz="0" w:space="0" w:color="auto"/>
      </w:divBdr>
    </w:div>
    <w:div w:id="1204638964">
      <w:bodyDiv w:val="1"/>
      <w:marLeft w:val="0"/>
      <w:marRight w:val="0"/>
      <w:marTop w:val="0"/>
      <w:marBottom w:val="0"/>
      <w:divBdr>
        <w:top w:val="none" w:sz="0" w:space="0" w:color="auto"/>
        <w:left w:val="none" w:sz="0" w:space="0" w:color="auto"/>
        <w:bottom w:val="none" w:sz="0" w:space="0" w:color="auto"/>
        <w:right w:val="none" w:sz="0" w:space="0" w:color="auto"/>
      </w:divBdr>
    </w:div>
    <w:div w:id="1251155896">
      <w:bodyDiv w:val="1"/>
      <w:marLeft w:val="0"/>
      <w:marRight w:val="0"/>
      <w:marTop w:val="0"/>
      <w:marBottom w:val="0"/>
      <w:divBdr>
        <w:top w:val="none" w:sz="0" w:space="0" w:color="auto"/>
        <w:left w:val="none" w:sz="0" w:space="0" w:color="auto"/>
        <w:bottom w:val="none" w:sz="0" w:space="0" w:color="auto"/>
        <w:right w:val="none" w:sz="0" w:space="0" w:color="auto"/>
      </w:divBdr>
    </w:div>
    <w:div w:id="1306860297">
      <w:bodyDiv w:val="1"/>
      <w:marLeft w:val="0"/>
      <w:marRight w:val="0"/>
      <w:marTop w:val="0"/>
      <w:marBottom w:val="0"/>
      <w:divBdr>
        <w:top w:val="none" w:sz="0" w:space="0" w:color="auto"/>
        <w:left w:val="none" w:sz="0" w:space="0" w:color="auto"/>
        <w:bottom w:val="none" w:sz="0" w:space="0" w:color="auto"/>
        <w:right w:val="none" w:sz="0" w:space="0" w:color="auto"/>
      </w:divBdr>
    </w:div>
    <w:div w:id="1309549997">
      <w:bodyDiv w:val="1"/>
      <w:marLeft w:val="0"/>
      <w:marRight w:val="0"/>
      <w:marTop w:val="0"/>
      <w:marBottom w:val="0"/>
      <w:divBdr>
        <w:top w:val="none" w:sz="0" w:space="0" w:color="auto"/>
        <w:left w:val="none" w:sz="0" w:space="0" w:color="auto"/>
        <w:bottom w:val="none" w:sz="0" w:space="0" w:color="auto"/>
        <w:right w:val="none" w:sz="0" w:space="0" w:color="auto"/>
      </w:divBdr>
    </w:div>
    <w:div w:id="1326401786">
      <w:bodyDiv w:val="1"/>
      <w:marLeft w:val="0"/>
      <w:marRight w:val="0"/>
      <w:marTop w:val="0"/>
      <w:marBottom w:val="0"/>
      <w:divBdr>
        <w:top w:val="none" w:sz="0" w:space="0" w:color="auto"/>
        <w:left w:val="none" w:sz="0" w:space="0" w:color="auto"/>
        <w:bottom w:val="none" w:sz="0" w:space="0" w:color="auto"/>
        <w:right w:val="none" w:sz="0" w:space="0" w:color="auto"/>
      </w:divBdr>
    </w:div>
    <w:div w:id="1426461129">
      <w:bodyDiv w:val="1"/>
      <w:marLeft w:val="0"/>
      <w:marRight w:val="0"/>
      <w:marTop w:val="0"/>
      <w:marBottom w:val="0"/>
      <w:divBdr>
        <w:top w:val="none" w:sz="0" w:space="0" w:color="auto"/>
        <w:left w:val="none" w:sz="0" w:space="0" w:color="auto"/>
        <w:bottom w:val="none" w:sz="0" w:space="0" w:color="auto"/>
        <w:right w:val="none" w:sz="0" w:space="0" w:color="auto"/>
      </w:divBdr>
    </w:div>
    <w:div w:id="1460106935">
      <w:bodyDiv w:val="1"/>
      <w:marLeft w:val="0"/>
      <w:marRight w:val="0"/>
      <w:marTop w:val="0"/>
      <w:marBottom w:val="0"/>
      <w:divBdr>
        <w:top w:val="none" w:sz="0" w:space="0" w:color="auto"/>
        <w:left w:val="none" w:sz="0" w:space="0" w:color="auto"/>
        <w:bottom w:val="none" w:sz="0" w:space="0" w:color="auto"/>
        <w:right w:val="none" w:sz="0" w:space="0" w:color="auto"/>
      </w:divBdr>
    </w:div>
    <w:div w:id="1462655579">
      <w:bodyDiv w:val="1"/>
      <w:marLeft w:val="0"/>
      <w:marRight w:val="0"/>
      <w:marTop w:val="0"/>
      <w:marBottom w:val="0"/>
      <w:divBdr>
        <w:top w:val="none" w:sz="0" w:space="0" w:color="auto"/>
        <w:left w:val="none" w:sz="0" w:space="0" w:color="auto"/>
        <w:bottom w:val="none" w:sz="0" w:space="0" w:color="auto"/>
        <w:right w:val="none" w:sz="0" w:space="0" w:color="auto"/>
      </w:divBdr>
    </w:div>
    <w:div w:id="1472988810">
      <w:bodyDiv w:val="1"/>
      <w:marLeft w:val="0"/>
      <w:marRight w:val="0"/>
      <w:marTop w:val="0"/>
      <w:marBottom w:val="0"/>
      <w:divBdr>
        <w:top w:val="none" w:sz="0" w:space="0" w:color="auto"/>
        <w:left w:val="none" w:sz="0" w:space="0" w:color="auto"/>
        <w:bottom w:val="none" w:sz="0" w:space="0" w:color="auto"/>
        <w:right w:val="none" w:sz="0" w:space="0" w:color="auto"/>
      </w:divBdr>
    </w:div>
    <w:div w:id="1530339700">
      <w:bodyDiv w:val="1"/>
      <w:marLeft w:val="0"/>
      <w:marRight w:val="0"/>
      <w:marTop w:val="0"/>
      <w:marBottom w:val="0"/>
      <w:divBdr>
        <w:top w:val="none" w:sz="0" w:space="0" w:color="auto"/>
        <w:left w:val="none" w:sz="0" w:space="0" w:color="auto"/>
        <w:bottom w:val="none" w:sz="0" w:space="0" w:color="auto"/>
        <w:right w:val="none" w:sz="0" w:space="0" w:color="auto"/>
      </w:divBdr>
    </w:div>
    <w:div w:id="1569612065">
      <w:bodyDiv w:val="1"/>
      <w:marLeft w:val="0"/>
      <w:marRight w:val="0"/>
      <w:marTop w:val="0"/>
      <w:marBottom w:val="0"/>
      <w:divBdr>
        <w:top w:val="none" w:sz="0" w:space="0" w:color="auto"/>
        <w:left w:val="none" w:sz="0" w:space="0" w:color="auto"/>
        <w:bottom w:val="none" w:sz="0" w:space="0" w:color="auto"/>
        <w:right w:val="none" w:sz="0" w:space="0" w:color="auto"/>
      </w:divBdr>
    </w:div>
    <w:div w:id="1589538564">
      <w:bodyDiv w:val="1"/>
      <w:marLeft w:val="0"/>
      <w:marRight w:val="0"/>
      <w:marTop w:val="0"/>
      <w:marBottom w:val="0"/>
      <w:divBdr>
        <w:top w:val="none" w:sz="0" w:space="0" w:color="auto"/>
        <w:left w:val="none" w:sz="0" w:space="0" w:color="auto"/>
        <w:bottom w:val="none" w:sz="0" w:space="0" w:color="auto"/>
        <w:right w:val="none" w:sz="0" w:space="0" w:color="auto"/>
      </w:divBdr>
    </w:div>
    <w:div w:id="1600673875">
      <w:bodyDiv w:val="1"/>
      <w:marLeft w:val="0"/>
      <w:marRight w:val="0"/>
      <w:marTop w:val="0"/>
      <w:marBottom w:val="0"/>
      <w:divBdr>
        <w:top w:val="none" w:sz="0" w:space="0" w:color="auto"/>
        <w:left w:val="none" w:sz="0" w:space="0" w:color="auto"/>
        <w:bottom w:val="none" w:sz="0" w:space="0" w:color="auto"/>
        <w:right w:val="none" w:sz="0" w:space="0" w:color="auto"/>
      </w:divBdr>
    </w:div>
    <w:div w:id="1657606523">
      <w:bodyDiv w:val="1"/>
      <w:marLeft w:val="0"/>
      <w:marRight w:val="0"/>
      <w:marTop w:val="0"/>
      <w:marBottom w:val="0"/>
      <w:divBdr>
        <w:top w:val="none" w:sz="0" w:space="0" w:color="auto"/>
        <w:left w:val="none" w:sz="0" w:space="0" w:color="auto"/>
        <w:bottom w:val="none" w:sz="0" w:space="0" w:color="auto"/>
        <w:right w:val="none" w:sz="0" w:space="0" w:color="auto"/>
      </w:divBdr>
    </w:div>
    <w:div w:id="1692494326">
      <w:bodyDiv w:val="1"/>
      <w:marLeft w:val="0"/>
      <w:marRight w:val="0"/>
      <w:marTop w:val="0"/>
      <w:marBottom w:val="0"/>
      <w:divBdr>
        <w:top w:val="none" w:sz="0" w:space="0" w:color="auto"/>
        <w:left w:val="none" w:sz="0" w:space="0" w:color="auto"/>
        <w:bottom w:val="none" w:sz="0" w:space="0" w:color="auto"/>
        <w:right w:val="none" w:sz="0" w:space="0" w:color="auto"/>
      </w:divBdr>
    </w:div>
    <w:div w:id="1772510636">
      <w:bodyDiv w:val="1"/>
      <w:marLeft w:val="0"/>
      <w:marRight w:val="0"/>
      <w:marTop w:val="0"/>
      <w:marBottom w:val="0"/>
      <w:divBdr>
        <w:top w:val="none" w:sz="0" w:space="0" w:color="auto"/>
        <w:left w:val="none" w:sz="0" w:space="0" w:color="auto"/>
        <w:bottom w:val="none" w:sz="0" w:space="0" w:color="auto"/>
        <w:right w:val="none" w:sz="0" w:space="0" w:color="auto"/>
      </w:divBdr>
    </w:div>
    <w:div w:id="1783302154">
      <w:bodyDiv w:val="1"/>
      <w:marLeft w:val="0"/>
      <w:marRight w:val="0"/>
      <w:marTop w:val="0"/>
      <w:marBottom w:val="0"/>
      <w:divBdr>
        <w:top w:val="none" w:sz="0" w:space="0" w:color="auto"/>
        <w:left w:val="none" w:sz="0" w:space="0" w:color="auto"/>
        <w:bottom w:val="none" w:sz="0" w:space="0" w:color="auto"/>
        <w:right w:val="none" w:sz="0" w:space="0" w:color="auto"/>
      </w:divBdr>
    </w:div>
    <w:div w:id="1789661534">
      <w:bodyDiv w:val="1"/>
      <w:marLeft w:val="0"/>
      <w:marRight w:val="0"/>
      <w:marTop w:val="0"/>
      <w:marBottom w:val="0"/>
      <w:divBdr>
        <w:top w:val="none" w:sz="0" w:space="0" w:color="auto"/>
        <w:left w:val="none" w:sz="0" w:space="0" w:color="auto"/>
        <w:bottom w:val="none" w:sz="0" w:space="0" w:color="auto"/>
        <w:right w:val="none" w:sz="0" w:space="0" w:color="auto"/>
      </w:divBdr>
    </w:div>
    <w:div w:id="1833328169">
      <w:bodyDiv w:val="1"/>
      <w:marLeft w:val="0"/>
      <w:marRight w:val="0"/>
      <w:marTop w:val="0"/>
      <w:marBottom w:val="0"/>
      <w:divBdr>
        <w:top w:val="none" w:sz="0" w:space="0" w:color="auto"/>
        <w:left w:val="none" w:sz="0" w:space="0" w:color="auto"/>
        <w:bottom w:val="none" w:sz="0" w:space="0" w:color="auto"/>
        <w:right w:val="none" w:sz="0" w:space="0" w:color="auto"/>
      </w:divBdr>
    </w:div>
    <w:div w:id="1910536897">
      <w:bodyDiv w:val="1"/>
      <w:marLeft w:val="0"/>
      <w:marRight w:val="0"/>
      <w:marTop w:val="0"/>
      <w:marBottom w:val="0"/>
      <w:divBdr>
        <w:top w:val="none" w:sz="0" w:space="0" w:color="auto"/>
        <w:left w:val="none" w:sz="0" w:space="0" w:color="auto"/>
        <w:bottom w:val="none" w:sz="0" w:space="0" w:color="auto"/>
        <w:right w:val="none" w:sz="0" w:space="0" w:color="auto"/>
      </w:divBdr>
    </w:div>
    <w:div w:id="1939676214">
      <w:bodyDiv w:val="1"/>
      <w:marLeft w:val="0"/>
      <w:marRight w:val="0"/>
      <w:marTop w:val="0"/>
      <w:marBottom w:val="0"/>
      <w:divBdr>
        <w:top w:val="none" w:sz="0" w:space="0" w:color="auto"/>
        <w:left w:val="none" w:sz="0" w:space="0" w:color="auto"/>
        <w:bottom w:val="none" w:sz="0" w:space="0" w:color="auto"/>
        <w:right w:val="none" w:sz="0" w:space="0" w:color="auto"/>
      </w:divBdr>
    </w:div>
    <w:div w:id="2051371943">
      <w:bodyDiv w:val="1"/>
      <w:marLeft w:val="0"/>
      <w:marRight w:val="0"/>
      <w:marTop w:val="0"/>
      <w:marBottom w:val="0"/>
      <w:divBdr>
        <w:top w:val="none" w:sz="0" w:space="0" w:color="auto"/>
        <w:left w:val="none" w:sz="0" w:space="0" w:color="auto"/>
        <w:bottom w:val="none" w:sz="0" w:space="0" w:color="auto"/>
        <w:right w:val="none" w:sz="0" w:space="0" w:color="auto"/>
      </w:divBdr>
    </w:div>
    <w:div w:id="2093770191">
      <w:bodyDiv w:val="1"/>
      <w:marLeft w:val="0"/>
      <w:marRight w:val="0"/>
      <w:marTop w:val="0"/>
      <w:marBottom w:val="0"/>
      <w:divBdr>
        <w:top w:val="none" w:sz="0" w:space="0" w:color="auto"/>
        <w:left w:val="none" w:sz="0" w:space="0" w:color="auto"/>
        <w:bottom w:val="none" w:sz="0" w:space="0" w:color="auto"/>
        <w:right w:val="none" w:sz="0" w:space="0" w:color="auto"/>
      </w:divBdr>
      <w:divsChild>
        <w:div w:id="1628705046">
          <w:marLeft w:val="0"/>
          <w:marRight w:val="0"/>
          <w:marTop w:val="65"/>
          <w:marBottom w:val="65"/>
          <w:divBdr>
            <w:top w:val="none" w:sz="0" w:space="0" w:color="auto"/>
            <w:left w:val="none" w:sz="0" w:space="0" w:color="auto"/>
            <w:bottom w:val="none" w:sz="0" w:space="0" w:color="auto"/>
            <w:right w:val="none" w:sz="0" w:space="0" w:color="auto"/>
          </w:divBdr>
          <w:divsChild>
            <w:div w:id="1697853339">
              <w:marLeft w:val="0"/>
              <w:marRight w:val="0"/>
              <w:marTop w:val="372"/>
              <w:marBottom w:val="0"/>
              <w:divBdr>
                <w:top w:val="none" w:sz="0" w:space="0" w:color="auto"/>
                <w:left w:val="none" w:sz="0" w:space="0" w:color="auto"/>
                <w:bottom w:val="none" w:sz="0" w:space="0" w:color="auto"/>
                <w:right w:val="none" w:sz="0" w:space="0" w:color="auto"/>
              </w:divBdr>
              <w:divsChild>
                <w:div w:id="1609387890">
                  <w:marLeft w:val="0"/>
                  <w:marRight w:val="0"/>
                  <w:marTop w:val="120"/>
                  <w:marBottom w:val="0"/>
                  <w:divBdr>
                    <w:top w:val="single" w:sz="4" w:space="6" w:color="9D9C9C"/>
                    <w:left w:val="single" w:sz="4" w:space="6" w:color="9D9C9C"/>
                    <w:bottom w:val="single" w:sz="4" w:space="6" w:color="9D9C9C"/>
                    <w:right w:val="single" w:sz="4" w:space="6" w:color="9D9C9C"/>
                  </w:divBdr>
                  <w:divsChild>
                    <w:div w:id="1090197338">
                      <w:marLeft w:val="0"/>
                      <w:marRight w:val="0"/>
                      <w:marTop w:val="0"/>
                      <w:marBottom w:val="0"/>
                      <w:divBdr>
                        <w:top w:val="none" w:sz="0" w:space="0" w:color="auto"/>
                        <w:left w:val="none" w:sz="0" w:space="0" w:color="auto"/>
                        <w:bottom w:val="none" w:sz="0" w:space="0" w:color="auto"/>
                        <w:right w:val="none" w:sz="0" w:space="0" w:color="auto"/>
                      </w:divBdr>
                      <w:divsChild>
                        <w:div w:id="599531364">
                          <w:marLeft w:val="0"/>
                          <w:marRight w:val="0"/>
                          <w:marTop w:val="240"/>
                          <w:marBottom w:val="0"/>
                          <w:divBdr>
                            <w:top w:val="none" w:sz="0" w:space="0" w:color="auto"/>
                            <w:left w:val="none" w:sz="0" w:space="0" w:color="auto"/>
                            <w:bottom w:val="none" w:sz="0" w:space="0" w:color="auto"/>
                            <w:right w:val="none" w:sz="0" w:space="0" w:color="auto"/>
                          </w:divBdr>
                          <w:divsChild>
                            <w:div w:id="331421211">
                              <w:marLeft w:val="0"/>
                              <w:marRight w:val="0"/>
                              <w:marTop w:val="0"/>
                              <w:marBottom w:val="0"/>
                              <w:divBdr>
                                <w:top w:val="none" w:sz="0" w:space="0" w:color="auto"/>
                                <w:left w:val="none" w:sz="0" w:space="0" w:color="auto"/>
                                <w:bottom w:val="none" w:sz="0" w:space="0" w:color="auto"/>
                                <w:right w:val="none" w:sz="0" w:space="0" w:color="auto"/>
                              </w:divBdr>
                              <w:divsChild>
                                <w:div w:id="177146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223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info@migpolgroup.com" TargetMode="External"/><Relationship Id="rId18" Type="http://schemas.openxmlformats.org/officeDocument/2006/relationships/hyperlink" Target="http://www.ohchr.org/" TargetMode="External"/><Relationship Id="rId26" Type="http://schemas.openxmlformats.org/officeDocument/2006/relationships/hyperlink" Target="http://jogszabalykereso.mhk.hu/cgi_bin/njt_doc.cgi?docid=479.620447" TargetMode="External"/><Relationship Id="rId39" Type="http://schemas.openxmlformats.org/officeDocument/2006/relationships/hyperlink" Target="http://www.cfcf.hu/en/component/content/article/192-a-legfelsbb-birosag-koezlemenye.html" TargetMode="External"/><Relationship Id="rId21" Type="http://schemas.openxmlformats.org/officeDocument/2006/relationships/footer" Target="footer1.xml"/><Relationship Id="rId34" Type="http://schemas.openxmlformats.org/officeDocument/2006/relationships/header" Target="header4.xml"/><Relationship Id="rId42" Type="http://schemas.openxmlformats.org/officeDocument/2006/relationships/hyperlink" Target="http://www.egyenlobanasmod.hu/jogesetek/hu/zanza0307.pdf" TargetMode="External"/><Relationship Id="rId47" Type="http://schemas.openxmlformats.org/officeDocument/2006/relationships/hyperlink" Target="http://www.egyenlobanasmod.hu/jogesetek/hu/1003-2008.pdf" TargetMode="External"/><Relationship Id="rId50" Type="http://schemas.openxmlformats.org/officeDocument/2006/relationships/hyperlink" Target="http://www.egyenlobanasmod.hu/jogesetek/hu/234-2009.pdf" TargetMode="External"/><Relationship Id="rId55" Type="http://schemas.openxmlformats.org/officeDocument/2006/relationships/hyperlink" Target="http://www.egyenlobanasmod.hu/data/543-2012.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public.mkab.hu/dev/dontesek.nsf/0/BA380DEF33986232C1257ADA0052495E?OpenDocument" TargetMode="External"/><Relationship Id="rId20" Type="http://schemas.openxmlformats.org/officeDocument/2006/relationships/header" Target="header1.xml"/><Relationship Id="rId29" Type="http://schemas.openxmlformats.org/officeDocument/2006/relationships/hyperlink" Target="http://jogszabalykereso.mhk.hu/cgi_bin/njt_doc.cgi?docid=143671.602679" TargetMode="External"/><Relationship Id="rId41" Type="http://schemas.openxmlformats.org/officeDocument/2006/relationships/hyperlink" Target="http://www.egyenlobanasmod.hu/jogesetek/hu/477.pdf" TargetMode="External"/><Relationship Id="rId54" Type="http://schemas.openxmlformats.org/officeDocument/2006/relationships/hyperlink" Target="http://www.egyenlobanasmod.hu/jogesetek/hu/190-201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fice@humanconsultancy.com" TargetMode="External"/><Relationship Id="rId24" Type="http://schemas.openxmlformats.org/officeDocument/2006/relationships/hyperlink" Target="http://jogszabalykereso.mhk.hu/cgi_bin/njt_doc.cgi?docid=137076.626975" TargetMode="External"/><Relationship Id="rId32" Type="http://schemas.openxmlformats.org/officeDocument/2006/relationships/header" Target="header3.xml"/><Relationship Id="rId37" Type="http://schemas.openxmlformats.org/officeDocument/2006/relationships/hyperlink" Target="http://www.birosag.hu" TargetMode="External"/><Relationship Id="rId40" Type="http://schemas.openxmlformats.org/officeDocument/2006/relationships/hyperlink" Target="http://www.cfcf.hu/hu/programjaink/uegyeink/96-gyor.html" TargetMode="External"/><Relationship Id="rId45" Type="http://schemas.openxmlformats.org/officeDocument/2006/relationships/hyperlink" Target="http://www.egyenlobanasmod.hu/jogesetek/hu/44-2007.pdf" TargetMode="External"/><Relationship Id="rId53" Type="http://schemas.openxmlformats.org/officeDocument/2006/relationships/hyperlink" Target="http://www.egyenlobanasmod.hu/jogesetek/hu/795-2010.pdf" TargetMode="External"/><Relationship Id="rId58"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www.non-discrimination.net/law/national-legislation/country-reports-measures-combat-discrimination" TargetMode="External"/><Relationship Id="rId23" Type="http://schemas.openxmlformats.org/officeDocument/2006/relationships/footer" Target="footer2.xml"/><Relationship Id="rId28" Type="http://schemas.openxmlformats.org/officeDocument/2006/relationships/hyperlink" Target="http://jogszabalykereso.mhk.hu/cgi_bin/njt_doc.cgi?docid=143673.626976" TargetMode="External"/><Relationship Id="rId36" Type="http://schemas.openxmlformats.org/officeDocument/2006/relationships/hyperlink" Target="http://www.cfcf.hu/?nelement_id=3&amp;article_id=31" TargetMode="External"/><Relationship Id="rId49" Type="http://schemas.openxmlformats.org/officeDocument/2006/relationships/hyperlink" Target="http://www.egyenlobanasmod.hu/jogesetek/hu/1054-2009.pdf" TargetMode="External"/><Relationship Id="rId57" Type="http://schemas.openxmlformats.org/officeDocument/2006/relationships/footer" Target="footer5.xm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M:\FRA%202011-2015\FRA%20OF%2014%20annual%20report%202013\FINAL%20second%20round\FRA-nak%20k%C3%BCld%C3%B6tt%20anyag\Lot-16_HUNGARY_AR2013_Main_Report_second_revised-updated.docx" TargetMode="External"/><Relationship Id="rId31" Type="http://schemas.openxmlformats.org/officeDocument/2006/relationships/hyperlink" Target="http://jogszabalykereso.mhk.hu/cgi_bin/njt_doc.cgi?docid=33602.629670%20" TargetMode="External"/><Relationship Id="rId44" Type="http://schemas.openxmlformats.org/officeDocument/2006/relationships/hyperlink" Target="http://www.egyenlobanasmod.hu/jogesetek/hu/44-2007.pdf" TargetMode="External"/><Relationship Id="rId52" Type="http://schemas.openxmlformats.org/officeDocument/2006/relationships/hyperlink" Target="http://www.egyenlobanasmod.hu/jogesetek/hu/1079-2010.pdf"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gpolgroup.com" TargetMode="External"/><Relationship Id="rId22" Type="http://schemas.openxmlformats.org/officeDocument/2006/relationships/header" Target="header2.xml"/><Relationship Id="rId27" Type="http://schemas.openxmlformats.org/officeDocument/2006/relationships/hyperlink" Target="http://jogszabalykereso.mhk.hu/cgi_bin/njt_doc.cgi?docid=29982.615750" TargetMode="External"/><Relationship Id="rId30" Type="http://schemas.openxmlformats.org/officeDocument/2006/relationships/hyperlink" Target="http://jogszabalykereso.mhk.hu/cgi_bin/njt_doc.cgi?docid=139303.620494" TargetMode="External"/><Relationship Id="rId35" Type="http://schemas.openxmlformats.org/officeDocument/2006/relationships/footer" Target="footer4.xml"/><Relationship Id="rId43" Type="http://schemas.openxmlformats.org/officeDocument/2006/relationships/hyperlink" Target="http://www.egyenlobanasmod.hu/jogesetek/hu/295-2006.pdf" TargetMode="External"/><Relationship Id="rId48" Type="http://schemas.openxmlformats.org/officeDocument/2006/relationships/hyperlink" Target="http://www.egyenlobanasmod.hu/jogesetek/hu/588-2008.pdf" TargetMode="External"/><Relationship Id="rId56" Type="http://schemas.openxmlformats.org/officeDocument/2006/relationships/header" Target="header5.xml"/><Relationship Id="rId8" Type="http://schemas.openxmlformats.org/officeDocument/2006/relationships/webSettings" Target="webSettings.xml"/><Relationship Id="rId51" Type="http://schemas.openxmlformats.org/officeDocument/2006/relationships/hyperlink" Target="http://www.neki.hu/index.php?option=com_content&amp;view=article&amp;id=416:oetmillio-forint-birsagot-kell-fizetnie-a-rio-cafenak&amp;catid=1:friss-hk&amp;Itemid=64" TargetMode="External"/><Relationship Id="rId3" Type="http://schemas.openxmlformats.org/officeDocument/2006/relationships/customXml" Target="../customXml/item3.xml"/><Relationship Id="rId12" Type="http://schemas.openxmlformats.org/officeDocument/2006/relationships/hyperlink" Target="http://www.humanconsultancy.com" TargetMode="External"/><Relationship Id="rId17" Type="http://schemas.openxmlformats.org/officeDocument/2006/relationships/hyperlink" Target="http://www.egyenlobanasmod.hu/jogesetek/hu/165-2013.pdf" TargetMode="External"/><Relationship Id="rId25" Type="http://schemas.openxmlformats.org/officeDocument/2006/relationships/hyperlink" Target="http://jogszabalykereso.mhk.hu/cgi_bin/njt_doc.cgi?docid=75251.618378" TargetMode="External"/><Relationship Id="rId33" Type="http://schemas.openxmlformats.org/officeDocument/2006/relationships/footer" Target="footer3.xml"/><Relationship Id="rId38" Type="http://schemas.openxmlformats.org/officeDocument/2006/relationships/hyperlink" Target="http://helsinki.hu/dokumentum/Fovarosi_Itelotabla_itelet_SzSz_20101207.pdf" TargetMode="External"/><Relationship Id="rId46" Type="http://schemas.openxmlformats.org/officeDocument/2006/relationships/hyperlink" Target="http://www.egyenlobanasmod.hu/jogesetek/hu/72-2008.pdf" TargetMode="External"/><Relationship Id="rId59" Type="http://schemas.openxmlformats.org/officeDocument/2006/relationships/footer" Target="footer6.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6" Type="http://schemas.openxmlformats.org/officeDocument/2006/relationships/hyperlink" Target="http://2010-2014.kormany.hu/download/8/f9/b0000/Oktat%C3%A1si_%C3%89vk%C3%B6nyv_2011_2012.pdf" TargetMode="External"/><Relationship Id="rId21" Type="http://schemas.openxmlformats.org/officeDocument/2006/relationships/hyperlink" Target="http://dev.neki.hu/wp-content/uploads/2013/05/390_ff2000.pdf" TargetMode="External"/><Relationship Id="rId34" Type="http://schemas.openxmlformats.org/officeDocument/2006/relationships/hyperlink" Target="http://www.mile.hu/404.php" TargetMode="External"/><Relationship Id="rId42" Type="http://schemas.openxmlformats.org/officeDocument/2006/relationships/hyperlink" Target="http://www.egyenlobanasmod.hu/jogesetek/hu/278-2007.pdf" TargetMode="External"/><Relationship Id="rId47" Type="http://schemas.openxmlformats.org/officeDocument/2006/relationships/hyperlink" Target="http://www.mut.hu/?module=news&amp;action=getfile&amp;fid=114874" TargetMode="External"/><Relationship Id="rId50" Type="http://schemas.openxmlformats.org/officeDocument/2006/relationships/hyperlink" Target="http://www.romadecade.org/cms/upload/file/9270_file8_hu_civil-society-monitoring-report_en.pdf" TargetMode="External"/><Relationship Id="rId55" Type="http://schemas.openxmlformats.org/officeDocument/2006/relationships/hyperlink" Target="http://www.egyenlobanasmod.hu" TargetMode="External"/><Relationship Id="rId63" Type="http://schemas.openxmlformats.org/officeDocument/2006/relationships/hyperlink" Target="http://www.romnet.hu/hirek/2011/05/20/keretmegallapodas_a_kormany_es_az_orszagos_roma_onkormanyzat_kozott" TargetMode="External"/><Relationship Id="rId68" Type="http://schemas.openxmlformats.org/officeDocument/2006/relationships/hyperlink" Target="http://www.egyenlobanasmod.hu/cikkek/beszamolok" TargetMode="External"/><Relationship Id="rId76" Type="http://schemas.openxmlformats.org/officeDocument/2006/relationships/hyperlink" Target="http://www2.ohchr.org/english/bodies/hrc/docs/A.66.40_vol.II_partI.pdf" TargetMode="External"/><Relationship Id="rId84" Type="http://schemas.openxmlformats.org/officeDocument/2006/relationships/hyperlink" Target="http://www.nfu.hu/megjelent_a_tamop_5_5_5_kiemelt_projekt" TargetMode="External"/><Relationship Id="rId89" Type="http://schemas.openxmlformats.org/officeDocument/2006/relationships/hyperlink" Target="http://www.egyenlobanasmod.hu/data/EgyenloBanasmodHatosag_2011_jogtudatossag.pdf" TargetMode="External"/><Relationship Id="rId97" Type="http://schemas.openxmlformats.org/officeDocument/2006/relationships/hyperlink" Target="http://hvg.hu/itthon/20130711_Balog_Heindl_roma_szegregacio" TargetMode="External"/><Relationship Id="rId7" Type="http://schemas.openxmlformats.org/officeDocument/2006/relationships/hyperlink" Target="http://lehetmas.hu/hirek/34485/kozmunkasok-bere-alkotmanybirosaghoz-fordul-egy-kozmunkas-az-lmp-segitsegevel/" TargetMode="External"/><Relationship Id="rId71" Type="http://schemas.openxmlformats.org/officeDocument/2006/relationships/hyperlink" Target="http://www.egyenlobanasmod.hu/jogesetek/hu/700-2007.pdf" TargetMode="External"/><Relationship Id="rId92" Type="http://schemas.openxmlformats.org/officeDocument/2006/relationships/hyperlink" Target="http://2010-2014.kormany.hu/hu/emberi-eroforrasok-miniszteriuma/tarsadalmi-felzarkozasert-felelos-allamtitkarsag" TargetMode="External"/><Relationship Id="rId2" Type="http://schemas.openxmlformats.org/officeDocument/2006/relationships/hyperlink" Target="http://www.egyenlobanasmod.hu/data/2010beszamolo2.pdf" TargetMode="External"/><Relationship Id="rId16" Type="http://schemas.openxmlformats.org/officeDocument/2006/relationships/hyperlink" Target="http://www.egyenlobanasmod.hu/data/2010beszamolo2.pdf" TargetMode="External"/><Relationship Id="rId29" Type="http://schemas.openxmlformats.org/officeDocument/2006/relationships/hyperlink" Target="http://www.kisebbsegiombudsman.hu/hir-477-jelentes-az-etnikai-adatok-kezeleserol.html" TargetMode="External"/><Relationship Id="rId11" Type="http://schemas.openxmlformats.org/officeDocument/2006/relationships/hyperlink" Target="http://www.egyenlobanasmod.hu/index.php?g=kozadat.htm%23ie1" TargetMode="External"/><Relationship Id="rId24" Type="http://schemas.openxmlformats.org/officeDocument/2006/relationships/hyperlink" Target="http://www.nfu.hu/download/28676/P%C3%A1ly%C3%A1zati_Ttmutat%C3%B3_szocrehab_DA_DD_EA_EM.pdf" TargetMode="External"/><Relationship Id="rId32" Type="http://schemas.openxmlformats.org/officeDocument/2006/relationships/hyperlink" Target="http://www.egyenlobanasmod.hu/tt/TTaf_200802-2" TargetMode="External"/><Relationship Id="rId37" Type="http://schemas.openxmlformats.org/officeDocument/2006/relationships/hyperlink" Target="http://tbinternet.ohchr.org/_layouts/treatybodyexternal/TBSearch.aspx?Lang=en&amp;TreatyID=4&amp;DocTypeID=5" TargetMode="External"/><Relationship Id="rId40" Type="http://schemas.openxmlformats.org/officeDocument/2006/relationships/hyperlink" Target="http://old.aosz.hu/dmdocuments/oft_AOSZ.pdf" TargetMode="External"/><Relationship Id="rId45" Type="http://schemas.openxmlformats.org/officeDocument/2006/relationships/hyperlink" Target="http://www.ajbh.hu/-/a-nemzetkozi-romanapon-az-ombudsman-es-nemzetisegi-helyettese-a-nemzetisegi-kozepiskolai-oktatas-helyzeterol?redirect=http%3A%2F%2Fwww.ajbh.hu%2Fkezdolap%3Bjsessionid%3D61A942FCFB0171D1455FE1AF44BA5E59%3Fp_p_id%3D101_INSTANCE_LDWG9zbBd7So%26p_p_lifecycle%3D0%26p_p_state%3Dnormal%26p_p_mode%3Dview%26p_p_col_id%3Dcolumn-7%26p_p_col_pos%3D1%26p_p_col_count%3D4" TargetMode="External"/><Relationship Id="rId53" Type="http://schemas.openxmlformats.org/officeDocument/2006/relationships/hyperlink" Target="http://www.ajbh.hu/eves-beszamolok-archiv" TargetMode="External"/><Relationship Id="rId58" Type="http://schemas.openxmlformats.org/officeDocument/2006/relationships/hyperlink" Target="http://www.romadecade.org/cms/upload/file/9270_file8_hu_civil-society-monitoring-report_en.pdf" TargetMode="External"/><Relationship Id="rId66" Type="http://schemas.openxmlformats.org/officeDocument/2006/relationships/hyperlink" Target="http://nol.hu/belfold/20130424-felfuggesztett_szegregacios_per" TargetMode="External"/><Relationship Id="rId74" Type="http://schemas.openxmlformats.org/officeDocument/2006/relationships/hyperlink" Target="http://www.egyenlobanasmod.hu/data/2011_tevekenyseg_szamok_tukreben.pdf" TargetMode="External"/><Relationship Id="rId79" Type="http://schemas.openxmlformats.org/officeDocument/2006/relationships/hyperlink" Target="http://www.egyenlobanasmod.hu/tamop/data/2.2_english_summary.pdf" TargetMode="External"/><Relationship Id="rId87" Type="http://schemas.openxmlformats.org/officeDocument/2006/relationships/hyperlink" Target="http://www.egyenlobanasmod.hu/data/EBH_2013_tevekenyseg_szamok_tukreben.pdf" TargetMode="External"/><Relationship Id="rId5" Type="http://schemas.openxmlformats.org/officeDocument/2006/relationships/hyperlink" Target="http://www.egyenlobanasmod.hu/data/EBH_2013_tevekenyseg_szamok_tukreben.pdf" TargetMode="External"/><Relationship Id="rId61" Type="http://schemas.openxmlformats.org/officeDocument/2006/relationships/hyperlink" Target="http://hvg.hu/karrier/20130924_Romakat_foglalkoztat_az_allam_a_kiemelt_f" TargetMode="External"/><Relationship Id="rId82" Type="http://schemas.openxmlformats.org/officeDocument/2006/relationships/hyperlink" Target="http://www.egyenlobanasmod.hu/tamop/data/MTA_1hullam_english_summary-2.pdf" TargetMode="External"/><Relationship Id="rId90" Type="http://schemas.openxmlformats.org/officeDocument/2006/relationships/hyperlink" Target="http://www.egyenlobanasmod.hu/tamop/kepzesek%23t20121122" TargetMode="External"/><Relationship Id="rId95" Type="http://schemas.openxmlformats.org/officeDocument/2006/relationships/hyperlink" Target="http://2010-2014.kormany.hu/hu/kozigazgatasi-es-igazsagugyi-miniszterium/tarsadalmi-felzarkozasert-felelos-allamtitkarsag/hirek/az-europai-unio-tagallamai-kozul-magyarorszag-nyujtotta-be-elsokent-felzarkozasi-strategiajat" TargetMode="External"/><Relationship Id="rId19" Type="http://schemas.openxmlformats.org/officeDocument/2006/relationships/hyperlink" Target="http://www.egyenlobanasmod.hu/index.php?g=EBH-jelentes07.htm" TargetMode="External"/><Relationship Id="rId14" Type="http://schemas.openxmlformats.org/officeDocument/2006/relationships/hyperlink" Target="http://www.egyenlobanasmod.hu/data/2010beszamolo2.pdf" TargetMode="External"/><Relationship Id="rId22" Type="http://schemas.openxmlformats.org/officeDocument/2006/relationships/hyperlink" Target="http://dev.neki.hu/wp-content/uploads/2013/05/390_ff2000.pdf" TargetMode="External"/><Relationship Id="rId27" Type="http://schemas.openxmlformats.org/officeDocument/2006/relationships/hyperlink" Target="http://2010-2014.kormany.hu/download/c/93/21000/Oktat%C3%A1si_%C3%89vk%C3%B6nyv_2012.pdf" TargetMode="External"/><Relationship Id="rId30" Type="http://schemas.openxmlformats.org/officeDocument/2006/relationships/hyperlink" Target="http://www.egyenlobanasmod.hu/index.php?g=hirek/TTaf_100226jj.htm" TargetMode="External"/><Relationship Id="rId35" Type="http://schemas.openxmlformats.org/officeDocument/2006/relationships/hyperlink" Target="http://www.mdac.info/sites/mdac.info/files/english_crpd_alternative_report.pdf" TargetMode="External"/><Relationship Id="rId43" Type="http://schemas.openxmlformats.org/officeDocument/2006/relationships/hyperlink" Target="http://2010-2014.kormany.hu/download/c/93/21000/Oktat%C3%A1si_%C3%89vk%C3%B6nyv_2012.pdf" TargetMode="External"/><Relationship Id="rId48" Type="http://schemas.openxmlformats.org/officeDocument/2006/relationships/hyperlink" Target="http://www.ksh.hu/thm/2/indi2_7_7.html" TargetMode="External"/><Relationship Id="rId56" Type="http://schemas.openxmlformats.org/officeDocument/2006/relationships/hyperlink" Target="http://www.asz.hu/tanulmanyok/2008/a-magyarorszagi-ciganysag-helyzetenek-javitasara-es-felemelkedesere-a-rendszervaltas-ota-forditott-tamogatasok-merteke-es-hatekonysaga/t206.pdf" TargetMode="External"/><Relationship Id="rId64" Type="http://schemas.openxmlformats.org/officeDocument/2006/relationships/hyperlink" Target="http://www.romadecade.org/news/updated-civil-society-monitoring-reports/9717" TargetMode="External"/><Relationship Id="rId69" Type="http://schemas.openxmlformats.org/officeDocument/2006/relationships/hyperlink" Target="http://www.egyenlobanasmod.hu/index.php?g=hirek/TTaf_200804.htm" TargetMode="External"/><Relationship Id="rId77" Type="http://schemas.openxmlformats.org/officeDocument/2006/relationships/hyperlink" Target="http://www.egyenlobanasmod.hu" TargetMode="External"/><Relationship Id="rId8" Type="http://schemas.openxmlformats.org/officeDocument/2006/relationships/hyperlink" Target="http://www.jogtalanul.blog.hu/2012/05/15/a_kozfoglalkoztatas_ordogi_kor" TargetMode="External"/><Relationship Id="rId51" Type="http://schemas.openxmlformats.org/officeDocument/2006/relationships/hyperlink" Target="http://3ddigitalispublikacio.hu/media/ombudsman/2008/beszamolo_2008.pdf" TargetMode="External"/><Relationship Id="rId72" Type="http://schemas.openxmlformats.org/officeDocument/2006/relationships/hyperlink" Target="http://www.neki.hu/index.php?option=com_content&amp;view=article&amp;id=416:oetmillio-forint-birsagot-kell-fizetnie-a-rio-cafenak&amp;catid=1:friss-hk&amp;Itemid=64" TargetMode="External"/><Relationship Id="rId80" Type="http://schemas.openxmlformats.org/officeDocument/2006/relationships/hyperlink" Target="http://www.egyenlobanasmod.hu/tamop/data/eselyegyenlosegiterv_vegleges_english.pdf" TargetMode="External"/><Relationship Id="rId85" Type="http://schemas.openxmlformats.org/officeDocument/2006/relationships/hyperlink" Target="http://www.egyenlobanasmod.hu/data/2010tevekenyseg_szamok_tukreben.pdf" TargetMode="External"/><Relationship Id="rId93" Type="http://schemas.openxmlformats.org/officeDocument/2006/relationships/hyperlink" Target="http://2010-2014.kormany.hu/hu/kozigazgatasi-es-igazsagugyi-miniszterium/tarsadalmi-felzarkozasert-felelos-allamtitkarsag/hirek/huszonhatan-nyertek-az-iskola-halo-programban" TargetMode="External"/><Relationship Id="rId98" Type="http://schemas.openxmlformats.org/officeDocument/2006/relationships/hyperlink" Target="http://www.romnet.hu/hirek/2013/09/25/mohacsi_erzsebet_is_kivonult" TargetMode="External"/><Relationship Id="rId3" Type="http://schemas.openxmlformats.org/officeDocument/2006/relationships/hyperlink" Target="http://www.egyenlobanasmod.hu/data/2011beszamolo.pdf" TargetMode="External"/><Relationship Id="rId12" Type="http://schemas.openxmlformats.org/officeDocument/2006/relationships/hyperlink" Target="http://www.egyenlobanasmod.hu/data/2008beszamolo.pdf" TargetMode="External"/><Relationship Id="rId17" Type="http://schemas.openxmlformats.org/officeDocument/2006/relationships/hyperlink" Target="http://www.egyenlobanasmod.hu/jogesetek/hu/23-2011.pdf" TargetMode="External"/><Relationship Id="rId25" Type="http://schemas.openxmlformats.org/officeDocument/2006/relationships/hyperlink" Target="http://www.ksh.hu/nepszamlalas/tablak_teruleti_00" TargetMode="External"/><Relationship Id="rId33" Type="http://schemas.openxmlformats.org/officeDocument/2006/relationships/hyperlink" Target="http://www.egyenlobanasmod.hu/data/TTaf_20110211-1.pdf" TargetMode="External"/><Relationship Id="rId38" Type="http://schemas.openxmlformats.org/officeDocument/2006/relationships/hyperlink" Target="http://mdac.info/sites/mdac.info/files/commcrpd_hu_september2012.pdf" TargetMode="External"/><Relationship Id="rId46" Type="http://schemas.openxmlformats.org/officeDocument/2006/relationships/hyperlink" Target="http://www.egyenlobanasmod.hu/jogesetek/hu/14-2007.pdf" TargetMode="External"/><Relationship Id="rId59" Type="http://schemas.openxmlformats.org/officeDocument/2006/relationships/hyperlink" Target="http://www.romnet.hu/hirek/2012/05/02/roma_szakkollegiumok_egyhazi_bazison_8211_a_legregebbi_roma_kollegium_vezetoje_tiltakozik" TargetMode="External"/><Relationship Id="rId67" Type="http://schemas.openxmlformats.org/officeDocument/2006/relationships/hyperlink" Target="http://www.parlament.hu/irom39/10593/10593.pdf" TargetMode="External"/><Relationship Id="rId20" Type="http://schemas.openxmlformats.org/officeDocument/2006/relationships/hyperlink" Target="http://dev.neki.hu/wp-content/uploads/2013/05/tesztel&#233;si-tanulm&#225;ny.pdf" TargetMode="External"/><Relationship Id="rId41" Type="http://schemas.openxmlformats.org/officeDocument/2006/relationships/hyperlink" Target="http://old.aosz.hu/dmdocuments/oft_AOSZ.pdf" TargetMode="External"/><Relationship Id="rId54" Type="http://schemas.openxmlformats.org/officeDocument/2006/relationships/hyperlink" Target="http://www.egyenlobanasmod.hu/jogesetek/hu/934-2008.pdf" TargetMode="External"/><Relationship Id="rId62" Type="http://schemas.openxmlformats.org/officeDocument/2006/relationships/hyperlink" Target="http://hvg.hu/itthon/20130920_Navracsics_szaz_roma_ugyintezo_fog_dolgoz" TargetMode="External"/><Relationship Id="rId70" Type="http://schemas.openxmlformats.org/officeDocument/2006/relationships/hyperlink" Target="http://www.egyenlobanasmod.hu/jogesetek/jogesetek" TargetMode="External"/><Relationship Id="rId75" Type="http://schemas.openxmlformats.org/officeDocument/2006/relationships/hyperlink" Target="http://www.egyenlobanasmod.hu/data/2010beszamolo2.pdf" TargetMode="External"/><Relationship Id="rId83" Type="http://schemas.openxmlformats.org/officeDocument/2006/relationships/hyperlink" Target="http://www.egyenlobanasmod.hu/tamop/data/EBH_6_kiadvany_FINAL_press.pdf" TargetMode="External"/><Relationship Id="rId88" Type="http://schemas.openxmlformats.org/officeDocument/2006/relationships/hyperlink" Target="http://www.egyenlobanasmod.hu/data/2010tevekenyseg_szamok_tukreben.pdf" TargetMode="External"/><Relationship Id="rId91" Type="http://schemas.openxmlformats.org/officeDocument/2006/relationships/hyperlink" Target="http://www.egyenlobanasmod.hu/cikkek/eloben-a-jatszoterrol" TargetMode="External"/><Relationship Id="rId96" Type="http://schemas.openxmlformats.org/officeDocument/2006/relationships/hyperlink" Target="http://www.romadecade.org/cms/upload/file/9270_file8_hu_civil-society-monitoring-report_en.pdf" TargetMode="External"/><Relationship Id="rId1" Type="http://schemas.openxmlformats.org/officeDocument/2006/relationships/hyperlink" Target="http://www.parlament.hu/irom39/11111/11111.pdf" TargetMode="External"/><Relationship Id="rId6" Type="http://schemas.openxmlformats.org/officeDocument/2006/relationships/hyperlink" Target="http://www.egyenlobanasmod.hu/jogesetek/jogesetek" TargetMode="External"/><Relationship Id="rId15" Type="http://schemas.openxmlformats.org/officeDocument/2006/relationships/hyperlink" Target="http://www.egyenlobanasmod.hu/data/TTaf_201004.pdf" TargetMode="External"/><Relationship Id="rId23" Type="http://schemas.openxmlformats.org/officeDocument/2006/relationships/hyperlink" Target="http://www.egyenlobanasmod.hu/" TargetMode="External"/><Relationship Id="rId28" Type="http://schemas.openxmlformats.org/officeDocument/2006/relationships/hyperlink" Target="http://www.valasztas.hu/hu/onkval2010/483/483_4_index.html" TargetMode="External"/><Relationship Id="rId36" Type="http://schemas.openxmlformats.org/officeDocument/2006/relationships/hyperlink" Target="http://www.meosz.hu/" TargetMode="External"/><Relationship Id="rId49" Type="http://schemas.openxmlformats.org/officeDocument/2006/relationships/hyperlink" Target="http://www.pestesely.hu/doc/Urmos_081124.ppt" TargetMode="External"/><Relationship Id="rId57" Type="http://schemas.openxmlformats.org/officeDocument/2006/relationships/hyperlink" Target="http://daccess-dds-ny.un.org/doc/UNDOC/GEN/G07/100/83/PDF/G0710083.pdf?OpenElement" TargetMode="External"/><Relationship Id="rId10" Type="http://schemas.openxmlformats.org/officeDocument/2006/relationships/hyperlink" Target="http://www.venice.coe.int/webforms/documents/?pdf=CDL-AD(2011)016-e" TargetMode="External"/><Relationship Id="rId31" Type="http://schemas.openxmlformats.org/officeDocument/2006/relationships/hyperlink" Target="http://www.egyenlobanasmod.hu/jogesetek/hu/zanza0307.pdf" TargetMode="External"/><Relationship Id="rId44" Type="http://schemas.openxmlformats.org/officeDocument/2006/relationships/hyperlink" Target="http://www.romaeducationfund.hu/sites/default/files/publications/pitfalls-and-bias-screen_singlepages.pdf" TargetMode="External"/><Relationship Id="rId52" Type="http://schemas.openxmlformats.org/officeDocument/2006/relationships/hyperlink" Target="http://www.kisebbsegiombudsman.hu/data/files/205796771.pdf" TargetMode="External"/><Relationship Id="rId60" Type="http://schemas.openxmlformats.org/officeDocument/2006/relationships/hyperlink" Target="http://www.nek.gov.hu/id-1184-diplomas_roma_munkavallalok.html" TargetMode="External"/><Relationship Id="rId65" Type="http://schemas.openxmlformats.org/officeDocument/2006/relationships/hyperlink" Target="http://www.partnershungary.hu/images/Letoltheto/civilek_angol.pdf" TargetMode="External"/><Relationship Id="rId73" Type="http://schemas.openxmlformats.org/officeDocument/2006/relationships/hyperlink" Target="http://www.egyenlobanasmod.hu/data/2012_tevekenyseg_szamok_tukreben.pdf" TargetMode="External"/><Relationship Id="rId78" Type="http://schemas.openxmlformats.org/officeDocument/2006/relationships/hyperlink" Target="http://www.egyenlobanasmod.hu/tamop/data/TAMOP_EBH_1_english.pdf" TargetMode="External"/><Relationship Id="rId81" Type="http://schemas.openxmlformats.org/officeDocument/2006/relationships/hyperlink" Target="http://www.egyenlobanasmod.hu/tamop/data/2.4_english_summary.pdf" TargetMode="External"/><Relationship Id="rId86" Type="http://schemas.openxmlformats.org/officeDocument/2006/relationships/hyperlink" Target="http://www.egyenlobanasmod.hu/data/EgyenloBanasmodHatosag_2011_jogtudatossag.pdf" TargetMode="External"/><Relationship Id="rId94" Type="http://schemas.openxmlformats.org/officeDocument/2006/relationships/hyperlink" Target="http://2010-2014.kormany.hu/hu/kozigazgatasi-es-igazsagugyi-miniszterium/tarsadalmi-felzarkozasert-felelos-allamtitkarsag/hirek/komplex-telepfelszamolasi-programot-indit-a-kormany" TargetMode="External"/><Relationship Id="rId4" Type="http://schemas.openxmlformats.org/officeDocument/2006/relationships/hyperlink" Target="http://www.egyenlobanasmod.hu/data/2012beszamolo.pdf" TargetMode="External"/><Relationship Id="rId9" Type="http://schemas.openxmlformats.org/officeDocument/2006/relationships/hyperlink" Target="http://www.ajbh.hu/documents/10180/1210223/AJBH+Besz%C3%A1mol%C3%B3%202013/ef587a6b-5ae4-43ec-83d2-e3f335e6c4d1?version=1.0" TargetMode="External"/><Relationship Id="rId13" Type="http://schemas.openxmlformats.org/officeDocument/2006/relationships/hyperlink" Target="http://www.egyenlobanasmod.hu/data/2009beszamolo.pdf" TargetMode="External"/><Relationship Id="rId18" Type="http://schemas.openxmlformats.org/officeDocument/2006/relationships/hyperlink" Target="http://www.egyenlobanasmod.hu/jogesetek/hu/1054-2009.pdf" TargetMode="External"/><Relationship Id="rId39" Type="http://schemas.openxmlformats.org/officeDocument/2006/relationships/hyperlink" Target="http://www.europe.ohchr.org/Documents/Publications/Art_33_CRPD_study.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chopin\AppData\Local\Microsoft\Windows\Temporary%20Internet%20Files\Content.Outlook\PKUMY7BM\Template%20country%20reports%202009-%20L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89709-9C89-4E57-B600-3AF8115ED79E}">
  <ds:schemaRefs>
    <ds:schemaRef ds:uri="http://schemas.openxmlformats.org/officeDocument/2006/bibliography"/>
  </ds:schemaRefs>
</ds:datastoreItem>
</file>

<file path=customXml/itemProps2.xml><?xml version="1.0" encoding="utf-8"?>
<ds:datastoreItem xmlns:ds="http://schemas.openxmlformats.org/officeDocument/2006/customXml" ds:itemID="{E8AA9D20-8CAE-4EFC-AC1E-6DD13C1A48C3}">
  <ds:schemaRefs>
    <ds:schemaRef ds:uri="http://schemas.openxmlformats.org/officeDocument/2006/bibliography"/>
  </ds:schemaRefs>
</ds:datastoreItem>
</file>

<file path=customXml/itemProps3.xml><?xml version="1.0" encoding="utf-8"?>
<ds:datastoreItem xmlns:ds="http://schemas.openxmlformats.org/officeDocument/2006/customXml" ds:itemID="{BB245561-6857-45E9-90DE-37318FD4F22A}">
  <ds:schemaRefs>
    <ds:schemaRef ds:uri="http://schemas.openxmlformats.org/officeDocument/2006/bibliography"/>
  </ds:schemaRefs>
</ds:datastoreItem>
</file>

<file path=customXml/itemProps4.xml><?xml version="1.0" encoding="utf-8"?>
<ds:datastoreItem xmlns:ds="http://schemas.openxmlformats.org/officeDocument/2006/customXml" ds:itemID="{A5D9E391-6749-47FD-9C16-275545A7A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country reports 2009- LW</Template>
  <TotalTime>65</TotalTime>
  <Pages>184</Pages>
  <Words>72453</Words>
  <Characters>398493</Characters>
  <Application>Microsoft Office Word</Application>
  <DocSecurity>0</DocSecurity>
  <Lines>3320</Lines>
  <Paragraphs>940</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INTRODUCTION</vt:lpstr>
      <vt:lpstr>INTRODUCTION</vt:lpstr>
      <vt:lpstr>INTRODUCTION</vt:lpstr>
    </vt:vector>
  </TitlesOfParts>
  <Company>Hewlett-Packard Company</Company>
  <LinksUpToDate>false</LinksUpToDate>
  <CharactersWithSpaces>470006</CharactersWithSpaces>
  <SharedDoc>false</SharedDoc>
  <HLinks>
    <vt:vector size="1194" baseType="variant">
      <vt:variant>
        <vt:i4>3604513</vt:i4>
      </vt:variant>
      <vt:variant>
        <vt:i4>495</vt:i4>
      </vt:variant>
      <vt:variant>
        <vt:i4>0</vt:i4>
      </vt:variant>
      <vt:variant>
        <vt:i4>5</vt:i4>
      </vt:variant>
      <vt:variant>
        <vt:lpwstr>http://www.egyenlobanasmod.hu/data/543-2012.pdf</vt:lpwstr>
      </vt:variant>
      <vt:variant>
        <vt:lpwstr/>
      </vt:variant>
      <vt:variant>
        <vt:i4>6291509</vt:i4>
      </vt:variant>
      <vt:variant>
        <vt:i4>492</vt:i4>
      </vt:variant>
      <vt:variant>
        <vt:i4>0</vt:i4>
      </vt:variant>
      <vt:variant>
        <vt:i4>5</vt:i4>
      </vt:variant>
      <vt:variant>
        <vt:lpwstr>http://www.egyenlobanasmod.hu/jogesetek/hu/190-2012.pdf</vt:lpwstr>
      </vt:variant>
      <vt:variant>
        <vt:lpwstr/>
      </vt:variant>
      <vt:variant>
        <vt:i4>6488119</vt:i4>
      </vt:variant>
      <vt:variant>
        <vt:i4>489</vt:i4>
      </vt:variant>
      <vt:variant>
        <vt:i4>0</vt:i4>
      </vt:variant>
      <vt:variant>
        <vt:i4>5</vt:i4>
      </vt:variant>
      <vt:variant>
        <vt:lpwstr>http://www.egyenlobanasmod.hu/jogesetek/hu/795-2010.pdf</vt:lpwstr>
      </vt:variant>
      <vt:variant>
        <vt:lpwstr/>
      </vt:variant>
      <vt:variant>
        <vt:i4>1376275</vt:i4>
      </vt:variant>
      <vt:variant>
        <vt:i4>486</vt:i4>
      </vt:variant>
      <vt:variant>
        <vt:i4>0</vt:i4>
      </vt:variant>
      <vt:variant>
        <vt:i4>5</vt:i4>
      </vt:variant>
      <vt:variant>
        <vt:lpwstr>http://www.egyenlobanasmod.hu/jogesetek/hu/1079-2010.pdf</vt:lpwstr>
      </vt:variant>
      <vt:variant>
        <vt:lpwstr/>
      </vt:variant>
      <vt:variant>
        <vt:i4>3276880</vt:i4>
      </vt:variant>
      <vt:variant>
        <vt:i4>483</vt:i4>
      </vt:variant>
      <vt:variant>
        <vt:i4>0</vt:i4>
      </vt:variant>
      <vt:variant>
        <vt:i4>5</vt:i4>
      </vt:variant>
      <vt:variant>
        <vt:lpwstr>http://www.neki.hu/index.php?option=com_content&amp;view=article&amp;id=416:oetmillio-forint-birsagot-kell-fizetnie-a-rio-cafenak&amp;catid=1:friss-hk&amp;Itemid=64</vt:lpwstr>
      </vt:variant>
      <vt:variant>
        <vt:lpwstr/>
      </vt:variant>
      <vt:variant>
        <vt:i4>6684724</vt:i4>
      </vt:variant>
      <vt:variant>
        <vt:i4>480</vt:i4>
      </vt:variant>
      <vt:variant>
        <vt:i4>0</vt:i4>
      </vt:variant>
      <vt:variant>
        <vt:i4>5</vt:i4>
      </vt:variant>
      <vt:variant>
        <vt:lpwstr>http://www.egyenlobanasmod.hu/jogesetek/hu/234-2009.pdf</vt:lpwstr>
      </vt:variant>
      <vt:variant>
        <vt:lpwstr/>
      </vt:variant>
      <vt:variant>
        <vt:i4>1966111</vt:i4>
      </vt:variant>
      <vt:variant>
        <vt:i4>477</vt:i4>
      </vt:variant>
      <vt:variant>
        <vt:i4>0</vt:i4>
      </vt:variant>
      <vt:variant>
        <vt:i4>5</vt:i4>
      </vt:variant>
      <vt:variant>
        <vt:lpwstr>http://www.egyenlobanasmod.hu/jogesetek/hu/1054-2009.pdf</vt:lpwstr>
      </vt:variant>
      <vt:variant>
        <vt:lpwstr/>
      </vt:variant>
      <vt:variant>
        <vt:i4>7143486</vt:i4>
      </vt:variant>
      <vt:variant>
        <vt:i4>474</vt:i4>
      </vt:variant>
      <vt:variant>
        <vt:i4>0</vt:i4>
      </vt:variant>
      <vt:variant>
        <vt:i4>5</vt:i4>
      </vt:variant>
      <vt:variant>
        <vt:lpwstr>http://www.egyenlobanasmod.hu/jogesetek/hu/588-2008.pdf</vt:lpwstr>
      </vt:variant>
      <vt:variant>
        <vt:lpwstr/>
      </vt:variant>
      <vt:variant>
        <vt:i4>1703960</vt:i4>
      </vt:variant>
      <vt:variant>
        <vt:i4>471</vt:i4>
      </vt:variant>
      <vt:variant>
        <vt:i4>0</vt:i4>
      </vt:variant>
      <vt:variant>
        <vt:i4>5</vt:i4>
      </vt:variant>
      <vt:variant>
        <vt:lpwstr>http://www.egyenlobanasmod.hu/jogesetek/hu/1003-2008.pdf</vt:lpwstr>
      </vt:variant>
      <vt:variant>
        <vt:lpwstr/>
      </vt:variant>
      <vt:variant>
        <vt:i4>2883625</vt:i4>
      </vt:variant>
      <vt:variant>
        <vt:i4>468</vt:i4>
      </vt:variant>
      <vt:variant>
        <vt:i4>0</vt:i4>
      </vt:variant>
      <vt:variant>
        <vt:i4>5</vt:i4>
      </vt:variant>
      <vt:variant>
        <vt:lpwstr>http://www.egyenlobanasmod.hu/jogesetek/hu/72-2008.pdf</vt:lpwstr>
      </vt:variant>
      <vt:variant>
        <vt:lpwstr/>
      </vt:variant>
      <vt:variant>
        <vt:i4>2097199</vt:i4>
      </vt:variant>
      <vt:variant>
        <vt:i4>465</vt:i4>
      </vt:variant>
      <vt:variant>
        <vt:i4>0</vt:i4>
      </vt:variant>
      <vt:variant>
        <vt:i4>5</vt:i4>
      </vt:variant>
      <vt:variant>
        <vt:lpwstr>http://www.egyenlobanasmod.hu/jogesetek/hu/44-2007.pdf</vt:lpwstr>
      </vt:variant>
      <vt:variant>
        <vt:lpwstr/>
      </vt:variant>
      <vt:variant>
        <vt:i4>2097199</vt:i4>
      </vt:variant>
      <vt:variant>
        <vt:i4>462</vt:i4>
      </vt:variant>
      <vt:variant>
        <vt:i4>0</vt:i4>
      </vt:variant>
      <vt:variant>
        <vt:i4>5</vt:i4>
      </vt:variant>
      <vt:variant>
        <vt:lpwstr>http://www.egyenlobanasmod.hu/jogesetek/hu/44-2007.pdf</vt:lpwstr>
      </vt:variant>
      <vt:variant>
        <vt:lpwstr/>
      </vt:variant>
      <vt:variant>
        <vt:i4>6750257</vt:i4>
      </vt:variant>
      <vt:variant>
        <vt:i4>459</vt:i4>
      </vt:variant>
      <vt:variant>
        <vt:i4>0</vt:i4>
      </vt:variant>
      <vt:variant>
        <vt:i4>5</vt:i4>
      </vt:variant>
      <vt:variant>
        <vt:lpwstr>http://www.egyenlobanasmod.hu/jogesetek/hu/295-2006.pdf</vt:lpwstr>
      </vt:variant>
      <vt:variant>
        <vt:lpwstr/>
      </vt:variant>
      <vt:variant>
        <vt:i4>5177346</vt:i4>
      </vt:variant>
      <vt:variant>
        <vt:i4>456</vt:i4>
      </vt:variant>
      <vt:variant>
        <vt:i4>0</vt:i4>
      </vt:variant>
      <vt:variant>
        <vt:i4>5</vt:i4>
      </vt:variant>
      <vt:variant>
        <vt:lpwstr>http://www.egyenlobanasmod.hu/jogesetek/hu/zanza0307.pdf</vt:lpwstr>
      </vt:variant>
      <vt:variant>
        <vt:lpwstr/>
      </vt:variant>
      <vt:variant>
        <vt:i4>3997742</vt:i4>
      </vt:variant>
      <vt:variant>
        <vt:i4>453</vt:i4>
      </vt:variant>
      <vt:variant>
        <vt:i4>0</vt:i4>
      </vt:variant>
      <vt:variant>
        <vt:i4>5</vt:i4>
      </vt:variant>
      <vt:variant>
        <vt:lpwstr>http://www.egyenlobanasmod.hu/jogesetek/hu/477.pdf</vt:lpwstr>
      </vt:variant>
      <vt:variant>
        <vt:lpwstr/>
      </vt:variant>
      <vt:variant>
        <vt:i4>1376326</vt:i4>
      </vt:variant>
      <vt:variant>
        <vt:i4>450</vt:i4>
      </vt:variant>
      <vt:variant>
        <vt:i4>0</vt:i4>
      </vt:variant>
      <vt:variant>
        <vt:i4>5</vt:i4>
      </vt:variant>
      <vt:variant>
        <vt:lpwstr>http://www.cfcf.hu/hu/programjaink/uegyeink/96-gyor.html</vt:lpwstr>
      </vt:variant>
      <vt:variant>
        <vt:lpwstr/>
      </vt:variant>
      <vt:variant>
        <vt:i4>65566</vt:i4>
      </vt:variant>
      <vt:variant>
        <vt:i4>447</vt:i4>
      </vt:variant>
      <vt:variant>
        <vt:i4>0</vt:i4>
      </vt:variant>
      <vt:variant>
        <vt:i4>5</vt:i4>
      </vt:variant>
      <vt:variant>
        <vt:lpwstr>http://www.cfcf.hu/en/component/content/article/192-a-legfelsbb-birosag-koezlemenye.html</vt:lpwstr>
      </vt:variant>
      <vt:variant>
        <vt:lpwstr/>
      </vt:variant>
      <vt:variant>
        <vt:i4>3735654</vt:i4>
      </vt:variant>
      <vt:variant>
        <vt:i4>444</vt:i4>
      </vt:variant>
      <vt:variant>
        <vt:i4>0</vt:i4>
      </vt:variant>
      <vt:variant>
        <vt:i4>5</vt:i4>
      </vt:variant>
      <vt:variant>
        <vt:lpwstr>http://helsinki.hu/dokumentum/Fovarosi_Itelotabla_itelet_SzSz_20101207.pdf</vt:lpwstr>
      </vt:variant>
      <vt:variant>
        <vt:lpwstr/>
      </vt:variant>
      <vt:variant>
        <vt:i4>6815852</vt:i4>
      </vt:variant>
      <vt:variant>
        <vt:i4>441</vt:i4>
      </vt:variant>
      <vt:variant>
        <vt:i4>0</vt:i4>
      </vt:variant>
      <vt:variant>
        <vt:i4>5</vt:i4>
      </vt:variant>
      <vt:variant>
        <vt:lpwstr>http://www.birosag.hu/</vt:lpwstr>
      </vt:variant>
      <vt:variant>
        <vt:lpwstr/>
      </vt:variant>
      <vt:variant>
        <vt:i4>5439577</vt:i4>
      </vt:variant>
      <vt:variant>
        <vt:i4>438</vt:i4>
      </vt:variant>
      <vt:variant>
        <vt:i4>0</vt:i4>
      </vt:variant>
      <vt:variant>
        <vt:i4>5</vt:i4>
      </vt:variant>
      <vt:variant>
        <vt:lpwstr>http://www.cfcf.hu/?nelement_id=3&amp;article_id=31</vt:lpwstr>
      </vt:variant>
      <vt:variant>
        <vt:lpwstr/>
      </vt:variant>
      <vt:variant>
        <vt:i4>5046272</vt:i4>
      </vt:variant>
      <vt:variant>
        <vt:i4>435</vt:i4>
      </vt:variant>
      <vt:variant>
        <vt:i4>0</vt:i4>
      </vt:variant>
      <vt:variant>
        <vt:i4>5</vt:i4>
      </vt:variant>
      <vt:variant>
        <vt:lpwstr>http://jogszabalykereso.mhk.hu/cgi_bin/njt_doc.cgi?docid=33602.629670%20</vt:lpwstr>
      </vt:variant>
      <vt:variant>
        <vt:lpwstr/>
      </vt:variant>
      <vt:variant>
        <vt:i4>7536679</vt:i4>
      </vt:variant>
      <vt:variant>
        <vt:i4>432</vt:i4>
      </vt:variant>
      <vt:variant>
        <vt:i4>0</vt:i4>
      </vt:variant>
      <vt:variant>
        <vt:i4>5</vt:i4>
      </vt:variant>
      <vt:variant>
        <vt:lpwstr>http://jogszabalykereso.mhk.hu/cgi_bin/njt_doc.cgi?docid=139303.620494</vt:lpwstr>
      </vt:variant>
      <vt:variant>
        <vt:lpwstr/>
      </vt:variant>
      <vt:variant>
        <vt:i4>7536683</vt:i4>
      </vt:variant>
      <vt:variant>
        <vt:i4>429</vt:i4>
      </vt:variant>
      <vt:variant>
        <vt:i4>0</vt:i4>
      </vt:variant>
      <vt:variant>
        <vt:i4>5</vt:i4>
      </vt:variant>
      <vt:variant>
        <vt:lpwstr>http://jogszabalykereso.mhk.hu/cgi_bin/njt_doc.cgi?docid=143671.602679</vt:lpwstr>
      </vt:variant>
      <vt:variant>
        <vt:lpwstr/>
      </vt:variant>
      <vt:variant>
        <vt:i4>7405613</vt:i4>
      </vt:variant>
      <vt:variant>
        <vt:i4>426</vt:i4>
      </vt:variant>
      <vt:variant>
        <vt:i4>0</vt:i4>
      </vt:variant>
      <vt:variant>
        <vt:i4>5</vt:i4>
      </vt:variant>
      <vt:variant>
        <vt:lpwstr>http://jogszabalykereso.mhk.hu/cgi_bin/njt_doc.cgi?docid=143673.626976</vt:lpwstr>
      </vt:variant>
      <vt:variant>
        <vt:lpwstr/>
      </vt:variant>
      <vt:variant>
        <vt:i4>5767170</vt:i4>
      </vt:variant>
      <vt:variant>
        <vt:i4>423</vt:i4>
      </vt:variant>
      <vt:variant>
        <vt:i4>0</vt:i4>
      </vt:variant>
      <vt:variant>
        <vt:i4>5</vt:i4>
      </vt:variant>
      <vt:variant>
        <vt:lpwstr>http://jogszabalykereso.mhk.hu/cgi_bin/njt_doc.cgi?docid=29982.615750</vt:lpwstr>
      </vt:variant>
      <vt:variant>
        <vt:lpwstr/>
      </vt:variant>
      <vt:variant>
        <vt:i4>6815796</vt:i4>
      </vt:variant>
      <vt:variant>
        <vt:i4>420</vt:i4>
      </vt:variant>
      <vt:variant>
        <vt:i4>0</vt:i4>
      </vt:variant>
      <vt:variant>
        <vt:i4>5</vt:i4>
      </vt:variant>
      <vt:variant>
        <vt:lpwstr>http://jogszabalykereso.mhk.hu/cgi_bin/njt_doc.cgi?docid=479.620447</vt:lpwstr>
      </vt:variant>
      <vt:variant>
        <vt:lpwstr/>
      </vt:variant>
      <vt:variant>
        <vt:i4>5898247</vt:i4>
      </vt:variant>
      <vt:variant>
        <vt:i4>417</vt:i4>
      </vt:variant>
      <vt:variant>
        <vt:i4>0</vt:i4>
      </vt:variant>
      <vt:variant>
        <vt:i4>5</vt:i4>
      </vt:variant>
      <vt:variant>
        <vt:lpwstr>http://jogszabalykereso.mhk.hu/cgi_bin/njt_doc.cgi?docid=75251.618378</vt:lpwstr>
      </vt:variant>
      <vt:variant>
        <vt:lpwstr/>
      </vt:variant>
      <vt:variant>
        <vt:i4>7733289</vt:i4>
      </vt:variant>
      <vt:variant>
        <vt:i4>414</vt:i4>
      </vt:variant>
      <vt:variant>
        <vt:i4>0</vt:i4>
      </vt:variant>
      <vt:variant>
        <vt:i4>5</vt:i4>
      </vt:variant>
      <vt:variant>
        <vt:lpwstr>http://jogszabalykereso.mhk.hu/cgi_bin/njt_doc.cgi?docid=137076.626975</vt:lpwstr>
      </vt:variant>
      <vt:variant>
        <vt:lpwstr/>
      </vt:variant>
      <vt:variant>
        <vt:i4>1114121</vt:i4>
      </vt:variant>
      <vt:variant>
        <vt:i4>411</vt:i4>
      </vt:variant>
      <vt:variant>
        <vt:i4>0</vt:i4>
      </vt:variant>
      <vt:variant>
        <vt:i4>5</vt:i4>
      </vt:variant>
      <vt:variant>
        <vt:lpwstr>M:\FRA 2011-2015\FRA OF 14 annual report 2013\FINAL second round\FRA-nak kÃ¼ldÃ¶tt anyag\Lot-16_HUNGARY_AR2013_Main_Report_second_revised-updated.docx</vt:lpwstr>
      </vt:variant>
      <vt:variant>
        <vt:lpwstr>_ftn5</vt:lpwstr>
      </vt:variant>
      <vt:variant>
        <vt:i4>6094860</vt:i4>
      </vt:variant>
      <vt:variant>
        <vt:i4>408</vt:i4>
      </vt:variant>
      <vt:variant>
        <vt:i4>0</vt:i4>
      </vt:variant>
      <vt:variant>
        <vt:i4>5</vt:i4>
      </vt:variant>
      <vt:variant>
        <vt:lpwstr>http://www.ohchr.org/</vt:lpwstr>
      </vt:variant>
      <vt:variant>
        <vt:lpwstr/>
      </vt:variant>
      <vt:variant>
        <vt:i4>6619195</vt:i4>
      </vt:variant>
      <vt:variant>
        <vt:i4>405</vt:i4>
      </vt:variant>
      <vt:variant>
        <vt:i4>0</vt:i4>
      </vt:variant>
      <vt:variant>
        <vt:i4>5</vt:i4>
      </vt:variant>
      <vt:variant>
        <vt:lpwstr>http://www.egyenlobanasmod.hu/jogesetek/hu/165-2013.pdf</vt:lpwstr>
      </vt:variant>
      <vt:variant>
        <vt:lpwstr/>
      </vt:variant>
      <vt:variant>
        <vt:i4>6684773</vt:i4>
      </vt:variant>
      <vt:variant>
        <vt:i4>402</vt:i4>
      </vt:variant>
      <vt:variant>
        <vt:i4>0</vt:i4>
      </vt:variant>
      <vt:variant>
        <vt:i4>5</vt:i4>
      </vt:variant>
      <vt:variant>
        <vt:lpwstr>http://public.mkab.hu/dev/dontesek.nsf/0/BA380DEF33986232C1257ADA0052495E?OpenDocument</vt:lpwstr>
      </vt:variant>
      <vt:variant>
        <vt:lpwstr/>
      </vt:variant>
      <vt:variant>
        <vt:i4>1507379</vt:i4>
      </vt:variant>
      <vt:variant>
        <vt:i4>395</vt:i4>
      </vt:variant>
      <vt:variant>
        <vt:i4>0</vt:i4>
      </vt:variant>
      <vt:variant>
        <vt:i4>5</vt:i4>
      </vt:variant>
      <vt:variant>
        <vt:lpwstr/>
      </vt:variant>
      <vt:variant>
        <vt:lpwstr>_Toc392758761</vt:lpwstr>
      </vt:variant>
      <vt:variant>
        <vt:i4>1507379</vt:i4>
      </vt:variant>
      <vt:variant>
        <vt:i4>389</vt:i4>
      </vt:variant>
      <vt:variant>
        <vt:i4>0</vt:i4>
      </vt:variant>
      <vt:variant>
        <vt:i4>5</vt:i4>
      </vt:variant>
      <vt:variant>
        <vt:lpwstr/>
      </vt:variant>
      <vt:variant>
        <vt:lpwstr>_Toc392758760</vt:lpwstr>
      </vt:variant>
      <vt:variant>
        <vt:i4>1310771</vt:i4>
      </vt:variant>
      <vt:variant>
        <vt:i4>383</vt:i4>
      </vt:variant>
      <vt:variant>
        <vt:i4>0</vt:i4>
      </vt:variant>
      <vt:variant>
        <vt:i4>5</vt:i4>
      </vt:variant>
      <vt:variant>
        <vt:lpwstr/>
      </vt:variant>
      <vt:variant>
        <vt:lpwstr>_Toc392758759</vt:lpwstr>
      </vt:variant>
      <vt:variant>
        <vt:i4>1310771</vt:i4>
      </vt:variant>
      <vt:variant>
        <vt:i4>377</vt:i4>
      </vt:variant>
      <vt:variant>
        <vt:i4>0</vt:i4>
      </vt:variant>
      <vt:variant>
        <vt:i4>5</vt:i4>
      </vt:variant>
      <vt:variant>
        <vt:lpwstr/>
      </vt:variant>
      <vt:variant>
        <vt:lpwstr>_Toc392758758</vt:lpwstr>
      </vt:variant>
      <vt:variant>
        <vt:i4>1310771</vt:i4>
      </vt:variant>
      <vt:variant>
        <vt:i4>371</vt:i4>
      </vt:variant>
      <vt:variant>
        <vt:i4>0</vt:i4>
      </vt:variant>
      <vt:variant>
        <vt:i4>5</vt:i4>
      </vt:variant>
      <vt:variant>
        <vt:lpwstr/>
      </vt:variant>
      <vt:variant>
        <vt:lpwstr>_Toc392758757</vt:lpwstr>
      </vt:variant>
      <vt:variant>
        <vt:i4>1310771</vt:i4>
      </vt:variant>
      <vt:variant>
        <vt:i4>365</vt:i4>
      </vt:variant>
      <vt:variant>
        <vt:i4>0</vt:i4>
      </vt:variant>
      <vt:variant>
        <vt:i4>5</vt:i4>
      </vt:variant>
      <vt:variant>
        <vt:lpwstr/>
      </vt:variant>
      <vt:variant>
        <vt:lpwstr>_Toc392758756</vt:lpwstr>
      </vt:variant>
      <vt:variant>
        <vt:i4>1310771</vt:i4>
      </vt:variant>
      <vt:variant>
        <vt:i4>359</vt:i4>
      </vt:variant>
      <vt:variant>
        <vt:i4>0</vt:i4>
      </vt:variant>
      <vt:variant>
        <vt:i4>5</vt:i4>
      </vt:variant>
      <vt:variant>
        <vt:lpwstr/>
      </vt:variant>
      <vt:variant>
        <vt:lpwstr>_Toc392758755</vt:lpwstr>
      </vt:variant>
      <vt:variant>
        <vt:i4>1310771</vt:i4>
      </vt:variant>
      <vt:variant>
        <vt:i4>353</vt:i4>
      </vt:variant>
      <vt:variant>
        <vt:i4>0</vt:i4>
      </vt:variant>
      <vt:variant>
        <vt:i4>5</vt:i4>
      </vt:variant>
      <vt:variant>
        <vt:lpwstr/>
      </vt:variant>
      <vt:variant>
        <vt:lpwstr>_Toc392758754</vt:lpwstr>
      </vt:variant>
      <vt:variant>
        <vt:i4>1310771</vt:i4>
      </vt:variant>
      <vt:variant>
        <vt:i4>347</vt:i4>
      </vt:variant>
      <vt:variant>
        <vt:i4>0</vt:i4>
      </vt:variant>
      <vt:variant>
        <vt:i4>5</vt:i4>
      </vt:variant>
      <vt:variant>
        <vt:lpwstr/>
      </vt:variant>
      <vt:variant>
        <vt:lpwstr>_Toc392758753</vt:lpwstr>
      </vt:variant>
      <vt:variant>
        <vt:i4>1310771</vt:i4>
      </vt:variant>
      <vt:variant>
        <vt:i4>341</vt:i4>
      </vt:variant>
      <vt:variant>
        <vt:i4>0</vt:i4>
      </vt:variant>
      <vt:variant>
        <vt:i4>5</vt:i4>
      </vt:variant>
      <vt:variant>
        <vt:lpwstr/>
      </vt:variant>
      <vt:variant>
        <vt:lpwstr>_Toc392758752</vt:lpwstr>
      </vt:variant>
      <vt:variant>
        <vt:i4>1310771</vt:i4>
      </vt:variant>
      <vt:variant>
        <vt:i4>335</vt:i4>
      </vt:variant>
      <vt:variant>
        <vt:i4>0</vt:i4>
      </vt:variant>
      <vt:variant>
        <vt:i4>5</vt:i4>
      </vt:variant>
      <vt:variant>
        <vt:lpwstr/>
      </vt:variant>
      <vt:variant>
        <vt:lpwstr>_Toc392758751</vt:lpwstr>
      </vt:variant>
      <vt:variant>
        <vt:i4>1310771</vt:i4>
      </vt:variant>
      <vt:variant>
        <vt:i4>329</vt:i4>
      </vt:variant>
      <vt:variant>
        <vt:i4>0</vt:i4>
      </vt:variant>
      <vt:variant>
        <vt:i4>5</vt:i4>
      </vt:variant>
      <vt:variant>
        <vt:lpwstr/>
      </vt:variant>
      <vt:variant>
        <vt:lpwstr>_Toc392758750</vt:lpwstr>
      </vt:variant>
      <vt:variant>
        <vt:i4>1376307</vt:i4>
      </vt:variant>
      <vt:variant>
        <vt:i4>323</vt:i4>
      </vt:variant>
      <vt:variant>
        <vt:i4>0</vt:i4>
      </vt:variant>
      <vt:variant>
        <vt:i4>5</vt:i4>
      </vt:variant>
      <vt:variant>
        <vt:lpwstr/>
      </vt:variant>
      <vt:variant>
        <vt:lpwstr>_Toc392758749</vt:lpwstr>
      </vt:variant>
      <vt:variant>
        <vt:i4>1376307</vt:i4>
      </vt:variant>
      <vt:variant>
        <vt:i4>317</vt:i4>
      </vt:variant>
      <vt:variant>
        <vt:i4>0</vt:i4>
      </vt:variant>
      <vt:variant>
        <vt:i4>5</vt:i4>
      </vt:variant>
      <vt:variant>
        <vt:lpwstr/>
      </vt:variant>
      <vt:variant>
        <vt:lpwstr>_Toc392758748</vt:lpwstr>
      </vt:variant>
      <vt:variant>
        <vt:i4>1376307</vt:i4>
      </vt:variant>
      <vt:variant>
        <vt:i4>311</vt:i4>
      </vt:variant>
      <vt:variant>
        <vt:i4>0</vt:i4>
      </vt:variant>
      <vt:variant>
        <vt:i4>5</vt:i4>
      </vt:variant>
      <vt:variant>
        <vt:lpwstr/>
      </vt:variant>
      <vt:variant>
        <vt:lpwstr>_Toc392758747</vt:lpwstr>
      </vt:variant>
      <vt:variant>
        <vt:i4>1376307</vt:i4>
      </vt:variant>
      <vt:variant>
        <vt:i4>305</vt:i4>
      </vt:variant>
      <vt:variant>
        <vt:i4>0</vt:i4>
      </vt:variant>
      <vt:variant>
        <vt:i4>5</vt:i4>
      </vt:variant>
      <vt:variant>
        <vt:lpwstr/>
      </vt:variant>
      <vt:variant>
        <vt:lpwstr>_Toc392758746</vt:lpwstr>
      </vt:variant>
      <vt:variant>
        <vt:i4>1376307</vt:i4>
      </vt:variant>
      <vt:variant>
        <vt:i4>299</vt:i4>
      </vt:variant>
      <vt:variant>
        <vt:i4>0</vt:i4>
      </vt:variant>
      <vt:variant>
        <vt:i4>5</vt:i4>
      </vt:variant>
      <vt:variant>
        <vt:lpwstr/>
      </vt:variant>
      <vt:variant>
        <vt:lpwstr>_Toc392758745</vt:lpwstr>
      </vt:variant>
      <vt:variant>
        <vt:i4>1376307</vt:i4>
      </vt:variant>
      <vt:variant>
        <vt:i4>293</vt:i4>
      </vt:variant>
      <vt:variant>
        <vt:i4>0</vt:i4>
      </vt:variant>
      <vt:variant>
        <vt:i4>5</vt:i4>
      </vt:variant>
      <vt:variant>
        <vt:lpwstr/>
      </vt:variant>
      <vt:variant>
        <vt:lpwstr>_Toc392758744</vt:lpwstr>
      </vt:variant>
      <vt:variant>
        <vt:i4>1376307</vt:i4>
      </vt:variant>
      <vt:variant>
        <vt:i4>287</vt:i4>
      </vt:variant>
      <vt:variant>
        <vt:i4>0</vt:i4>
      </vt:variant>
      <vt:variant>
        <vt:i4>5</vt:i4>
      </vt:variant>
      <vt:variant>
        <vt:lpwstr/>
      </vt:variant>
      <vt:variant>
        <vt:lpwstr>_Toc392758743</vt:lpwstr>
      </vt:variant>
      <vt:variant>
        <vt:i4>1376307</vt:i4>
      </vt:variant>
      <vt:variant>
        <vt:i4>281</vt:i4>
      </vt:variant>
      <vt:variant>
        <vt:i4>0</vt:i4>
      </vt:variant>
      <vt:variant>
        <vt:i4>5</vt:i4>
      </vt:variant>
      <vt:variant>
        <vt:lpwstr/>
      </vt:variant>
      <vt:variant>
        <vt:lpwstr>_Toc392758742</vt:lpwstr>
      </vt:variant>
      <vt:variant>
        <vt:i4>1376307</vt:i4>
      </vt:variant>
      <vt:variant>
        <vt:i4>275</vt:i4>
      </vt:variant>
      <vt:variant>
        <vt:i4>0</vt:i4>
      </vt:variant>
      <vt:variant>
        <vt:i4>5</vt:i4>
      </vt:variant>
      <vt:variant>
        <vt:lpwstr/>
      </vt:variant>
      <vt:variant>
        <vt:lpwstr>_Toc392758741</vt:lpwstr>
      </vt:variant>
      <vt:variant>
        <vt:i4>1376307</vt:i4>
      </vt:variant>
      <vt:variant>
        <vt:i4>269</vt:i4>
      </vt:variant>
      <vt:variant>
        <vt:i4>0</vt:i4>
      </vt:variant>
      <vt:variant>
        <vt:i4>5</vt:i4>
      </vt:variant>
      <vt:variant>
        <vt:lpwstr/>
      </vt:variant>
      <vt:variant>
        <vt:lpwstr>_Toc392758740</vt:lpwstr>
      </vt:variant>
      <vt:variant>
        <vt:i4>1179699</vt:i4>
      </vt:variant>
      <vt:variant>
        <vt:i4>263</vt:i4>
      </vt:variant>
      <vt:variant>
        <vt:i4>0</vt:i4>
      </vt:variant>
      <vt:variant>
        <vt:i4>5</vt:i4>
      </vt:variant>
      <vt:variant>
        <vt:lpwstr/>
      </vt:variant>
      <vt:variant>
        <vt:lpwstr>_Toc392758739</vt:lpwstr>
      </vt:variant>
      <vt:variant>
        <vt:i4>1179699</vt:i4>
      </vt:variant>
      <vt:variant>
        <vt:i4>257</vt:i4>
      </vt:variant>
      <vt:variant>
        <vt:i4>0</vt:i4>
      </vt:variant>
      <vt:variant>
        <vt:i4>5</vt:i4>
      </vt:variant>
      <vt:variant>
        <vt:lpwstr/>
      </vt:variant>
      <vt:variant>
        <vt:lpwstr>_Toc392758738</vt:lpwstr>
      </vt:variant>
      <vt:variant>
        <vt:i4>1179699</vt:i4>
      </vt:variant>
      <vt:variant>
        <vt:i4>251</vt:i4>
      </vt:variant>
      <vt:variant>
        <vt:i4>0</vt:i4>
      </vt:variant>
      <vt:variant>
        <vt:i4>5</vt:i4>
      </vt:variant>
      <vt:variant>
        <vt:lpwstr/>
      </vt:variant>
      <vt:variant>
        <vt:lpwstr>_Toc392758737</vt:lpwstr>
      </vt:variant>
      <vt:variant>
        <vt:i4>1179699</vt:i4>
      </vt:variant>
      <vt:variant>
        <vt:i4>245</vt:i4>
      </vt:variant>
      <vt:variant>
        <vt:i4>0</vt:i4>
      </vt:variant>
      <vt:variant>
        <vt:i4>5</vt:i4>
      </vt:variant>
      <vt:variant>
        <vt:lpwstr/>
      </vt:variant>
      <vt:variant>
        <vt:lpwstr>_Toc392758736</vt:lpwstr>
      </vt:variant>
      <vt:variant>
        <vt:i4>1179699</vt:i4>
      </vt:variant>
      <vt:variant>
        <vt:i4>239</vt:i4>
      </vt:variant>
      <vt:variant>
        <vt:i4>0</vt:i4>
      </vt:variant>
      <vt:variant>
        <vt:i4>5</vt:i4>
      </vt:variant>
      <vt:variant>
        <vt:lpwstr/>
      </vt:variant>
      <vt:variant>
        <vt:lpwstr>_Toc392758735</vt:lpwstr>
      </vt:variant>
      <vt:variant>
        <vt:i4>1179699</vt:i4>
      </vt:variant>
      <vt:variant>
        <vt:i4>233</vt:i4>
      </vt:variant>
      <vt:variant>
        <vt:i4>0</vt:i4>
      </vt:variant>
      <vt:variant>
        <vt:i4>5</vt:i4>
      </vt:variant>
      <vt:variant>
        <vt:lpwstr/>
      </vt:variant>
      <vt:variant>
        <vt:lpwstr>_Toc392758734</vt:lpwstr>
      </vt:variant>
      <vt:variant>
        <vt:i4>1179699</vt:i4>
      </vt:variant>
      <vt:variant>
        <vt:i4>227</vt:i4>
      </vt:variant>
      <vt:variant>
        <vt:i4>0</vt:i4>
      </vt:variant>
      <vt:variant>
        <vt:i4>5</vt:i4>
      </vt:variant>
      <vt:variant>
        <vt:lpwstr/>
      </vt:variant>
      <vt:variant>
        <vt:lpwstr>_Toc392758733</vt:lpwstr>
      </vt:variant>
      <vt:variant>
        <vt:i4>1179699</vt:i4>
      </vt:variant>
      <vt:variant>
        <vt:i4>221</vt:i4>
      </vt:variant>
      <vt:variant>
        <vt:i4>0</vt:i4>
      </vt:variant>
      <vt:variant>
        <vt:i4>5</vt:i4>
      </vt:variant>
      <vt:variant>
        <vt:lpwstr/>
      </vt:variant>
      <vt:variant>
        <vt:lpwstr>_Toc392758732</vt:lpwstr>
      </vt:variant>
      <vt:variant>
        <vt:i4>1179699</vt:i4>
      </vt:variant>
      <vt:variant>
        <vt:i4>215</vt:i4>
      </vt:variant>
      <vt:variant>
        <vt:i4>0</vt:i4>
      </vt:variant>
      <vt:variant>
        <vt:i4>5</vt:i4>
      </vt:variant>
      <vt:variant>
        <vt:lpwstr/>
      </vt:variant>
      <vt:variant>
        <vt:lpwstr>_Toc392758731</vt:lpwstr>
      </vt:variant>
      <vt:variant>
        <vt:i4>1179699</vt:i4>
      </vt:variant>
      <vt:variant>
        <vt:i4>209</vt:i4>
      </vt:variant>
      <vt:variant>
        <vt:i4>0</vt:i4>
      </vt:variant>
      <vt:variant>
        <vt:i4>5</vt:i4>
      </vt:variant>
      <vt:variant>
        <vt:lpwstr/>
      </vt:variant>
      <vt:variant>
        <vt:lpwstr>_Toc392758730</vt:lpwstr>
      </vt:variant>
      <vt:variant>
        <vt:i4>1245235</vt:i4>
      </vt:variant>
      <vt:variant>
        <vt:i4>203</vt:i4>
      </vt:variant>
      <vt:variant>
        <vt:i4>0</vt:i4>
      </vt:variant>
      <vt:variant>
        <vt:i4>5</vt:i4>
      </vt:variant>
      <vt:variant>
        <vt:lpwstr/>
      </vt:variant>
      <vt:variant>
        <vt:lpwstr>_Toc392758729</vt:lpwstr>
      </vt:variant>
      <vt:variant>
        <vt:i4>1245235</vt:i4>
      </vt:variant>
      <vt:variant>
        <vt:i4>197</vt:i4>
      </vt:variant>
      <vt:variant>
        <vt:i4>0</vt:i4>
      </vt:variant>
      <vt:variant>
        <vt:i4>5</vt:i4>
      </vt:variant>
      <vt:variant>
        <vt:lpwstr/>
      </vt:variant>
      <vt:variant>
        <vt:lpwstr>_Toc392758728</vt:lpwstr>
      </vt:variant>
      <vt:variant>
        <vt:i4>1245235</vt:i4>
      </vt:variant>
      <vt:variant>
        <vt:i4>191</vt:i4>
      </vt:variant>
      <vt:variant>
        <vt:i4>0</vt:i4>
      </vt:variant>
      <vt:variant>
        <vt:i4>5</vt:i4>
      </vt:variant>
      <vt:variant>
        <vt:lpwstr/>
      </vt:variant>
      <vt:variant>
        <vt:lpwstr>_Toc392758727</vt:lpwstr>
      </vt:variant>
      <vt:variant>
        <vt:i4>1245235</vt:i4>
      </vt:variant>
      <vt:variant>
        <vt:i4>185</vt:i4>
      </vt:variant>
      <vt:variant>
        <vt:i4>0</vt:i4>
      </vt:variant>
      <vt:variant>
        <vt:i4>5</vt:i4>
      </vt:variant>
      <vt:variant>
        <vt:lpwstr/>
      </vt:variant>
      <vt:variant>
        <vt:lpwstr>_Toc392758726</vt:lpwstr>
      </vt:variant>
      <vt:variant>
        <vt:i4>1245235</vt:i4>
      </vt:variant>
      <vt:variant>
        <vt:i4>179</vt:i4>
      </vt:variant>
      <vt:variant>
        <vt:i4>0</vt:i4>
      </vt:variant>
      <vt:variant>
        <vt:i4>5</vt:i4>
      </vt:variant>
      <vt:variant>
        <vt:lpwstr/>
      </vt:variant>
      <vt:variant>
        <vt:lpwstr>_Toc392758725</vt:lpwstr>
      </vt:variant>
      <vt:variant>
        <vt:i4>1245235</vt:i4>
      </vt:variant>
      <vt:variant>
        <vt:i4>173</vt:i4>
      </vt:variant>
      <vt:variant>
        <vt:i4>0</vt:i4>
      </vt:variant>
      <vt:variant>
        <vt:i4>5</vt:i4>
      </vt:variant>
      <vt:variant>
        <vt:lpwstr/>
      </vt:variant>
      <vt:variant>
        <vt:lpwstr>_Toc392758724</vt:lpwstr>
      </vt:variant>
      <vt:variant>
        <vt:i4>1245235</vt:i4>
      </vt:variant>
      <vt:variant>
        <vt:i4>167</vt:i4>
      </vt:variant>
      <vt:variant>
        <vt:i4>0</vt:i4>
      </vt:variant>
      <vt:variant>
        <vt:i4>5</vt:i4>
      </vt:variant>
      <vt:variant>
        <vt:lpwstr/>
      </vt:variant>
      <vt:variant>
        <vt:lpwstr>_Toc392758723</vt:lpwstr>
      </vt:variant>
      <vt:variant>
        <vt:i4>1245235</vt:i4>
      </vt:variant>
      <vt:variant>
        <vt:i4>161</vt:i4>
      </vt:variant>
      <vt:variant>
        <vt:i4>0</vt:i4>
      </vt:variant>
      <vt:variant>
        <vt:i4>5</vt:i4>
      </vt:variant>
      <vt:variant>
        <vt:lpwstr/>
      </vt:variant>
      <vt:variant>
        <vt:lpwstr>_Toc392758722</vt:lpwstr>
      </vt:variant>
      <vt:variant>
        <vt:i4>1245235</vt:i4>
      </vt:variant>
      <vt:variant>
        <vt:i4>155</vt:i4>
      </vt:variant>
      <vt:variant>
        <vt:i4>0</vt:i4>
      </vt:variant>
      <vt:variant>
        <vt:i4>5</vt:i4>
      </vt:variant>
      <vt:variant>
        <vt:lpwstr/>
      </vt:variant>
      <vt:variant>
        <vt:lpwstr>_Toc392758721</vt:lpwstr>
      </vt:variant>
      <vt:variant>
        <vt:i4>1245235</vt:i4>
      </vt:variant>
      <vt:variant>
        <vt:i4>149</vt:i4>
      </vt:variant>
      <vt:variant>
        <vt:i4>0</vt:i4>
      </vt:variant>
      <vt:variant>
        <vt:i4>5</vt:i4>
      </vt:variant>
      <vt:variant>
        <vt:lpwstr/>
      </vt:variant>
      <vt:variant>
        <vt:lpwstr>_Toc392758720</vt:lpwstr>
      </vt:variant>
      <vt:variant>
        <vt:i4>1048627</vt:i4>
      </vt:variant>
      <vt:variant>
        <vt:i4>143</vt:i4>
      </vt:variant>
      <vt:variant>
        <vt:i4>0</vt:i4>
      </vt:variant>
      <vt:variant>
        <vt:i4>5</vt:i4>
      </vt:variant>
      <vt:variant>
        <vt:lpwstr/>
      </vt:variant>
      <vt:variant>
        <vt:lpwstr>_Toc392758719</vt:lpwstr>
      </vt:variant>
      <vt:variant>
        <vt:i4>1048627</vt:i4>
      </vt:variant>
      <vt:variant>
        <vt:i4>137</vt:i4>
      </vt:variant>
      <vt:variant>
        <vt:i4>0</vt:i4>
      </vt:variant>
      <vt:variant>
        <vt:i4>5</vt:i4>
      </vt:variant>
      <vt:variant>
        <vt:lpwstr/>
      </vt:variant>
      <vt:variant>
        <vt:lpwstr>_Toc392758718</vt:lpwstr>
      </vt:variant>
      <vt:variant>
        <vt:i4>1048627</vt:i4>
      </vt:variant>
      <vt:variant>
        <vt:i4>131</vt:i4>
      </vt:variant>
      <vt:variant>
        <vt:i4>0</vt:i4>
      </vt:variant>
      <vt:variant>
        <vt:i4>5</vt:i4>
      </vt:variant>
      <vt:variant>
        <vt:lpwstr/>
      </vt:variant>
      <vt:variant>
        <vt:lpwstr>_Toc392758717</vt:lpwstr>
      </vt:variant>
      <vt:variant>
        <vt:i4>1048627</vt:i4>
      </vt:variant>
      <vt:variant>
        <vt:i4>125</vt:i4>
      </vt:variant>
      <vt:variant>
        <vt:i4>0</vt:i4>
      </vt:variant>
      <vt:variant>
        <vt:i4>5</vt:i4>
      </vt:variant>
      <vt:variant>
        <vt:lpwstr/>
      </vt:variant>
      <vt:variant>
        <vt:lpwstr>_Toc392758716</vt:lpwstr>
      </vt:variant>
      <vt:variant>
        <vt:i4>1048627</vt:i4>
      </vt:variant>
      <vt:variant>
        <vt:i4>119</vt:i4>
      </vt:variant>
      <vt:variant>
        <vt:i4>0</vt:i4>
      </vt:variant>
      <vt:variant>
        <vt:i4>5</vt:i4>
      </vt:variant>
      <vt:variant>
        <vt:lpwstr/>
      </vt:variant>
      <vt:variant>
        <vt:lpwstr>_Toc392758715</vt:lpwstr>
      </vt:variant>
      <vt:variant>
        <vt:i4>1048627</vt:i4>
      </vt:variant>
      <vt:variant>
        <vt:i4>113</vt:i4>
      </vt:variant>
      <vt:variant>
        <vt:i4>0</vt:i4>
      </vt:variant>
      <vt:variant>
        <vt:i4>5</vt:i4>
      </vt:variant>
      <vt:variant>
        <vt:lpwstr/>
      </vt:variant>
      <vt:variant>
        <vt:lpwstr>_Toc392758714</vt:lpwstr>
      </vt:variant>
      <vt:variant>
        <vt:i4>1048627</vt:i4>
      </vt:variant>
      <vt:variant>
        <vt:i4>107</vt:i4>
      </vt:variant>
      <vt:variant>
        <vt:i4>0</vt:i4>
      </vt:variant>
      <vt:variant>
        <vt:i4>5</vt:i4>
      </vt:variant>
      <vt:variant>
        <vt:lpwstr/>
      </vt:variant>
      <vt:variant>
        <vt:lpwstr>_Toc392758713</vt:lpwstr>
      </vt:variant>
      <vt:variant>
        <vt:i4>1048627</vt:i4>
      </vt:variant>
      <vt:variant>
        <vt:i4>101</vt:i4>
      </vt:variant>
      <vt:variant>
        <vt:i4>0</vt:i4>
      </vt:variant>
      <vt:variant>
        <vt:i4>5</vt:i4>
      </vt:variant>
      <vt:variant>
        <vt:lpwstr/>
      </vt:variant>
      <vt:variant>
        <vt:lpwstr>_Toc392758712</vt:lpwstr>
      </vt:variant>
      <vt:variant>
        <vt:i4>1048627</vt:i4>
      </vt:variant>
      <vt:variant>
        <vt:i4>95</vt:i4>
      </vt:variant>
      <vt:variant>
        <vt:i4>0</vt:i4>
      </vt:variant>
      <vt:variant>
        <vt:i4>5</vt:i4>
      </vt:variant>
      <vt:variant>
        <vt:lpwstr/>
      </vt:variant>
      <vt:variant>
        <vt:lpwstr>_Toc392758711</vt:lpwstr>
      </vt:variant>
      <vt:variant>
        <vt:i4>1048627</vt:i4>
      </vt:variant>
      <vt:variant>
        <vt:i4>89</vt:i4>
      </vt:variant>
      <vt:variant>
        <vt:i4>0</vt:i4>
      </vt:variant>
      <vt:variant>
        <vt:i4>5</vt:i4>
      </vt:variant>
      <vt:variant>
        <vt:lpwstr/>
      </vt:variant>
      <vt:variant>
        <vt:lpwstr>_Toc392758710</vt:lpwstr>
      </vt:variant>
      <vt:variant>
        <vt:i4>1114163</vt:i4>
      </vt:variant>
      <vt:variant>
        <vt:i4>83</vt:i4>
      </vt:variant>
      <vt:variant>
        <vt:i4>0</vt:i4>
      </vt:variant>
      <vt:variant>
        <vt:i4>5</vt:i4>
      </vt:variant>
      <vt:variant>
        <vt:lpwstr/>
      </vt:variant>
      <vt:variant>
        <vt:lpwstr>_Toc392758709</vt:lpwstr>
      </vt:variant>
      <vt:variant>
        <vt:i4>1114163</vt:i4>
      </vt:variant>
      <vt:variant>
        <vt:i4>77</vt:i4>
      </vt:variant>
      <vt:variant>
        <vt:i4>0</vt:i4>
      </vt:variant>
      <vt:variant>
        <vt:i4>5</vt:i4>
      </vt:variant>
      <vt:variant>
        <vt:lpwstr/>
      </vt:variant>
      <vt:variant>
        <vt:lpwstr>_Toc392758708</vt:lpwstr>
      </vt:variant>
      <vt:variant>
        <vt:i4>1114163</vt:i4>
      </vt:variant>
      <vt:variant>
        <vt:i4>71</vt:i4>
      </vt:variant>
      <vt:variant>
        <vt:i4>0</vt:i4>
      </vt:variant>
      <vt:variant>
        <vt:i4>5</vt:i4>
      </vt:variant>
      <vt:variant>
        <vt:lpwstr/>
      </vt:variant>
      <vt:variant>
        <vt:lpwstr>_Toc392758707</vt:lpwstr>
      </vt:variant>
      <vt:variant>
        <vt:i4>1114163</vt:i4>
      </vt:variant>
      <vt:variant>
        <vt:i4>65</vt:i4>
      </vt:variant>
      <vt:variant>
        <vt:i4>0</vt:i4>
      </vt:variant>
      <vt:variant>
        <vt:i4>5</vt:i4>
      </vt:variant>
      <vt:variant>
        <vt:lpwstr/>
      </vt:variant>
      <vt:variant>
        <vt:lpwstr>_Toc392758706</vt:lpwstr>
      </vt:variant>
      <vt:variant>
        <vt:i4>1114163</vt:i4>
      </vt:variant>
      <vt:variant>
        <vt:i4>59</vt:i4>
      </vt:variant>
      <vt:variant>
        <vt:i4>0</vt:i4>
      </vt:variant>
      <vt:variant>
        <vt:i4>5</vt:i4>
      </vt:variant>
      <vt:variant>
        <vt:lpwstr/>
      </vt:variant>
      <vt:variant>
        <vt:lpwstr>_Toc392758705</vt:lpwstr>
      </vt:variant>
      <vt:variant>
        <vt:i4>1114163</vt:i4>
      </vt:variant>
      <vt:variant>
        <vt:i4>53</vt:i4>
      </vt:variant>
      <vt:variant>
        <vt:i4>0</vt:i4>
      </vt:variant>
      <vt:variant>
        <vt:i4>5</vt:i4>
      </vt:variant>
      <vt:variant>
        <vt:lpwstr/>
      </vt:variant>
      <vt:variant>
        <vt:lpwstr>_Toc392758704</vt:lpwstr>
      </vt:variant>
      <vt:variant>
        <vt:i4>1114163</vt:i4>
      </vt:variant>
      <vt:variant>
        <vt:i4>47</vt:i4>
      </vt:variant>
      <vt:variant>
        <vt:i4>0</vt:i4>
      </vt:variant>
      <vt:variant>
        <vt:i4>5</vt:i4>
      </vt:variant>
      <vt:variant>
        <vt:lpwstr/>
      </vt:variant>
      <vt:variant>
        <vt:lpwstr>_Toc392758703</vt:lpwstr>
      </vt:variant>
      <vt:variant>
        <vt:i4>1114163</vt:i4>
      </vt:variant>
      <vt:variant>
        <vt:i4>41</vt:i4>
      </vt:variant>
      <vt:variant>
        <vt:i4>0</vt:i4>
      </vt:variant>
      <vt:variant>
        <vt:i4>5</vt:i4>
      </vt:variant>
      <vt:variant>
        <vt:lpwstr/>
      </vt:variant>
      <vt:variant>
        <vt:lpwstr>_Toc392758702</vt:lpwstr>
      </vt:variant>
      <vt:variant>
        <vt:i4>1114163</vt:i4>
      </vt:variant>
      <vt:variant>
        <vt:i4>35</vt:i4>
      </vt:variant>
      <vt:variant>
        <vt:i4>0</vt:i4>
      </vt:variant>
      <vt:variant>
        <vt:i4>5</vt:i4>
      </vt:variant>
      <vt:variant>
        <vt:lpwstr/>
      </vt:variant>
      <vt:variant>
        <vt:lpwstr>_Toc392758701</vt:lpwstr>
      </vt:variant>
      <vt:variant>
        <vt:i4>1114163</vt:i4>
      </vt:variant>
      <vt:variant>
        <vt:i4>29</vt:i4>
      </vt:variant>
      <vt:variant>
        <vt:i4>0</vt:i4>
      </vt:variant>
      <vt:variant>
        <vt:i4>5</vt:i4>
      </vt:variant>
      <vt:variant>
        <vt:lpwstr/>
      </vt:variant>
      <vt:variant>
        <vt:lpwstr>_Toc392758700</vt:lpwstr>
      </vt:variant>
      <vt:variant>
        <vt:i4>1572914</vt:i4>
      </vt:variant>
      <vt:variant>
        <vt:i4>23</vt:i4>
      </vt:variant>
      <vt:variant>
        <vt:i4>0</vt:i4>
      </vt:variant>
      <vt:variant>
        <vt:i4>5</vt:i4>
      </vt:variant>
      <vt:variant>
        <vt:lpwstr/>
      </vt:variant>
      <vt:variant>
        <vt:lpwstr>_Toc392758699</vt:lpwstr>
      </vt:variant>
      <vt:variant>
        <vt:i4>1572914</vt:i4>
      </vt:variant>
      <vt:variant>
        <vt:i4>17</vt:i4>
      </vt:variant>
      <vt:variant>
        <vt:i4>0</vt:i4>
      </vt:variant>
      <vt:variant>
        <vt:i4>5</vt:i4>
      </vt:variant>
      <vt:variant>
        <vt:lpwstr/>
      </vt:variant>
      <vt:variant>
        <vt:lpwstr>_Toc392758698</vt:lpwstr>
      </vt:variant>
      <vt:variant>
        <vt:i4>4522056</vt:i4>
      </vt:variant>
      <vt:variant>
        <vt:i4>12</vt:i4>
      </vt:variant>
      <vt:variant>
        <vt:i4>0</vt:i4>
      </vt:variant>
      <vt:variant>
        <vt:i4>5</vt:i4>
      </vt:variant>
      <vt:variant>
        <vt:lpwstr>http://www.non-discrimination.net/law/national-legislation/country-reports-measures-combat-discrimination</vt:lpwstr>
      </vt:variant>
      <vt:variant>
        <vt:lpwstr/>
      </vt:variant>
      <vt:variant>
        <vt:i4>3670115</vt:i4>
      </vt:variant>
      <vt:variant>
        <vt:i4>9</vt:i4>
      </vt:variant>
      <vt:variant>
        <vt:i4>0</vt:i4>
      </vt:variant>
      <vt:variant>
        <vt:i4>5</vt:i4>
      </vt:variant>
      <vt:variant>
        <vt:lpwstr>http://www.migpolgroup.com/</vt:lpwstr>
      </vt:variant>
      <vt:variant>
        <vt:lpwstr/>
      </vt:variant>
      <vt:variant>
        <vt:i4>1966133</vt:i4>
      </vt:variant>
      <vt:variant>
        <vt:i4>6</vt:i4>
      </vt:variant>
      <vt:variant>
        <vt:i4>0</vt:i4>
      </vt:variant>
      <vt:variant>
        <vt:i4>5</vt:i4>
      </vt:variant>
      <vt:variant>
        <vt:lpwstr>mailto:info@migpolgroup.com</vt:lpwstr>
      </vt:variant>
      <vt:variant>
        <vt:lpwstr/>
      </vt:variant>
      <vt:variant>
        <vt:i4>6029393</vt:i4>
      </vt:variant>
      <vt:variant>
        <vt:i4>3</vt:i4>
      </vt:variant>
      <vt:variant>
        <vt:i4>0</vt:i4>
      </vt:variant>
      <vt:variant>
        <vt:i4>5</vt:i4>
      </vt:variant>
      <vt:variant>
        <vt:lpwstr>http://www.humanconsultancy.com/</vt:lpwstr>
      </vt:variant>
      <vt:variant>
        <vt:lpwstr/>
      </vt:variant>
      <vt:variant>
        <vt:i4>4784248</vt:i4>
      </vt:variant>
      <vt:variant>
        <vt:i4>0</vt:i4>
      </vt:variant>
      <vt:variant>
        <vt:i4>0</vt:i4>
      </vt:variant>
      <vt:variant>
        <vt:i4>5</vt:i4>
      </vt:variant>
      <vt:variant>
        <vt:lpwstr>mailto:office@humanconsultancy.com</vt:lpwstr>
      </vt:variant>
      <vt:variant>
        <vt:lpwstr/>
      </vt:variant>
      <vt:variant>
        <vt:i4>7798859</vt:i4>
      </vt:variant>
      <vt:variant>
        <vt:i4>291</vt:i4>
      </vt:variant>
      <vt:variant>
        <vt:i4>0</vt:i4>
      </vt:variant>
      <vt:variant>
        <vt:i4>5</vt:i4>
      </vt:variant>
      <vt:variant>
        <vt:lpwstr>http://www.romnet.hu/hirek/2013/09/25/mohacsi_erzsebet_is_kivonult</vt:lpwstr>
      </vt:variant>
      <vt:variant>
        <vt:lpwstr/>
      </vt:variant>
      <vt:variant>
        <vt:i4>4849729</vt:i4>
      </vt:variant>
      <vt:variant>
        <vt:i4>288</vt:i4>
      </vt:variant>
      <vt:variant>
        <vt:i4>0</vt:i4>
      </vt:variant>
      <vt:variant>
        <vt:i4>5</vt:i4>
      </vt:variant>
      <vt:variant>
        <vt:lpwstr>http://hvg.hu/itthon/20130711_Balog_Heindl_roma_szegregacio</vt:lpwstr>
      </vt:variant>
      <vt:variant>
        <vt:lpwstr/>
      </vt:variant>
      <vt:variant>
        <vt:i4>8192105</vt:i4>
      </vt:variant>
      <vt:variant>
        <vt:i4>285</vt:i4>
      </vt:variant>
      <vt:variant>
        <vt:i4>0</vt:i4>
      </vt:variant>
      <vt:variant>
        <vt:i4>5</vt:i4>
      </vt:variant>
      <vt:variant>
        <vt:lpwstr>http://www.romadecade.org/cms/upload/file/9270_file8_hu_civil-society-monitoring-report_en.pdf</vt:lpwstr>
      </vt:variant>
      <vt:variant>
        <vt:lpwstr/>
      </vt:variant>
      <vt:variant>
        <vt:i4>524374</vt:i4>
      </vt:variant>
      <vt:variant>
        <vt:i4>282</vt:i4>
      </vt:variant>
      <vt:variant>
        <vt:i4>0</vt:i4>
      </vt:variant>
      <vt:variant>
        <vt:i4>5</vt:i4>
      </vt:variant>
      <vt:variant>
        <vt:lpwstr>http://2010-2014.kormany.hu/hu/kozigazgatasi-es-igazsagugyi-miniszterium/tarsadalmi-felzarkozasert-felelos-allamtitkarsag/hirek/az-europai-unio-tagallamai-kozul-magyarorszag-nyujtotta-be-elsokent-felzarkozasi-strategiajat</vt:lpwstr>
      </vt:variant>
      <vt:variant>
        <vt:lpwstr/>
      </vt:variant>
      <vt:variant>
        <vt:i4>2097187</vt:i4>
      </vt:variant>
      <vt:variant>
        <vt:i4>279</vt:i4>
      </vt:variant>
      <vt:variant>
        <vt:i4>0</vt:i4>
      </vt:variant>
      <vt:variant>
        <vt:i4>5</vt:i4>
      </vt:variant>
      <vt:variant>
        <vt:lpwstr>http://2010-2014.kormany.hu/hu/kozigazgatasi-es-igazsagugyi-miniszterium/tarsadalmi-felzarkozasert-felelos-allamtitkarsag/hirek/komplex-telepfelszamolasi-programot-indit-a-kormany</vt:lpwstr>
      </vt:variant>
      <vt:variant>
        <vt:lpwstr/>
      </vt:variant>
      <vt:variant>
        <vt:i4>6029377</vt:i4>
      </vt:variant>
      <vt:variant>
        <vt:i4>276</vt:i4>
      </vt:variant>
      <vt:variant>
        <vt:i4>0</vt:i4>
      </vt:variant>
      <vt:variant>
        <vt:i4>5</vt:i4>
      </vt:variant>
      <vt:variant>
        <vt:lpwstr>http://2010-2014.kormany.hu/hu/kozigazgatasi-es-igazsagugyi-miniszterium/tarsadalmi-felzarkozasert-felelos-allamtitkarsag/hirek/huszonhatan-nyertek-az-iskola-halo-programban</vt:lpwstr>
      </vt:variant>
      <vt:variant>
        <vt:lpwstr/>
      </vt:variant>
      <vt:variant>
        <vt:i4>262152</vt:i4>
      </vt:variant>
      <vt:variant>
        <vt:i4>273</vt:i4>
      </vt:variant>
      <vt:variant>
        <vt:i4>0</vt:i4>
      </vt:variant>
      <vt:variant>
        <vt:i4>5</vt:i4>
      </vt:variant>
      <vt:variant>
        <vt:lpwstr>http://2010-2014.kormany.hu/hu/emberi-eroforrasok-miniszteriuma/tarsadalmi-felzarkozasert-felelos-allamtitkarsag</vt:lpwstr>
      </vt:variant>
      <vt:variant>
        <vt:lpwstr/>
      </vt:variant>
      <vt:variant>
        <vt:i4>7864379</vt:i4>
      </vt:variant>
      <vt:variant>
        <vt:i4>270</vt:i4>
      </vt:variant>
      <vt:variant>
        <vt:i4>0</vt:i4>
      </vt:variant>
      <vt:variant>
        <vt:i4>5</vt:i4>
      </vt:variant>
      <vt:variant>
        <vt:lpwstr>http://www.egyenlobanasmod.hu/cikkek/eloben-a-jatszoterrol</vt:lpwstr>
      </vt:variant>
      <vt:variant>
        <vt:lpwstr/>
      </vt:variant>
      <vt:variant>
        <vt:i4>1638417</vt:i4>
      </vt:variant>
      <vt:variant>
        <vt:i4>267</vt:i4>
      </vt:variant>
      <vt:variant>
        <vt:i4>0</vt:i4>
      </vt:variant>
      <vt:variant>
        <vt:i4>5</vt:i4>
      </vt:variant>
      <vt:variant>
        <vt:lpwstr>http://www.egyenlobanasmod.hu/tamop/kepzesek%23t20121122</vt:lpwstr>
      </vt:variant>
      <vt:variant>
        <vt:lpwstr/>
      </vt:variant>
      <vt:variant>
        <vt:i4>2687027</vt:i4>
      </vt:variant>
      <vt:variant>
        <vt:i4>264</vt:i4>
      </vt:variant>
      <vt:variant>
        <vt:i4>0</vt:i4>
      </vt:variant>
      <vt:variant>
        <vt:i4>5</vt:i4>
      </vt:variant>
      <vt:variant>
        <vt:lpwstr>http://www.egyenlobanasmod.hu/data/EgyenloBanasmodHatosag_2011_jogtudatossag.pdf</vt:lpwstr>
      </vt:variant>
      <vt:variant>
        <vt:lpwstr/>
      </vt:variant>
      <vt:variant>
        <vt:i4>5701701</vt:i4>
      </vt:variant>
      <vt:variant>
        <vt:i4>261</vt:i4>
      </vt:variant>
      <vt:variant>
        <vt:i4>0</vt:i4>
      </vt:variant>
      <vt:variant>
        <vt:i4>5</vt:i4>
      </vt:variant>
      <vt:variant>
        <vt:lpwstr>http://www.egyenlobanasmod.hu/data/2010tevekenyseg_szamok_tukreben.pdf</vt:lpwstr>
      </vt:variant>
      <vt:variant>
        <vt:lpwstr/>
      </vt:variant>
      <vt:variant>
        <vt:i4>2490430</vt:i4>
      </vt:variant>
      <vt:variant>
        <vt:i4>258</vt:i4>
      </vt:variant>
      <vt:variant>
        <vt:i4>0</vt:i4>
      </vt:variant>
      <vt:variant>
        <vt:i4>5</vt:i4>
      </vt:variant>
      <vt:variant>
        <vt:lpwstr>http://www.egyenlobanasmod.hu/data/EBH_2013_tevekenyseg_szamok_tukreben.pdf</vt:lpwstr>
      </vt:variant>
      <vt:variant>
        <vt:lpwstr/>
      </vt:variant>
      <vt:variant>
        <vt:i4>2687027</vt:i4>
      </vt:variant>
      <vt:variant>
        <vt:i4>255</vt:i4>
      </vt:variant>
      <vt:variant>
        <vt:i4>0</vt:i4>
      </vt:variant>
      <vt:variant>
        <vt:i4>5</vt:i4>
      </vt:variant>
      <vt:variant>
        <vt:lpwstr>http://www.egyenlobanasmod.hu/data/EgyenloBanasmodHatosag_2011_jogtudatossag.pdf</vt:lpwstr>
      </vt:variant>
      <vt:variant>
        <vt:lpwstr/>
      </vt:variant>
      <vt:variant>
        <vt:i4>5701701</vt:i4>
      </vt:variant>
      <vt:variant>
        <vt:i4>252</vt:i4>
      </vt:variant>
      <vt:variant>
        <vt:i4>0</vt:i4>
      </vt:variant>
      <vt:variant>
        <vt:i4>5</vt:i4>
      </vt:variant>
      <vt:variant>
        <vt:lpwstr>http://www.egyenlobanasmod.hu/data/2010tevekenyseg_szamok_tukreben.pdf</vt:lpwstr>
      </vt:variant>
      <vt:variant>
        <vt:lpwstr/>
      </vt:variant>
      <vt:variant>
        <vt:i4>3145803</vt:i4>
      </vt:variant>
      <vt:variant>
        <vt:i4>249</vt:i4>
      </vt:variant>
      <vt:variant>
        <vt:i4>0</vt:i4>
      </vt:variant>
      <vt:variant>
        <vt:i4>5</vt:i4>
      </vt:variant>
      <vt:variant>
        <vt:lpwstr>http://www.nfu.hu/megjelent_a_tamop_5_5_5_kiemelt_projekt</vt:lpwstr>
      </vt:variant>
      <vt:variant>
        <vt:lpwstr/>
      </vt:variant>
      <vt:variant>
        <vt:i4>3342374</vt:i4>
      </vt:variant>
      <vt:variant>
        <vt:i4>246</vt:i4>
      </vt:variant>
      <vt:variant>
        <vt:i4>0</vt:i4>
      </vt:variant>
      <vt:variant>
        <vt:i4>5</vt:i4>
      </vt:variant>
      <vt:variant>
        <vt:lpwstr>http://www.egyenlobanasmod.hu/tamop/data/EBH_6_kiadvany_FINAL_press.pdf</vt:lpwstr>
      </vt:variant>
      <vt:variant>
        <vt:lpwstr/>
      </vt:variant>
      <vt:variant>
        <vt:i4>3211281</vt:i4>
      </vt:variant>
      <vt:variant>
        <vt:i4>243</vt:i4>
      </vt:variant>
      <vt:variant>
        <vt:i4>0</vt:i4>
      </vt:variant>
      <vt:variant>
        <vt:i4>5</vt:i4>
      </vt:variant>
      <vt:variant>
        <vt:lpwstr>http://www.egyenlobanasmod.hu/tamop/data/MTA_1hullam_english_summary-2.pdf</vt:lpwstr>
      </vt:variant>
      <vt:variant>
        <vt:lpwstr/>
      </vt:variant>
      <vt:variant>
        <vt:i4>4980828</vt:i4>
      </vt:variant>
      <vt:variant>
        <vt:i4>240</vt:i4>
      </vt:variant>
      <vt:variant>
        <vt:i4>0</vt:i4>
      </vt:variant>
      <vt:variant>
        <vt:i4>5</vt:i4>
      </vt:variant>
      <vt:variant>
        <vt:lpwstr>http://www.egyenlobanasmod.hu/tamop/data/2.4_english_summary.pdf</vt:lpwstr>
      </vt:variant>
      <vt:variant>
        <vt:lpwstr/>
      </vt:variant>
      <vt:variant>
        <vt:i4>720971</vt:i4>
      </vt:variant>
      <vt:variant>
        <vt:i4>237</vt:i4>
      </vt:variant>
      <vt:variant>
        <vt:i4>0</vt:i4>
      </vt:variant>
      <vt:variant>
        <vt:i4>5</vt:i4>
      </vt:variant>
      <vt:variant>
        <vt:lpwstr>http://www.egyenlobanasmod.hu/tamop/data/eselyegyenlosegiterv_vegleges_english.pdf</vt:lpwstr>
      </vt:variant>
      <vt:variant>
        <vt:lpwstr/>
      </vt:variant>
      <vt:variant>
        <vt:i4>4849756</vt:i4>
      </vt:variant>
      <vt:variant>
        <vt:i4>234</vt:i4>
      </vt:variant>
      <vt:variant>
        <vt:i4>0</vt:i4>
      </vt:variant>
      <vt:variant>
        <vt:i4>5</vt:i4>
      </vt:variant>
      <vt:variant>
        <vt:lpwstr>http://www.egyenlobanasmod.hu/tamop/data/2.2_english_summary.pdf</vt:lpwstr>
      </vt:variant>
      <vt:variant>
        <vt:lpwstr/>
      </vt:variant>
      <vt:variant>
        <vt:i4>1638443</vt:i4>
      </vt:variant>
      <vt:variant>
        <vt:i4>231</vt:i4>
      </vt:variant>
      <vt:variant>
        <vt:i4>0</vt:i4>
      </vt:variant>
      <vt:variant>
        <vt:i4>5</vt:i4>
      </vt:variant>
      <vt:variant>
        <vt:lpwstr>http://www.egyenlobanasmod.hu/tamop/data/TAMOP_EBH_1_english.pdf</vt:lpwstr>
      </vt:variant>
      <vt:variant>
        <vt:lpwstr/>
      </vt:variant>
      <vt:variant>
        <vt:i4>7864437</vt:i4>
      </vt:variant>
      <vt:variant>
        <vt:i4>228</vt:i4>
      </vt:variant>
      <vt:variant>
        <vt:i4>0</vt:i4>
      </vt:variant>
      <vt:variant>
        <vt:i4>5</vt:i4>
      </vt:variant>
      <vt:variant>
        <vt:lpwstr>http://www.egyenlobanasmod.hu/</vt:lpwstr>
      </vt:variant>
      <vt:variant>
        <vt:lpwstr/>
      </vt:variant>
      <vt:variant>
        <vt:i4>5767182</vt:i4>
      </vt:variant>
      <vt:variant>
        <vt:i4>225</vt:i4>
      </vt:variant>
      <vt:variant>
        <vt:i4>0</vt:i4>
      </vt:variant>
      <vt:variant>
        <vt:i4>5</vt:i4>
      </vt:variant>
      <vt:variant>
        <vt:lpwstr>http://www2.ohchr.org/english/bodies/hrc/docs/A.66.40_vol.II_partI.pdf</vt:lpwstr>
      </vt:variant>
      <vt:variant>
        <vt:lpwstr/>
      </vt:variant>
      <vt:variant>
        <vt:i4>4259862</vt:i4>
      </vt:variant>
      <vt:variant>
        <vt:i4>222</vt:i4>
      </vt:variant>
      <vt:variant>
        <vt:i4>0</vt:i4>
      </vt:variant>
      <vt:variant>
        <vt:i4>5</vt:i4>
      </vt:variant>
      <vt:variant>
        <vt:lpwstr>http://www.egyenlobanasmod.hu/data/2010beszamolo2.pdf</vt:lpwstr>
      </vt:variant>
      <vt:variant>
        <vt:lpwstr/>
      </vt:variant>
      <vt:variant>
        <vt:i4>2818049</vt:i4>
      </vt:variant>
      <vt:variant>
        <vt:i4>219</vt:i4>
      </vt:variant>
      <vt:variant>
        <vt:i4>0</vt:i4>
      </vt:variant>
      <vt:variant>
        <vt:i4>5</vt:i4>
      </vt:variant>
      <vt:variant>
        <vt:lpwstr>http://www.egyenlobanasmod.hu/data/2011_tevekenyseg_szamok_tukreben.pdf</vt:lpwstr>
      </vt:variant>
      <vt:variant>
        <vt:lpwstr/>
      </vt:variant>
      <vt:variant>
        <vt:i4>2818050</vt:i4>
      </vt:variant>
      <vt:variant>
        <vt:i4>216</vt:i4>
      </vt:variant>
      <vt:variant>
        <vt:i4>0</vt:i4>
      </vt:variant>
      <vt:variant>
        <vt:i4>5</vt:i4>
      </vt:variant>
      <vt:variant>
        <vt:lpwstr>http://www.egyenlobanasmod.hu/data/2012_tevekenyseg_szamok_tukreben.pdf</vt:lpwstr>
      </vt:variant>
      <vt:variant>
        <vt:lpwstr/>
      </vt:variant>
      <vt:variant>
        <vt:i4>3276880</vt:i4>
      </vt:variant>
      <vt:variant>
        <vt:i4>213</vt:i4>
      </vt:variant>
      <vt:variant>
        <vt:i4>0</vt:i4>
      </vt:variant>
      <vt:variant>
        <vt:i4>5</vt:i4>
      </vt:variant>
      <vt:variant>
        <vt:lpwstr>http://www.neki.hu/index.php?option=com_content&amp;view=article&amp;id=416:oetmillio-forint-birsagot-kell-fizetnie-a-rio-cafenak&amp;catid=1:friss-hk&amp;Itemid=64</vt:lpwstr>
      </vt:variant>
      <vt:variant>
        <vt:lpwstr/>
      </vt:variant>
      <vt:variant>
        <vt:i4>6750265</vt:i4>
      </vt:variant>
      <vt:variant>
        <vt:i4>210</vt:i4>
      </vt:variant>
      <vt:variant>
        <vt:i4>0</vt:i4>
      </vt:variant>
      <vt:variant>
        <vt:i4>5</vt:i4>
      </vt:variant>
      <vt:variant>
        <vt:lpwstr>http://www.egyenlobanasmod.hu/jogesetek/hu/700-2007.pdf</vt:lpwstr>
      </vt:variant>
      <vt:variant>
        <vt:lpwstr/>
      </vt:variant>
      <vt:variant>
        <vt:i4>5701662</vt:i4>
      </vt:variant>
      <vt:variant>
        <vt:i4>207</vt:i4>
      </vt:variant>
      <vt:variant>
        <vt:i4>0</vt:i4>
      </vt:variant>
      <vt:variant>
        <vt:i4>5</vt:i4>
      </vt:variant>
      <vt:variant>
        <vt:lpwstr>http://www.egyenlobanasmod.hu/jogesetek/jogesetek</vt:lpwstr>
      </vt:variant>
      <vt:variant>
        <vt:lpwstr/>
      </vt:variant>
      <vt:variant>
        <vt:i4>7208968</vt:i4>
      </vt:variant>
      <vt:variant>
        <vt:i4>204</vt:i4>
      </vt:variant>
      <vt:variant>
        <vt:i4>0</vt:i4>
      </vt:variant>
      <vt:variant>
        <vt:i4>5</vt:i4>
      </vt:variant>
      <vt:variant>
        <vt:lpwstr>http://www.egyenlobanasmod.hu/index.php?g=hirek/TTaf_200804.htm</vt:lpwstr>
      </vt:variant>
      <vt:variant>
        <vt:lpwstr/>
      </vt:variant>
      <vt:variant>
        <vt:i4>6357033</vt:i4>
      </vt:variant>
      <vt:variant>
        <vt:i4>201</vt:i4>
      </vt:variant>
      <vt:variant>
        <vt:i4>0</vt:i4>
      </vt:variant>
      <vt:variant>
        <vt:i4>5</vt:i4>
      </vt:variant>
      <vt:variant>
        <vt:lpwstr>http://www.egyenlobanasmod.hu/cikkek/beszamolok</vt:lpwstr>
      </vt:variant>
      <vt:variant>
        <vt:lpwstr/>
      </vt:variant>
      <vt:variant>
        <vt:i4>3014778</vt:i4>
      </vt:variant>
      <vt:variant>
        <vt:i4>198</vt:i4>
      </vt:variant>
      <vt:variant>
        <vt:i4>0</vt:i4>
      </vt:variant>
      <vt:variant>
        <vt:i4>5</vt:i4>
      </vt:variant>
      <vt:variant>
        <vt:lpwstr>http://www.parlament.hu/irom39/10593/10593.pdf</vt:lpwstr>
      </vt:variant>
      <vt:variant>
        <vt:lpwstr/>
      </vt:variant>
      <vt:variant>
        <vt:i4>1572939</vt:i4>
      </vt:variant>
      <vt:variant>
        <vt:i4>195</vt:i4>
      </vt:variant>
      <vt:variant>
        <vt:i4>0</vt:i4>
      </vt:variant>
      <vt:variant>
        <vt:i4>5</vt:i4>
      </vt:variant>
      <vt:variant>
        <vt:lpwstr>http://nol.hu/belfold/20130424-felfuggesztett_szegregacios_per</vt:lpwstr>
      </vt:variant>
      <vt:variant>
        <vt:lpwstr/>
      </vt:variant>
      <vt:variant>
        <vt:i4>2293846</vt:i4>
      </vt:variant>
      <vt:variant>
        <vt:i4>192</vt:i4>
      </vt:variant>
      <vt:variant>
        <vt:i4>0</vt:i4>
      </vt:variant>
      <vt:variant>
        <vt:i4>5</vt:i4>
      </vt:variant>
      <vt:variant>
        <vt:lpwstr>http://www.partnershungary.hu/images/Letoltheto/civilek_angol.pdf</vt:lpwstr>
      </vt:variant>
      <vt:variant>
        <vt:lpwstr/>
      </vt:variant>
      <vt:variant>
        <vt:i4>5308486</vt:i4>
      </vt:variant>
      <vt:variant>
        <vt:i4>189</vt:i4>
      </vt:variant>
      <vt:variant>
        <vt:i4>0</vt:i4>
      </vt:variant>
      <vt:variant>
        <vt:i4>5</vt:i4>
      </vt:variant>
      <vt:variant>
        <vt:lpwstr>http://www.romadecade.org/news/updated-civil-society-monitoring-reports/9717</vt:lpwstr>
      </vt:variant>
      <vt:variant>
        <vt:lpwstr/>
      </vt:variant>
      <vt:variant>
        <vt:i4>3997758</vt:i4>
      </vt:variant>
      <vt:variant>
        <vt:i4>186</vt:i4>
      </vt:variant>
      <vt:variant>
        <vt:i4>0</vt:i4>
      </vt:variant>
      <vt:variant>
        <vt:i4>5</vt:i4>
      </vt:variant>
      <vt:variant>
        <vt:lpwstr>http://www.romnet.hu/hirek/2011/05/20/keretmegallapodas_a_kormany_es_az_orszagos_roma_onkormanyzat_kozott</vt:lpwstr>
      </vt:variant>
      <vt:variant>
        <vt:lpwstr/>
      </vt:variant>
      <vt:variant>
        <vt:i4>6815842</vt:i4>
      </vt:variant>
      <vt:variant>
        <vt:i4>183</vt:i4>
      </vt:variant>
      <vt:variant>
        <vt:i4>0</vt:i4>
      </vt:variant>
      <vt:variant>
        <vt:i4>5</vt:i4>
      </vt:variant>
      <vt:variant>
        <vt:lpwstr>http://hvg.hu/itthon/20130920_Navracsics_szaz_roma_ugyintezo_fog_dolgoz</vt:lpwstr>
      </vt:variant>
      <vt:variant>
        <vt:lpwstr/>
      </vt:variant>
      <vt:variant>
        <vt:i4>7929932</vt:i4>
      </vt:variant>
      <vt:variant>
        <vt:i4>180</vt:i4>
      </vt:variant>
      <vt:variant>
        <vt:i4>0</vt:i4>
      </vt:variant>
      <vt:variant>
        <vt:i4>5</vt:i4>
      </vt:variant>
      <vt:variant>
        <vt:lpwstr>http://hvg.hu/karrier/20130924_Romakat_foglalkoztat_az_allam_a_kiemelt_f</vt:lpwstr>
      </vt:variant>
      <vt:variant>
        <vt:lpwstr/>
      </vt:variant>
      <vt:variant>
        <vt:i4>6225992</vt:i4>
      </vt:variant>
      <vt:variant>
        <vt:i4>177</vt:i4>
      </vt:variant>
      <vt:variant>
        <vt:i4>0</vt:i4>
      </vt:variant>
      <vt:variant>
        <vt:i4>5</vt:i4>
      </vt:variant>
      <vt:variant>
        <vt:lpwstr>http://www.nek.gov.hu/id-1184-diplomas_roma_munkavallalok.html</vt:lpwstr>
      </vt:variant>
      <vt:variant>
        <vt:lpwstr/>
      </vt:variant>
      <vt:variant>
        <vt:i4>7602289</vt:i4>
      </vt:variant>
      <vt:variant>
        <vt:i4>174</vt:i4>
      </vt:variant>
      <vt:variant>
        <vt:i4>0</vt:i4>
      </vt:variant>
      <vt:variant>
        <vt:i4>5</vt:i4>
      </vt:variant>
      <vt:variant>
        <vt:lpwstr>http://www.romnet.hu/hirek/2012/05/02/roma_szakkollegiumok_egyhazi_bazison_8211_a_legregebbi_roma_kollegium_vezetoje_tiltakozik</vt:lpwstr>
      </vt:variant>
      <vt:variant>
        <vt:lpwstr/>
      </vt:variant>
      <vt:variant>
        <vt:i4>8192105</vt:i4>
      </vt:variant>
      <vt:variant>
        <vt:i4>171</vt:i4>
      </vt:variant>
      <vt:variant>
        <vt:i4>0</vt:i4>
      </vt:variant>
      <vt:variant>
        <vt:i4>5</vt:i4>
      </vt:variant>
      <vt:variant>
        <vt:lpwstr>http://www.romadecade.org/cms/upload/file/9270_file8_hu_civil-society-monitoring-report_en.pdf</vt:lpwstr>
      </vt:variant>
      <vt:variant>
        <vt:lpwstr/>
      </vt:variant>
      <vt:variant>
        <vt:i4>7667774</vt:i4>
      </vt:variant>
      <vt:variant>
        <vt:i4>168</vt:i4>
      </vt:variant>
      <vt:variant>
        <vt:i4>0</vt:i4>
      </vt:variant>
      <vt:variant>
        <vt:i4>5</vt:i4>
      </vt:variant>
      <vt:variant>
        <vt:lpwstr>http://daccess-dds-ny.un.org/doc/UNDOC/GEN/G07/100/83/PDF/G0710083.pdf?OpenElement</vt:lpwstr>
      </vt:variant>
      <vt:variant>
        <vt:lpwstr/>
      </vt:variant>
      <vt:variant>
        <vt:i4>6357032</vt:i4>
      </vt:variant>
      <vt:variant>
        <vt:i4>165</vt:i4>
      </vt:variant>
      <vt:variant>
        <vt:i4>0</vt:i4>
      </vt:variant>
      <vt:variant>
        <vt:i4>5</vt:i4>
      </vt:variant>
      <vt:variant>
        <vt:lpwstr>http://www.asz.hu/tanulmanyok/2008/a-magyarorszagi-ciganysag-helyzetenek-javitasara-es-felemelkedesere-a-rendszervaltas-ota-forditott-tamogatasok-merteke-es-hatekonysaga/t206.pdf</vt:lpwstr>
      </vt:variant>
      <vt:variant>
        <vt:lpwstr/>
      </vt:variant>
      <vt:variant>
        <vt:i4>7864437</vt:i4>
      </vt:variant>
      <vt:variant>
        <vt:i4>162</vt:i4>
      </vt:variant>
      <vt:variant>
        <vt:i4>0</vt:i4>
      </vt:variant>
      <vt:variant>
        <vt:i4>5</vt:i4>
      </vt:variant>
      <vt:variant>
        <vt:lpwstr>http://www.egyenlobanasmod.hu/</vt:lpwstr>
      </vt:variant>
      <vt:variant>
        <vt:lpwstr/>
      </vt:variant>
      <vt:variant>
        <vt:i4>7143477</vt:i4>
      </vt:variant>
      <vt:variant>
        <vt:i4>159</vt:i4>
      </vt:variant>
      <vt:variant>
        <vt:i4>0</vt:i4>
      </vt:variant>
      <vt:variant>
        <vt:i4>5</vt:i4>
      </vt:variant>
      <vt:variant>
        <vt:lpwstr>http://www.egyenlobanasmod.hu/jogesetek/hu/934-2008.pdf</vt:lpwstr>
      </vt:variant>
      <vt:variant>
        <vt:lpwstr/>
      </vt:variant>
      <vt:variant>
        <vt:i4>1310844</vt:i4>
      </vt:variant>
      <vt:variant>
        <vt:i4>156</vt:i4>
      </vt:variant>
      <vt:variant>
        <vt:i4>0</vt:i4>
      </vt:variant>
      <vt:variant>
        <vt:i4>5</vt:i4>
      </vt:variant>
      <vt:variant>
        <vt:lpwstr>http://www.ajbh.hu/eves-beszamolok-archiv</vt:lpwstr>
      </vt:variant>
      <vt:variant>
        <vt:lpwstr>_48_INSTANCE_zay8bgVWSb6D_=http%3A%2F%2Fwww.ajbh.hu%2Fstatic%2Fbeszamolok_hu%2F%3F</vt:lpwstr>
      </vt:variant>
      <vt:variant>
        <vt:i4>4128819</vt:i4>
      </vt:variant>
      <vt:variant>
        <vt:i4>153</vt:i4>
      </vt:variant>
      <vt:variant>
        <vt:i4>0</vt:i4>
      </vt:variant>
      <vt:variant>
        <vt:i4>5</vt:i4>
      </vt:variant>
      <vt:variant>
        <vt:lpwstr>http://www.kisebbsegiombudsman.hu/data/files/205796771.pdf</vt:lpwstr>
      </vt:variant>
      <vt:variant>
        <vt:lpwstr/>
      </vt:variant>
      <vt:variant>
        <vt:i4>8323163</vt:i4>
      </vt:variant>
      <vt:variant>
        <vt:i4>150</vt:i4>
      </vt:variant>
      <vt:variant>
        <vt:i4>0</vt:i4>
      </vt:variant>
      <vt:variant>
        <vt:i4>5</vt:i4>
      </vt:variant>
      <vt:variant>
        <vt:lpwstr>http://3ddigitalispublikacio.hu/media/ombudsman/2008/beszamolo_2008.pdf</vt:lpwstr>
      </vt:variant>
      <vt:variant>
        <vt:lpwstr/>
      </vt:variant>
      <vt:variant>
        <vt:i4>8192105</vt:i4>
      </vt:variant>
      <vt:variant>
        <vt:i4>147</vt:i4>
      </vt:variant>
      <vt:variant>
        <vt:i4>0</vt:i4>
      </vt:variant>
      <vt:variant>
        <vt:i4>5</vt:i4>
      </vt:variant>
      <vt:variant>
        <vt:lpwstr>http://www.romadecade.org/cms/upload/file/9270_file8_hu_civil-society-monitoring-report_en.pdf</vt:lpwstr>
      </vt:variant>
      <vt:variant>
        <vt:lpwstr/>
      </vt:variant>
      <vt:variant>
        <vt:i4>2949124</vt:i4>
      </vt:variant>
      <vt:variant>
        <vt:i4>144</vt:i4>
      </vt:variant>
      <vt:variant>
        <vt:i4>0</vt:i4>
      </vt:variant>
      <vt:variant>
        <vt:i4>5</vt:i4>
      </vt:variant>
      <vt:variant>
        <vt:lpwstr>http://www.pestesely.hu/doc/Urmos_081124.ppt</vt:lpwstr>
      </vt:variant>
      <vt:variant>
        <vt:lpwstr/>
      </vt:variant>
      <vt:variant>
        <vt:i4>3539049</vt:i4>
      </vt:variant>
      <vt:variant>
        <vt:i4>141</vt:i4>
      </vt:variant>
      <vt:variant>
        <vt:i4>0</vt:i4>
      </vt:variant>
      <vt:variant>
        <vt:i4>5</vt:i4>
      </vt:variant>
      <vt:variant>
        <vt:lpwstr>http://www.ksh.hu/thm/2/indi2_7_7.html</vt:lpwstr>
      </vt:variant>
      <vt:variant>
        <vt:lpwstr/>
      </vt:variant>
      <vt:variant>
        <vt:i4>6029386</vt:i4>
      </vt:variant>
      <vt:variant>
        <vt:i4>138</vt:i4>
      </vt:variant>
      <vt:variant>
        <vt:i4>0</vt:i4>
      </vt:variant>
      <vt:variant>
        <vt:i4>5</vt:i4>
      </vt:variant>
      <vt:variant>
        <vt:lpwstr>http://www.mut.hu/?module=news&amp;action=getfile&amp;fid=114874</vt:lpwstr>
      </vt:variant>
      <vt:variant>
        <vt:lpwstr/>
      </vt:variant>
      <vt:variant>
        <vt:i4>2424879</vt:i4>
      </vt:variant>
      <vt:variant>
        <vt:i4>135</vt:i4>
      </vt:variant>
      <vt:variant>
        <vt:i4>0</vt:i4>
      </vt:variant>
      <vt:variant>
        <vt:i4>5</vt:i4>
      </vt:variant>
      <vt:variant>
        <vt:lpwstr>http://www.egyenlobanasmod.hu/jogesetek/hu/14-2007.pdf</vt:lpwstr>
      </vt:variant>
      <vt:variant>
        <vt:lpwstr/>
      </vt:variant>
      <vt:variant>
        <vt:i4>88</vt:i4>
      </vt:variant>
      <vt:variant>
        <vt:i4>132</vt:i4>
      </vt:variant>
      <vt:variant>
        <vt:i4>0</vt:i4>
      </vt:variant>
      <vt:variant>
        <vt:i4>5</vt:i4>
      </vt:variant>
      <vt:variant>
        <vt:lpwstr>http://www.ajbh.hu/-/a-nemzetkozi-romanapon-az-ombudsman-es-nemzetisegi-helyettese-a-nemzetisegi-kozepiskolai-oktatas-helyzeterol?redirect=http%3A%2F%2Fwww.ajbh.hu%2Fkezdolap%3Bjsessionid%3D61A942FCFB0171D1455FE1AF44BA5E59%3Fp_p_id%3D101_INSTANCE_LDWG9zbBd7So%26p_p_lifecycle%3D0%26p_p_state%3Dnormal%26p_p_mode%3Dview%26p_p_col_id%3Dcolumn-7%26p_p_col_pos%3D1%26p_p_col_count%3D4</vt:lpwstr>
      </vt:variant>
      <vt:variant>
        <vt:lpwstr/>
      </vt:variant>
      <vt:variant>
        <vt:i4>2228251</vt:i4>
      </vt:variant>
      <vt:variant>
        <vt:i4>129</vt:i4>
      </vt:variant>
      <vt:variant>
        <vt:i4>0</vt:i4>
      </vt:variant>
      <vt:variant>
        <vt:i4>5</vt:i4>
      </vt:variant>
      <vt:variant>
        <vt:lpwstr>http://www.romaeducationfund.hu/sites/default/files/publications/pitfalls-and-bias-screen_singlepages.pdf</vt:lpwstr>
      </vt:variant>
      <vt:variant>
        <vt:lpwstr/>
      </vt:variant>
      <vt:variant>
        <vt:i4>1114112</vt:i4>
      </vt:variant>
      <vt:variant>
        <vt:i4>126</vt:i4>
      </vt:variant>
      <vt:variant>
        <vt:i4>0</vt:i4>
      </vt:variant>
      <vt:variant>
        <vt:i4>5</vt:i4>
      </vt:variant>
      <vt:variant>
        <vt:lpwstr>http://2010-2014.kormany.hu/download/c/93/21000/Oktat%C3%A1si_%C3%89vk%C3%B6nyv_2012.pdf</vt:lpwstr>
      </vt:variant>
      <vt:variant>
        <vt:lpwstr/>
      </vt:variant>
      <vt:variant>
        <vt:i4>6946878</vt:i4>
      </vt:variant>
      <vt:variant>
        <vt:i4>123</vt:i4>
      </vt:variant>
      <vt:variant>
        <vt:i4>0</vt:i4>
      </vt:variant>
      <vt:variant>
        <vt:i4>5</vt:i4>
      </vt:variant>
      <vt:variant>
        <vt:lpwstr>http://www.egyenlobanasmod.hu/jogesetek/hu/278-2007.pdf</vt:lpwstr>
      </vt:variant>
      <vt:variant>
        <vt:lpwstr/>
      </vt:variant>
      <vt:variant>
        <vt:i4>3735564</vt:i4>
      </vt:variant>
      <vt:variant>
        <vt:i4>120</vt:i4>
      </vt:variant>
      <vt:variant>
        <vt:i4>0</vt:i4>
      </vt:variant>
      <vt:variant>
        <vt:i4>5</vt:i4>
      </vt:variant>
      <vt:variant>
        <vt:lpwstr>http://old.aosz.hu/dmdocuments/oft_AOSZ.pdf</vt:lpwstr>
      </vt:variant>
      <vt:variant>
        <vt:lpwstr/>
      </vt:variant>
      <vt:variant>
        <vt:i4>3735564</vt:i4>
      </vt:variant>
      <vt:variant>
        <vt:i4>117</vt:i4>
      </vt:variant>
      <vt:variant>
        <vt:i4>0</vt:i4>
      </vt:variant>
      <vt:variant>
        <vt:i4>5</vt:i4>
      </vt:variant>
      <vt:variant>
        <vt:lpwstr>http://old.aosz.hu/dmdocuments/oft_AOSZ.pdf</vt:lpwstr>
      </vt:variant>
      <vt:variant>
        <vt:lpwstr/>
      </vt:variant>
      <vt:variant>
        <vt:i4>2162708</vt:i4>
      </vt:variant>
      <vt:variant>
        <vt:i4>114</vt:i4>
      </vt:variant>
      <vt:variant>
        <vt:i4>0</vt:i4>
      </vt:variant>
      <vt:variant>
        <vt:i4>5</vt:i4>
      </vt:variant>
      <vt:variant>
        <vt:lpwstr>http://www.europe.ohchr.org/Documents/Publications/Art_33_CRPD_study.pdf</vt:lpwstr>
      </vt:variant>
      <vt:variant>
        <vt:lpwstr/>
      </vt:variant>
      <vt:variant>
        <vt:i4>7536762</vt:i4>
      </vt:variant>
      <vt:variant>
        <vt:i4>111</vt:i4>
      </vt:variant>
      <vt:variant>
        <vt:i4>0</vt:i4>
      </vt:variant>
      <vt:variant>
        <vt:i4>5</vt:i4>
      </vt:variant>
      <vt:variant>
        <vt:lpwstr>http://mdac.info/sites/mdac.info/files/commcrpd_hu_september2012.pdf</vt:lpwstr>
      </vt:variant>
      <vt:variant>
        <vt:lpwstr/>
      </vt:variant>
      <vt:variant>
        <vt:i4>5439548</vt:i4>
      </vt:variant>
      <vt:variant>
        <vt:i4>108</vt:i4>
      </vt:variant>
      <vt:variant>
        <vt:i4>0</vt:i4>
      </vt:variant>
      <vt:variant>
        <vt:i4>5</vt:i4>
      </vt:variant>
      <vt:variant>
        <vt:lpwstr>http://tbinternet.ohchr.org/_layouts/treatybodyexternal/TBSearch.aspx?Lang=en&amp;TreatyID=4&amp;DocTypeID=5</vt:lpwstr>
      </vt:variant>
      <vt:variant>
        <vt:lpwstr/>
      </vt:variant>
      <vt:variant>
        <vt:i4>1310749</vt:i4>
      </vt:variant>
      <vt:variant>
        <vt:i4>105</vt:i4>
      </vt:variant>
      <vt:variant>
        <vt:i4>0</vt:i4>
      </vt:variant>
      <vt:variant>
        <vt:i4>5</vt:i4>
      </vt:variant>
      <vt:variant>
        <vt:lpwstr>http://www.meosz.hu/</vt:lpwstr>
      </vt:variant>
      <vt:variant>
        <vt:lpwstr/>
      </vt:variant>
      <vt:variant>
        <vt:i4>3866712</vt:i4>
      </vt:variant>
      <vt:variant>
        <vt:i4>102</vt:i4>
      </vt:variant>
      <vt:variant>
        <vt:i4>0</vt:i4>
      </vt:variant>
      <vt:variant>
        <vt:i4>5</vt:i4>
      </vt:variant>
      <vt:variant>
        <vt:lpwstr>http://www.mdac.info/sites/mdac.info/files/english_crpd_alternative_report.pdf</vt:lpwstr>
      </vt:variant>
      <vt:variant>
        <vt:lpwstr/>
      </vt:variant>
      <vt:variant>
        <vt:i4>7405677</vt:i4>
      </vt:variant>
      <vt:variant>
        <vt:i4>99</vt:i4>
      </vt:variant>
      <vt:variant>
        <vt:i4>0</vt:i4>
      </vt:variant>
      <vt:variant>
        <vt:i4>5</vt:i4>
      </vt:variant>
      <vt:variant>
        <vt:lpwstr>http://www.mile.hu/404.php</vt:lpwstr>
      </vt:variant>
      <vt:variant>
        <vt:lpwstr/>
      </vt:variant>
      <vt:variant>
        <vt:i4>1507389</vt:i4>
      </vt:variant>
      <vt:variant>
        <vt:i4>96</vt:i4>
      </vt:variant>
      <vt:variant>
        <vt:i4>0</vt:i4>
      </vt:variant>
      <vt:variant>
        <vt:i4>5</vt:i4>
      </vt:variant>
      <vt:variant>
        <vt:lpwstr>http://www.egyenlobanasmod.hu/data/TTaf_20110211-1.pdf</vt:lpwstr>
      </vt:variant>
      <vt:variant>
        <vt:lpwstr/>
      </vt:variant>
      <vt:variant>
        <vt:i4>5111843</vt:i4>
      </vt:variant>
      <vt:variant>
        <vt:i4>93</vt:i4>
      </vt:variant>
      <vt:variant>
        <vt:i4>0</vt:i4>
      </vt:variant>
      <vt:variant>
        <vt:i4>5</vt:i4>
      </vt:variant>
      <vt:variant>
        <vt:lpwstr>http://www.egyenlobanasmod.hu/tt/TTaf_200802-2</vt:lpwstr>
      </vt:variant>
      <vt:variant>
        <vt:lpwstr/>
      </vt:variant>
      <vt:variant>
        <vt:i4>5177346</vt:i4>
      </vt:variant>
      <vt:variant>
        <vt:i4>90</vt:i4>
      </vt:variant>
      <vt:variant>
        <vt:i4>0</vt:i4>
      </vt:variant>
      <vt:variant>
        <vt:i4>5</vt:i4>
      </vt:variant>
      <vt:variant>
        <vt:lpwstr>http://www.egyenlobanasmod.hu/jogesetek/hu/zanza0307.pdf</vt:lpwstr>
      </vt:variant>
      <vt:variant>
        <vt:lpwstr/>
      </vt:variant>
      <vt:variant>
        <vt:i4>327786</vt:i4>
      </vt:variant>
      <vt:variant>
        <vt:i4>87</vt:i4>
      </vt:variant>
      <vt:variant>
        <vt:i4>0</vt:i4>
      </vt:variant>
      <vt:variant>
        <vt:i4>5</vt:i4>
      </vt:variant>
      <vt:variant>
        <vt:lpwstr>http://www.egyenlobanasmod.hu/index.php?g=hirek/TTaf_100226jj.htm</vt:lpwstr>
      </vt:variant>
      <vt:variant>
        <vt:lpwstr/>
      </vt:variant>
      <vt:variant>
        <vt:i4>4325470</vt:i4>
      </vt:variant>
      <vt:variant>
        <vt:i4>84</vt:i4>
      </vt:variant>
      <vt:variant>
        <vt:i4>0</vt:i4>
      </vt:variant>
      <vt:variant>
        <vt:i4>5</vt:i4>
      </vt:variant>
      <vt:variant>
        <vt:lpwstr>http://www.kisebbsegiombudsman.hu/hir-477-jelentes-az-etnikai-adatok-kezeleserol.html</vt:lpwstr>
      </vt:variant>
      <vt:variant>
        <vt:lpwstr/>
      </vt:variant>
      <vt:variant>
        <vt:i4>2883687</vt:i4>
      </vt:variant>
      <vt:variant>
        <vt:i4>81</vt:i4>
      </vt:variant>
      <vt:variant>
        <vt:i4>0</vt:i4>
      </vt:variant>
      <vt:variant>
        <vt:i4>5</vt:i4>
      </vt:variant>
      <vt:variant>
        <vt:lpwstr>http://www.valasztas.hu/hu/onkval2010/483/483_4_index.html</vt:lpwstr>
      </vt:variant>
      <vt:variant>
        <vt:lpwstr/>
      </vt:variant>
      <vt:variant>
        <vt:i4>1114112</vt:i4>
      </vt:variant>
      <vt:variant>
        <vt:i4>78</vt:i4>
      </vt:variant>
      <vt:variant>
        <vt:i4>0</vt:i4>
      </vt:variant>
      <vt:variant>
        <vt:i4>5</vt:i4>
      </vt:variant>
      <vt:variant>
        <vt:lpwstr>http://2010-2014.kormany.hu/download/c/93/21000/Oktat%C3%A1si_%C3%89vk%C3%B6nyv_2012.pdf</vt:lpwstr>
      </vt:variant>
      <vt:variant>
        <vt:lpwstr/>
      </vt:variant>
      <vt:variant>
        <vt:i4>4718653</vt:i4>
      </vt:variant>
      <vt:variant>
        <vt:i4>75</vt:i4>
      </vt:variant>
      <vt:variant>
        <vt:i4>0</vt:i4>
      </vt:variant>
      <vt:variant>
        <vt:i4>5</vt:i4>
      </vt:variant>
      <vt:variant>
        <vt:lpwstr>http://2010-2014.kormany.hu/download/8/f9/b0000/Oktat%C3%A1si_%C3%89vk%C3%B6nyv_2011_2012.pdf</vt:lpwstr>
      </vt:variant>
      <vt:variant>
        <vt:lpwstr/>
      </vt:variant>
      <vt:variant>
        <vt:i4>7274617</vt:i4>
      </vt:variant>
      <vt:variant>
        <vt:i4>72</vt:i4>
      </vt:variant>
      <vt:variant>
        <vt:i4>0</vt:i4>
      </vt:variant>
      <vt:variant>
        <vt:i4>5</vt:i4>
      </vt:variant>
      <vt:variant>
        <vt:lpwstr>http://www.ksh.hu/nepszamlalas/tablak_teruleti_00</vt:lpwstr>
      </vt:variant>
      <vt:variant>
        <vt:lpwstr/>
      </vt:variant>
      <vt:variant>
        <vt:i4>5767260</vt:i4>
      </vt:variant>
      <vt:variant>
        <vt:i4>69</vt:i4>
      </vt:variant>
      <vt:variant>
        <vt:i4>0</vt:i4>
      </vt:variant>
      <vt:variant>
        <vt:i4>5</vt:i4>
      </vt:variant>
      <vt:variant>
        <vt:lpwstr>http://www.nfu.hu/download/28676/P%C3%A1ly%C3%A1zati_Ttmutat%C3%B3_szocrehab_DA_DD_EA_EM.pdf</vt:lpwstr>
      </vt:variant>
      <vt:variant>
        <vt:lpwstr/>
      </vt:variant>
      <vt:variant>
        <vt:i4>7864437</vt:i4>
      </vt:variant>
      <vt:variant>
        <vt:i4>66</vt:i4>
      </vt:variant>
      <vt:variant>
        <vt:i4>0</vt:i4>
      </vt:variant>
      <vt:variant>
        <vt:i4>5</vt:i4>
      </vt:variant>
      <vt:variant>
        <vt:lpwstr>http://www.egyenlobanasmod.hu/</vt:lpwstr>
      </vt:variant>
      <vt:variant>
        <vt:lpwstr/>
      </vt:variant>
      <vt:variant>
        <vt:i4>3735642</vt:i4>
      </vt:variant>
      <vt:variant>
        <vt:i4>63</vt:i4>
      </vt:variant>
      <vt:variant>
        <vt:i4>0</vt:i4>
      </vt:variant>
      <vt:variant>
        <vt:i4>5</vt:i4>
      </vt:variant>
      <vt:variant>
        <vt:lpwstr>http://dev.neki.hu/wp-content/uploads/2013/05/390_ff2000.pdf</vt:lpwstr>
      </vt:variant>
      <vt:variant>
        <vt:lpwstr/>
      </vt:variant>
      <vt:variant>
        <vt:i4>3735642</vt:i4>
      </vt:variant>
      <vt:variant>
        <vt:i4>60</vt:i4>
      </vt:variant>
      <vt:variant>
        <vt:i4>0</vt:i4>
      </vt:variant>
      <vt:variant>
        <vt:i4>5</vt:i4>
      </vt:variant>
      <vt:variant>
        <vt:lpwstr>http://dev.neki.hu/wp-content/uploads/2013/05/390_ff2000.pdf</vt:lpwstr>
      </vt:variant>
      <vt:variant>
        <vt:lpwstr/>
      </vt:variant>
      <vt:variant>
        <vt:i4>2949227</vt:i4>
      </vt:variant>
      <vt:variant>
        <vt:i4>57</vt:i4>
      </vt:variant>
      <vt:variant>
        <vt:i4>0</vt:i4>
      </vt:variant>
      <vt:variant>
        <vt:i4>5</vt:i4>
      </vt:variant>
      <vt:variant>
        <vt:lpwstr>http://dev.neki.hu/wp-content/uploads/2013/05/tesztelési-tanulmány.pdf</vt:lpwstr>
      </vt:variant>
      <vt:variant>
        <vt:lpwstr/>
      </vt:variant>
      <vt:variant>
        <vt:i4>5046285</vt:i4>
      </vt:variant>
      <vt:variant>
        <vt:i4>54</vt:i4>
      </vt:variant>
      <vt:variant>
        <vt:i4>0</vt:i4>
      </vt:variant>
      <vt:variant>
        <vt:i4>5</vt:i4>
      </vt:variant>
      <vt:variant>
        <vt:lpwstr>http://www.egyenlobanasmod.hu/index.php?g=EBH-jelentes07.htm</vt:lpwstr>
      </vt:variant>
      <vt:variant>
        <vt:lpwstr/>
      </vt:variant>
      <vt:variant>
        <vt:i4>1966111</vt:i4>
      </vt:variant>
      <vt:variant>
        <vt:i4>51</vt:i4>
      </vt:variant>
      <vt:variant>
        <vt:i4>0</vt:i4>
      </vt:variant>
      <vt:variant>
        <vt:i4>5</vt:i4>
      </vt:variant>
      <vt:variant>
        <vt:lpwstr>http://www.egyenlobanasmod.hu/jogesetek/hu/1054-2009.pdf</vt:lpwstr>
      </vt:variant>
      <vt:variant>
        <vt:lpwstr/>
      </vt:variant>
      <vt:variant>
        <vt:i4>2097193</vt:i4>
      </vt:variant>
      <vt:variant>
        <vt:i4>48</vt:i4>
      </vt:variant>
      <vt:variant>
        <vt:i4>0</vt:i4>
      </vt:variant>
      <vt:variant>
        <vt:i4>5</vt:i4>
      </vt:variant>
      <vt:variant>
        <vt:lpwstr>http://www.egyenlobanasmod.hu/jogesetek/hu/23-2011.pdf</vt:lpwstr>
      </vt:variant>
      <vt:variant>
        <vt:lpwstr/>
      </vt:variant>
      <vt:variant>
        <vt:i4>4259862</vt:i4>
      </vt:variant>
      <vt:variant>
        <vt:i4>45</vt:i4>
      </vt:variant>
      <vt:variant>
        <vt:i4>0</vt:i4>
      </vt:variant>
      <vt:variant>
        <vt:i4>5</vt:i4>
      </vt:variant>
      <vt:variant>
        <vt:lpwstr>http://www.egyenlobanasmod.hu/data/2010beszamolo2.pdf</vt:lpwstr>
      </vt:variant>
      <vt:variant>
        <vt:lpwstr/>
      </vt:variant>
      <vt:variant>
        <vt:i4>1048609</vt:i4>
      </vt:variant>
      <vt:variant>
        <vt:i4>42</vt:i4>
      </vt:variant>
      <vt:variant>
        <vt:i4>0</vt:i4>
      </vt:variant>
      <vt:variant>
        <vt:i4>5</vt:i4>
      </vt:variant>
      <vt:variant>
        <vt:lpwstr>http://www.egyenlobanasmod.hu/data/TTaf_201004.pdf</vt:lpwstr>
      </vt:variant>
      <vt:variant>
        <vt:lpwstr/>
      </vt:variant>
      <vt:variant>
        <vt:i4>4259862</vt:i4>
      </vt:variant>
      <vt:variant>
        <vt:i4>39</vt:i4>
      </vt:variant>
      <vt:variant>
        <vt:i4>0</vt:i4>
      </vt:variant>
      <vt:variant>
        <vt:i4>5</vt:i4>
      </vt:variant>
      <vt:variant>
        <vt:lpwstr>http://www.egyenlobanasmod.hu/data/2010beszamolo2.pdf</vt:lpwstr>
      </vt:variant>
      <vt:variant>
        <vt:lpwstr/>
      </vt:variant>
      <vt:variant>
        <vt:i4>1835031</vt:i4>
      </vt:variant>
      <vt:variant>
        <vt:i4>36</vt:i4>
      </vt:variant>
      <vt:variant>
        <vt:i4>0</vt:i4>
      </vt:variant>
      <vt:variant>
        <vt:i4>5</vt:i4>
      </vt:variant>
      <vt:variant>
        <vt:lpwstr>http://www.egyenlobanasmod.hu/data/2009beszamolo.pdf</vt:lpwstr>
      </vt:variant>
      <vt:variant>
        <vt:lpwstr/>
      </vt:variant>
      <vt:variant>
        <vt:i4>1835030</vt:i4>
      </vt:variant>
      <vt:variant>
        <vt:i4>33</vt:i4>
      </vt:variant>
      <vt:variant>
        <vt:i4>0</vt:i4>
      </vt:variant>
      <vt:variant>
        <vt:i4>5</vt:i4>
      </vt:variant>
      <vt:variant>
        <vt:lpwstr>http://www.egyenlobanasmod.hu/data/2008beszamolo.pdf</vt:lpwstr>
      </vt:variant>
      <vt:variant>
        <vt:lpwstr/>
      </vt:variant>
      <vt:variant>
        <vt:i4>7405624</vt:i4>
      </vt:variant>
      <vt:variant>
        <vt:i4>30</vt:i4>
      </vt:variant>
      <vt:variant>
        <vt:i4>0</vt:i4>
      </vt:variant>
      <vt:variant>
        <vt:i4>5</vt:i4>
      </vt:variant>
      <vt:variant>
        <vt:lpwstr>http://www.egyenlobanasmod.hu/index.php?g=kozadat.htm%23ie1</vt:lpwstr>
      </vt:variant>
      <vt:variant>
        <vt:lpwstr/>
      </vt:variant>
      <vt:variant>
        <vt:i4>7733353</vt:i4>
      </vt:variant>
      <vt:variant>
        <vt:i4>27</vt:i4>
      </vt:variant>
      <vt:variant>
        <vt:i4>0</vt:i4>
      </vt:variant>
      <vt:variant>
        <vt:i4>5</vt:i4>
      </vt:variant>
      <vt:variant>
        <vt:lpwstr>http://www.venice.coe.int/webforms/documents/?pdf=CDL-AD(2011)016-e</vt:lpwstr>
      </vt:variant>
      <vt:variant>
        <vt:lpwstr/>
      </vt:variant>
      <vt:variant>
        <vt:i4>1966080</vt:i4>
      </vt:variant>
      <vt:variant>
        <vt:i4>24</vt:i4>
      </vt:variant>
      <vt:variant>
        <vt:i4>0</vt:i4>
      </vt:variant>
      <vt:variant>
        <vt:i4>5</vt:i4>
      </vt:variant>
      <vt:variant>
        <vt:lpwstr>http://www.ajbh.hu/documents/10180/1210223/AJBH+Besz%C3%A1mol%C3%B3 2013/ef587a6b-5ae4-43ec-83d2-e3f335e6c4d1?version=1.0</vt:lpwstr>
      </vt:variant>
      <vt:variant>
        <vt:lpwstr/>
      </vt:variant>
      <vt:variant>
        <vt:i4>4587637</vt:i4>
      </vt:variant>
      <vt:variant>
        <vt:i4>21</vt:i4>
      </vt:variant>
      <vt:variant>
        <vt:i4>0</vt:i4>
      </vt:variant>
      <vt:variant>
        <vt:i4>5</vt:i4>
      </vt:variant>
      <vt:variant>
        <vt:lpwstr>http://www.jogtalanul.blog.hu/2012/05/15/a_kozfoglalkoztatas_ordogi_kor</vt:lpwstr>
      </vt:variant>
      <vt:variant>
        <vt:lpwstr/>
      </vt:variant>
      <vt:variant>
        <vt:i4>4653129</vt:i4>
      </vt:variant>
      <vt:variant>
        <vt:i4>18</vt:i4>
      </vt:variant>
      <vt:variant>
        <vt:i4>0</vt:i4>
      </vt:variant>
      <vt:variant>
        <vt:i4>5</vt:i4>
      </vt:variant>
      <vt:variant>
        <vt:lpwstr>http://lehetmas.hu/hirek/34485/kozmunkasok-bere-alkotmanybirosaghoz-fordul-egy-kozmunkas-az-lmp-segitsegevel/</vt:lpwstr>
      </vt:variant>
      <vt:variant>
        <vt:lpwstr/>
      </vt:variant>
      <vt:variant>
        <vt:i4>5505111</vt:i4>
      </vt:variant>
      <vt:variant>
        <vt:i4>15</vt:i4>
      </vt:variant>
      <vt:variant>
        <vt:i4>0</vt:i4>
      </vt:variant>
      <vt:variant>
        <vt:i4>5</vt:i4>
      </vt:variant>
      <vt:variant>
        <vt:lpwstr>http://www.egyenlobanasmod.hu/jogesetek/jogesetek</vt:lpwstr>
      </vt:variant>
      <vt:variant>
        <vt:lpwstr>y2013</vt:lpwstr>
      </vt:variant>
      <vt:variant>
        <vt:i4>2490430</vt:i4>
      </vt:variant>
      <vt:variant>
        <vt:i4>12</vt:i4>
      </vt:variant>
      <vt:variant>
        <vt:i4>0</vt:i4>
      </vt:variant>
      <vt:variant>
        <vt:i4>5</vt:i4>
      </vt:variant>
      <vt:variant>
        <vt:lpwstr>http://www.egyenlobanasmod.hu/data/EBH_2013_tevekenyseg_szamok_tukreben.pdf</vt:lpwstr>
      </vt:variant>
      <vt:variant>
        <vt:lpwstr/>
      </vt:variant>
      <vt:variant>
        <vt:i4>1900572</vt:i4>
      </vt:variant>
      <vt:variant>
        <vt:i4>9</vt:i4>
      </vt:variant>
      <vt:variant>
        <vt:i4>0</vt:i4>
      </vt:variant>
      <vt:variant>
        <vt:i4>5</vt:i4>
      </vt:variant>
      <vt:variant>
        <vt:lpwstr>http://www.egyenlobanasmod.hu/data/2012beszamolo.pdf</vt:lpwstr>
      </vt:variant>
      <vt:variant>
        <vt:lpwstr/>
      </vt:variant>
      <vt:variant>
        <vt:i4>1900575</vt:i4>
      </vt:variant>
      <vt:variant>
        <vt:i4>6</vt:i4>
      </vt:variant>
      <vt:variant>
        <vt:i4>0</vt:i4>
      </vt:variant>
      <vt:variant>
        <vt:i4>5</vt:i4>
      </vt:variant>
      <vt:variant>
        <vt:lpwstr>http://www.egyenlobanasmod.hu/data/2011beszamolo.pdf</vt:lpwstr>
      </vt:variant>
      <vt:variant>
        <vt:lpwstr/>
      </vt:variant>
      <vt:variant>
        <vt:i4>4259862</vt:i4>
      </vt:variant>
      <vt:variant>
        <vt:i4>3</vt:i4>
      </vt:variant>
      <vt:variant>
        <vt:i4>0</vt:i4>
      </vt:variant>
      <vt:variant>
        <vt:i4>5</vt:i4>
      </vt:variant>
      <vt:variant>
        <vt:lpwstr>http://www.egyenlobanasmod.hu/data/2010beszamolo2.pdf</vt:lpwstr>
      </vt:variant>
      <vt:variant>
        <vt:lpwstr/>
      </vt:variant>
      <vt:variant>
        <vt:i4>3014778</vt:i4>
      </vt:variant>
      <vt:variant>
        <vt:i4>0</vt:i4>
      </vt:variant>
      <vt:variant>
        <vt:i4>0</vt:i4>
      </vt:variant>
      <vt:variant>
        <vt:i4>5</vt:i4>
      </vt:variant>
      <vt:variant>
        <vt:lpwstr>http://www.parlament.hu/irom39/11111/11111.pdf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Isabelle Chopin</dc:creator>
  <cp:keywords/>
  <cp:lastModifiedBy>Rebecca van Midden</cp:lastModifiedBy>
  <cp:revision>7</cp:revision>
  <cp:lastPrinted>2014-11-05T12:50:00Z</cp:lastPrinted>
  <dcterms:created xsi:type="dcterms:W3CDTF">2014-11-18T13:46:00Z</dcterms:created>
  <dcterms:modified xsi:type="dcterms:W3CDTF">2017-08-14T13:59:00Z</dcterms:modified>
</cp:coreProperties>
</file>